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74295</wp:posOffset>
            </wp:positionV>
            <wp:extent cx="220218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02180" cy="16510"/>
                    </a:xfrm>
                    <a:prstGeom prst="rect">
                      <a:avLst/>
                    </a:prstGeom>
                    <a:noFill/>
                  </pic:spPr>
                </pic:pic>
              </a:graphicData>
            </a:graphic>
          </wp:anchor>
        </w:drawing>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38735</wp:posOffset>
            </wp:positionV>
            <wp:extent cx="220218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02180" cy="16510"/>
                    </a:xfrm>
                    <a:prstGeom prst="rect">
                      <a:avLst/>
                    </a:prstGeom>
                    <a:noFill/>
                  </pic:spPr>
                </pic:pic>
              </a:graphicData>
            </a:graphic>
          </wp:anchor>
        </w:drawing>
      </w:r>
    </w:p>
    <w:p>
      <w:pPr>
        <w:spacing w:after="0" w:line="172" w:lineRule="exact"/>
        <w:rPr>
          <w:sz w:val="24"/>
          <w:szCs w:val="24"/>
          <w:color w:val="auto"/>
        </w:rPr>
      </w:pPr>
    </w:p>
    <w:p>
      <w:pPr>
        <w:ind w:left="2200" w:hanging="418"/>
        <w:spacing w:after="0"/>
        <w:tabs>
          <w:tab w:leader="none" w:pos="2200" w:val="left"/>
        </w:tabs>
        <w:numPr>
          <w:ilvl w:val="0"/>
          <w:numId w:val="1"/>
        </w:numPr>
        <w:rPr>
          <w:rFonts w:ascii="MS PGothic" w:cs="MS PGothic" w:eastAsia="MS PGothic" w:hAnsi="MS PGothic"/>
          <w:sz w:val="34"/>
          <w:szCs w:val="34"/>
          <w:color w:val="auto"/>
          <w:vertAlign w:val="superscript"/>
        </w:rPr>
      </w:pPr>
      <w:r>
        <w:rPr>
          <w:rFonts w:ascii="Times New Roman" w:cs="Times New Roman" w:eastAsia="Times New Roman" w:hAnsi="Times New Roman"/>
          <w:sz w:val="15"/>
          <w:szCs w:val="15"/>
          <w:color w:val="auto"/>
        </w:rPr>
        <w:t>ANNUAL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For the fiscal year ended December 31, 2023</w:t>
      </w:r>
    </w:p>
    <w:p>
      <w:pPr>
        <w:jc w:val="center"/>
        <w:spacing w:after="0"/>
        <w:rPr>
          <w:sz w:val="20"/>
          <w:szCs w:val="20"/>
          <w:color w:val="auto"/>
        </w:rPr>
      </w:pPr>
      <w:r>
        <w:rPr>
          <w:rFonts w:ascii="Times New Roman" w:cs="Times New Roman" w:eastAsia="Times New Roman" w:hAnsi="Times New Roman"/>
          <w:sz w:val="15"/>
          <w:szCs w:val="15"/>
          <w:color w:val="auto"/>
        </w:rPr>
        <w:t>or</w:t>
      </w:r>
    </w:p>
    <w:p>
      <w:pPr>
        <w:ind w:left="2060" w:hanging="278"/>
        <w:spacing w:after="0" w:line="202" w:lineRule="auto"/>
        <w:tabs>
          <w:tab w:leader="none" w:pos="2060" w:val="left"/>
        </w:tabs>
        <w:numPr>
          <w:ilvl w:val="0"/>
          <w:numId w:val="2"/>
        </w:numPr>
        <w:rPr>
          <w:rFonts w:ascii="MS PGothic" w:cs="MS PGothic" w:eastAsia="MS PGothic" w:hAnsi="MS PGothic"/>
          <w:sz w:val="34"/>
          <w:szCs w:val="34"/>
          <w:color w:val="auto"/>
          <w:vertAlign w:val="superscript"/>
        </w:rPr>
      </w:pPr>
      <w:r>
        <w:rPr>
          <w:rFonts w:ascii="Times New Roman" w:cs="Times New Roman" w:eastAsia="Times New Roman" w:hAnsi="Times New Roman"/>
          <w:sz w:val="15"/>
          <w:szCs w:val="15"/>
          <w:color w:val="auto"/>
        </w:rPr>
        <w:t>TRANSITION REPORT PURSUANT TO SECTION 13 OR 15(d) OF THE SECURITIES EXCHANGE ACT OF 1934</w:t>
      </w:r>
    </w:p>
    <w:p>
      <w:pPr>
        <w:spacing w:after="0" w:line="8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5"/>
          <w:szCs w:val="15"/>
          <w:color w:val="auto"/>
        </w:rPr>
        <w:t>For the transition period from _______to_______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 xml:space="preserve">Commission File Number </w:t>
      </w:r>
      <w:r>
        <w:rPr>
          <w:rFonts w:ascii="Times New Roman" w:cs="Times New Roman" w:eastAsia="Times New Roman" w:hAnsi="Times New Roman"/>
          <w:sz w:val="17"/>
          <w:szCs w:val="17"/>
          <w:color w:val="auto"/>
        </w:rPr>
        <w:t>001-03492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52705</wp:posOffset>
            </wp:positionV>
            <wp:extent cx="220218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02180" cy="16510"/>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HALLIBURTON COMPANY</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22225</wp:posOffset>
            </wp:positionV>
            <wp:extent cx="220218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02180" cy="16510"/>
                    </a:xfrm>
                    <a:prstGeom prst="rect">
                      <a:avLst/>
                    </a:prstGeom>
                    <a:noFill/>
                  </pic:spPr>
                </pic:pic>
              </a:graphicData>
            </a:graphic>
          </wp:anchor>
        </w:drawing>
      </w:r>
    </w:p>
    <w:p>
      <w:pPr>
        <w:spacing w:after="0" w:line="196"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900" w:type="dxa"/>
            <w:vAlign w:val="bottom"/>
            <w:gridSpan w:val="3"/>
          </w:tcPr>
          <w:p>
            <w:pPr>
              <w:jc w:val="center"/>
              <w:ind w:right="2600"/>
              <w:spacing w:after="0"/>
              <w:rPr>
                <w:sz w:val="20"/>
                <w:szCs w:val="20"/>
                <w:color w:val="auto"/>
              </w:rPr>
            </w:pPr>
            <w:r>
              <w:rPr>
                <w:rFonts w:ascii="Times New Roman" w:cs="Times New Roman" w:eastAsia="Times New Roman" w:hAnsi="Times New Roman"/>
                <w:sz w:val="15"/>
                <w:szCs w:val="15"/>
                <w:color w:val="auto"/>
              </w:rPr>
              <w:t>Delaware</w:t>
            </w:r>
          </w:p>
        </w:tc>
        <w:tc>
          <w:tcPr>
            <w:tcW w:w="3320" w:type="dxa"/>
            <w:vAlign w:val="bottom"/>
            <w:gridSpan w:val="2"/>
          </w:tcPr>
          <w:p>
            <w:pPr>
              <w:jc w:val="right"/>
              <w:ind w:right="1831"/>
              <w:spacing w:after="0"/>
              <w:rPr>
                <w:sz w:val="20"/>
                <w:szCs w:val="20"/>
                <w:color w:val="auto"/>
              </w:rPr>
            </w:pPr>
            <w:r>
              <w:rPr>
                <w:rFonts w:ascii="Times New Roman" w:cs="Times New Roman" w:eastAsia="Times New Roman" w:hAnsi="Times New Roman"/>
                <w:sz w:val="15"/>
                <w:szCs w:val="15"/>
                <w:color w:val="auto"/>
              </w:rPr>
              <w:t>75-2677995</w:t>
            </w:r>
          </w:p>
        </w:tc>
      </w:tr>
      <w:tr>
        <w:trPr>
          <w:trHeight w:val="178"/>
        </w:trPr>
        <w:tc>
          <w:tcPr>
            <w:tcW w:w="1320" w:type="dxa"/>
            <w:vAlign w:val="bottom"/>
          </w:tcPr>
          <w:p>
            <w:pPr>
              <w:spacing w:after="0"/>
              <w:rPr>
                <w:sz w:val="15"/>
                <w:szCs w:val="15"/>
                <w:color w:val="auto"/>
              </w:rPr>
            </w:pPr>
          </w:p>
        </w:tc>
        <w:tc>
          <w:tcPr>
            <w:tcW w:w="5900" w:type="dxa"/>
            <w:vAlign w:val="bottom"/>
            <w:gridSpan w:val="5"/>
          </w:tcPr>
          <w:p>
            <w:pPr>
              <w:jc w:val="center"/>
              <w:ind w:right="620"/>
              <w:spacing w:after="0"/>
              <w:rPr>
                <w:sz w:val="20"/>
                <w:szCs w:val="20"/>
                <w:color w:val="auto"/>
              </w:rPr>
            </w:pPr>
            <w:r>
              <w:rPr>
                <w:rFonts w:ascii="Times New Roman" w:cs="Times New Roman" w:eastAsia="Times New Roman" w:hAnsi="Times New Roman"/>
                <w:sz w:val="14"/>
                <w:szCs w:val="14"/>
                <w:color w:val="auto"/>
                <w:w w:val="97"/>
              </w:rPr>
              <w:t>(State or other jurisdiction of incorporation or organization)</w:t>
            </w:r>
          </w:p>
        </w:tc>
        <w:tc>
          <w:tcPr>
            <w:tcW w:w="3320" w:type="dxa"/>
            <w:vAlign w:val="bottom"/>
            <w:gridSpan w:val="2"/>
          </w:tcPr>
          <w:p>
            <w:pPr>
              <w:jc w:val="center"/>
              <w:ind w:right="1171"/>
              <w:spacing w:after="0"/>
              <w:rPr>
                <w:sz w:val="20"/>
                <w:szCs w:val="20"/>
                <w:color w:val="auto"/>
              </w:rPr>
            </w:pPr>
            <w:r>
              <w:rPr>
                <w:rFonts w:ascii="Times New Roman" w:cs="Times New Roman" w:eastAsia="Times New Roman" w:hAnsi="Times New Roman"/>
                <w:sz w:val="14"/>
                <w:szCs w:val="14"/>
                <w:color w:val="auto"/>
                <w:w w:val="98"/>
              </w:rPr>
              <w:t>(I.R.S. Employer Identification No.)</w:t>
            </w:r>
          </w:p>
        </w:tc>
      </w:tr>
      <w:tr>
        <w:trPr>
          <w:trHeight w:val="376"/>
        </w:trPr>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0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3000 North Sam Houston Parkway East, Houston,   Texas</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77032</w:t>
            </w:r>
          </w:p>
        </w:tc>
        <w:tc>
          <w:tcPr>
            <w:tcW w:w="2560" w:type="dxa"/>
            <w:vAlign w:val="bottom"/>
          </w:tcPr>
          <w:p>
            <w:pPr>
              <w:spacing w:after="0"/>
              <w:rPr>
                <w:sz w:val="24"/>
                <w:szCs w:val="24"/>
                <w:color w:val="auto"/>
              </w:rPr>
            </w:pPr>
          </w:p>
        </w:tc>
      </w:tr>
      <w:tr>
        <w:trPr>
          <w:trHeight w:val="178"/>
        </w:trPr>
        <w:tc>
          <w:tcPr>
            <w:tcW w:w="1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900" w:type="dxa"/>
            <w:vAlign w:val="bottom"/>
            <w:gridSpan w:val="3"/>
          </w:tcPr>
          <w:p>
            <w:pPr>
              <w:ind w:left="8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320" w:type="dxa"/>
            <w:vAlign w:val="bottom"/>
            <w:gridSpan w:val="2"/>
          </w:tcPr>
          <w:p>
            <w:pPr>
              <w:jc w:val="center"/>
              <w:ind w:right="2211"/>
              <w:spacing w:after="0"/>
              <w:rPr>
                <w:sz w:val="20"/>
                <w:szCs w:val="20"/>
                <w:color w:val="auto"/>
              </w:rPr>
            </w:pPr>
            <w:r>
              <w:rPr>
                <w:rFonts w:ascii="Times New Roman" w:cs="Times New Roman" w:eastAsia="Times New Roman" w:hAnsi="Times New Roman"/>
                <w:sz w:val="14"/>
                <w:szCs w:val="14"/>
                <w:color w:val="auto"/>
                <w:w w:val="96"/>
              </w:rPr>
              <w:t>(Zip Code)</w:t>
            </w:r>
          </w:p>
        </w:tc>
      </w:tr>
      <w:tr>
        <w:trPr>
          <w:trHeight w:val="286"/>
        </w:trPr>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00" w:type="dxa"/>
            <w:vAlign w:val="bottom"/>
            <w:gridSpan w:val="3"/>
          </w:tcPr>
          <w:p>
            <w:pPr>
              <w:jc w:val="right"/>
              <w:ind w:right="1140"/>
              <w:spacing w:after="0"/>
              <w:rPr>
                <w:sz w:val="20"/>
                <w:szCs w:val="20"/>
                <w:color w:val="auto"/>
              </w:rPr>
            </w:pPr>
            <w:r>
              <w:rPr>
                <w:rFonts w:ascii="Times New Roman" w:cs="Times New Roman" w:eastAsia="Times New Roman" w:hAnsi="Times New Roman"/>
                <w:sz w:val="15"/>
                <w:szCs w:val="15"/>
                <w:color w:val="auto"/>
              </w:rPr>
              <w:t>(281) 871-2699</w:t>
            </w:r>
          </w:p>
        </w:tc>
        <w:tc>
          <w:tcPr>
            <w:tcW w:w="76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178"/>
        </w:trPr>
        <w:tc>
          <w:tcPr>
            <w:tcW w:w="1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900" w:type="dxa"/>
            <w:vAlign w:val="bottom"/>
            <w:gridSpan w:val="3"/>
          </w:tcPr>
          <w:p>
            <w:pPr>
              <w:jc w:val="center"/>
              <w:ind w:left="608"/>
              <w:spacing w:after="0"/>
              <w:rPr>
                <w:sz w:val="20"/>
                <w:szCs w:val="20"/>
                <w:color w:val="auto"/>
              </w:rPr>
            </w:pPr>
            <w:r>
              <w:rPr>
                <w:rFonts w:ascii="Times New Roman" w:cs="Times New Roman" w:eastAsia="Times New Roman" w:hAnsi="Times New Roman"/>
                <w:sz w:val="14"/>
                <w:szCs w:val="14"/>
                <w:color w:val="auto"/>
                <w:w w:val="98"/>
              </w:rPr>
              <w:t>(Registrant's telephone number, including area code)</w:t>
            </w:r>
          </w:p>
        </w:tc>
        <w:tc>
          <w:tcPr>
            <w:tcW w:w="76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206"/>
        </w:trPr>
        <w:tc>
          <w:tcPr>
            <w:tcW w:w="3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16"/>
        </w:trPr>
        <w:tc>
          <w:tcPr>
            <w:tcW w:w="13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960" w:type="dxa"/>
            <w:vAlign w:val="bottom"/>
          </w:tcPr>
          <w:p>
            <w:pPr>
              <w:spacing w:after="0"/>
              <w:rPr>
                <w:sz w:val="18"/>
                <w:szCs w:val="18"/>
                <w:color w:val="auto"/>
              </w:rPr>
            </w:pPr>
          </w:p>
        </w:tc>
        <w:tc>
          <w:tcPr>
            <w:tcW w:w="3900" w:type="dxa"/>
            <w:vAlign w:val="bottom"/>
            <w:gridSpan w:val="3"/>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w w:val="96"/>
              </w:rPr>
              <w:t>Trading Symbol</w:t>
            </w:r>
          </w:p>
        </w:tc>
        <w:tc>
          <w:tcPr>
            <w:tcW w:w="3320" w:type="dxa"/>
            <w:vAlign w:val="bottom"/>
            <w:gridSpan w:val="2"/>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0"/>
        </w:trPr>
        <w:tc>
          <w:tcPr>
            <w:tcW w:w="1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r>
      <w:tr>
        <w:trPr>
          <w:trHeight w:val="202"/>
        </w:trPr>
        <w:tc>
          <w:tcPr>
            <w:tcW w:w="3320" w:type="dxa"/>
            <w:vAlign w:val="bottom"/>
            <w:gridSpan w:val="3"/>
          </w:tcPr>
          <w:p>
            <w:pPr>
              <w:jc w:val="center"/>
              <w:ind w:left="291"/>
              <w:spacing w:after="0"/>
              <w:rPr>
                <w:sz w:val="20"/>
                <w:szCs w:val="20"/>
                <w:color w:val="auto"/>
              </w:rPr>
            </w:pPr>
            <w:r>
              <w:rPr>
                <w:rFonts w:ascii="Times New Roman" w:cs="Times New Roman" w:eastAsia="Times New Roman" w:hAnsi="Times New Roman"/>
                <w:sz w:val="14"/>
                <w:szCs w:val="14"/>
                <w:color w:val="auto"/>
                <w:w w:val="98"/>
              </w:rPr>
              <w:t>Common Stock, par value $2.50 per share</w:t>
            </w:r>
          </w:p>
        </w:tc>
        <w:tc>
          <w:tcPr>
            <w:tcW w:w="1760" w:type="dxa"/>
            <w:vAlign w:val="bottom"/>
          </w:tcPr>
          <w:p>
            <w:pPr>
              <w:spacing w:after="0"/>
              <w:rPr>
                <w:sz w:val="17"/>
                <w:szCs w:val="17"/>
                <w:color w:val="auto"/>
              </w:rPr>
            </w:pPr>
          </w:p>
        </w:tc>
        <w:tc>
          <w:tcPr>
            <w:tcW w:w="214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color w:val="auto"/>
                <w:w w:val="97"/>
              </w:rPr>
              <w:t>HAL</w:t>
            </w:r>
          </w:p>
        </w:tc>
        <w:tc>
          <w:tcPr>
            <w:tcW w:w="760" w:type="dxa"/>
            <w:vAlign w:val="bottom"/>
          </w:tcPr>
          <w:p>
            <w:pPr>
              <w:spacing w:after="0"/>
              <w:rPr>
                <w:sz w:val="17"/>
                <w:szCs w:val="17"/>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New York Stock Exchange</w:t>
            </w:r>
          </w:p>
        </w:tc>
      </w:tr>
      <w:tr>
        <w:trPr>
          <w:trHeight w:val="245"/>
        </w:trPr>
        <w:tc>
          <w:tcPr>
            <w:tcW w:w="1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20" w:type="dxa"/>
            <w:vAlign w:val="bottom"/>
            <w:gridSpan w:val="5"/>
          </w:tcPr>
          <w:p>
            <w:pPr>
              <w:jc w:val="center"/>
              <w:ind w:right="2691"/>
              <w:spacing w:after="0"/>
              <w:rPr>
                <w:sz w:val="20"/>
                <w:szCs w:val="20"/>
                <w:color w:val="auto"/>
              </w:rPr>
            </w:pPr>
            <w:r>
              <w:rPr>
                <w:rFonts w:ascii="Times New Roman" w:cs="Times New Roman" w:eastAsia="Times New Roman" w:hAnsi="Times New Roman"/>
                <w:sz w:val="14"/>
                <w:szCs w:val="14"/>
                <w:color w:val="auto"/>
                <w:w w:val="99"/>
              </w:rPr>
              <w:t>Securities registered pursuant to Section 12(g) of the Act: None</w:t>
            </w:r>
          </w:p>
        </w:tc>
      </w:tr>
    </w:tbl>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p>
      <w:pPr>
        <w:spacing w:after="0" w:line="18" w:lineRule="exact"/>
        <w:rPr>
          <w:sz w:val="24"/>
          <w:szCs w:val="24"/>
          <w:color w:val="auto"/>
        </w:rPr>
      </w:pPr>
    </w:p>
    <w:p>
      <w:pPr>
        <w:ind w:left="798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p>
      <w:pPr>
        <w:spacing w:after="0" w:line="2" w:lineRule="exact"/>
        <w:rPr>
          <w:sz w:val="24"/>
          <w:szCs w:val="24"/>
          <w:color w:val="auto"/>
        </w:rPr>
      </w:pPr>
    </w:p>
    <w:p>
      <w:pPr>
        <w:ind w:left="798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4"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798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7"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798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2500" w:type="dxa"/>
        <w:tblCellMar>
          <w:top w:w="0" w:type="dxa"/>
          <w:left w:w="0" w:type="dxa"/>
          <w:bottom w:w="0" w:type="dxa"/>
          <w:right w:w="0" w:type="dxa"/>
        </w:tblCellMar>
      </w:tblPr>
      <w:tr>
        <w:trPr>
          <w:trHeight w:val="203"/>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1000" w:type="dxa"/>
            <w:vAlign w:val="bottom"/>
          </w:tcPr>
          <w:p>
            <w:pPr>
              <w:ind w:left="660"/>
              <w:spacing w:after="0" w:line="151" w:lineRule="exact"/>
              <w:rPr>
                <w:sz w:val="20"/>
                <w:szCs w:val="20"/>
                <w:color w:val="auto"/>
              </w:rPr>
            </w:pPr>
            <w:r>
              <w:rPr>
                <w:rFonts w:ascii="MS PGothic" w:cs="MS PGothic" w:eastAsia="MS PGothic" w:hAnsi="MS PGothic"/>
                <w:sz w:val="15"/>
                <w:szCs w:val="15"/>
                <w:color w:val="auto"/>
              </w:rPr>
              <w:t>☒</w:t>
            </w:r>
          </w:p>
        </w:tc>
        <w:tc>
          <w:tcPr>
            <w:tcW w:w="24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Accelerated Filer</w:t>
            </w:r>
          </w:p>
        </w:tc>
        <w:tc>
          <w:tcPr>
            <w:tcW w:w="6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6"/>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1000" w:type="dxa"/>
            <w:vAlign w:val="bottom"/>
          </w:tcPr>
          <w:p>
            <w:pPr>
              <w:ind w:left="660"/>
              <w:spacing w:after="0" w:line="151" w:lineRule="exact"/>
              <w:rPr>
                <w:sz w:val="20"/>
                <w:szCs w:val="20"/>
                <w:color w:val="auto"/>
              </w:rPr>
            </w:pPr>
            <w:r>
              <w:rPr>
                <w:rFonts w:ascii="MS PGothic" w:cs="MS PGothic" w:eastAsia="MS PGothic" w:hAnsi="MS PGothic"/>
                <w:sz w:val="15"/>
                <w:szCs w:val="15"/>
                <w:color w:val="auto"/>
              </w:rPr>
              <w:t>☐</w:t>
            </w:r>
          </w:p>
        </w:tc>
        <w:tc>
          <w:tcPr>
            <w:tcW w:w="24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0"/>
        </w:trPr>
        <w:tc>
          <w:tcPr>
            <w:tcW w:w="2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Emerging Growth Company</w:t>
            </w:r>
          </w:p>
        </w:tc>
        <w:tc>
          <w:tcPr>
            <w:tcW w:w="640" w:type="dxa"/>
            <w:vAlign w:val="bottom"/>
          </w:tcPr>
          <w:p>
            <w:pPr>
              <w:ind w:left="5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has filed a report on and attestation to its management's assessment of the effectiveness of its internal control over financial reporting</w:t>
      </w:r>
    </w:p>
    <w:p>
      <w:pPr>
        <w:spacing w:after="0" w:line="27" w:lineRule="exact"/>
        <w:rPr>
          <w:sz w:val="24"/>
          <w:szCs w:val="24"/>
          <w:color w:val="auto"/>
        </w:rPr>
      </w:pPr>
    </w:p>
    <w:p>
      <w:pPr>
        <w:spacing w:after="0" w:line="173" w:lineRule="exact"/>
        <w:tabs>
          <w:tab w:leader="none" w:pos="10400" w:val="left"/>
        </w:tabs>
        <w:rPr>
          <w:sz w:val="20"/>
          <w:szCs w:val="20"/>
          <w:color w:val="auto"/>
        </w:rPr>
      </w:pPr>
      <w:r>
        <w:rPr>
          <w:rFonts w:ascii="Times New Roman" w:cs="Times New Roman" w:eastAsia="Times New Roman" w:hAnsi="Times New Roman"/>
          <w:sz w:val="15"/>
          <w:szCs w:val="15"/>
          <w:color w:val="auto"/>
        </w:rPr>
        <w:t>under Section 404(b) of the Sarbanes-Oxley Act (15 U.S.C. 7262(b)) by the registered public accounting firm that prepared or issued its audit report.</w:t>
      </w:r>
      <w:r>
        <w:rPr>
          <w:sz w:val="20"/>
          <w:szCs w:val="20"/>
          <w:color w:val="auto"/>
        </w:rPr>
        <w:tab/>
      </w:r>
      <w:r>
        <w:rPr>
          <w:rFonts w:ascii="MS PGothic" w:cs="MS PGothic" w:eastAsia="MS PGothic" w:hAnsi="MS PGothic"/>
          <w:sz w:val="14"/>
          <w:szCs w:val="14"/>
          <w:color w:val="auto"/>
        </w:rPr>
        <w:t>☒</w:t>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If securities are registered pursuant to Section 12(b) of the Act, indicate by check mark whether the financial statements of the registrant included in the filing reflect the correction</w:t>
      </w:r>
    </w:p>
    <w:p>
      <w:pPr>
        <w:spacing w:after="0" w:line="18" w:lineRule="exact"/>
        <w:rPr>
          <w:sz w:val="24"/>
          <w:szCs w:val="24"/>
          <w:color w:val="auto"/>
        </w:rPr>
      </w:pPr>
    </w:p>
    <w:p>
      <w:pPr>
        <w:spacing w:after="0" w:line="173" w:lineRule="exact"/>
        <w:tabs>
          <w:tab w:leader="none" w:pos="3720" w:val="left"/>
        </w:tabs>
        <w:rPr>
          <w:sz w:val="20"/>
          <w:szCs w:val="20"/>
          <w:color w:val="auto"/>
        </w:rPr>
      </w:pPr>
      <w:r>
        <w:rPr>
          <w:rFonts w:ascii="Times New Roman" w:cs="Times New Roman" w:eastAsia="Times New Roman" w:hAnsi="Times New Roman"/>
          <w:sz w:val="15"/>
          <w:szCs w:val="15"/>
          <w:color w:val="auto"/>
        </w:rPr>
        <w:t>of an error to previously issued financial statements.</w:t>
      </w:r>
      <w:r>
        <w:rPr>
          <w:sz w:val="20"/>
          <w:szCs w:val="20"/>
          <w:color w:val="auto"/>
        </w:rPr>
        <w:tab/>
      </w:r>
      <w:r>
        <w:rPr>
          <w:rFonts w:ascii="MS PGothic" w:cs="MS PGothic" w:eastAsia="MS PGothic" w:hAnsi="MS PGothic"/>
          <w:sz w:val="14"/>
          <w:szCs w:val="14"/>
          <w:color w:val="auto"/>
        </w:rPr>
        <w:t>☐</w:t>
      </w:r>
    </w:p>
    <w:p>
      <w:pPr>
        <w:spacing w:after="0" w:line="88" w:lineRule="exact"/>
        <w:rPr>
          <w:sz w:val="24"/>
          <w:szCs w:val="24"/>
          <w:color w:val="auto"/>
        </w:rPr>
      </w:pPr>
    </w:p>
    <w:p>
      <w:pPr>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2" w:lineRule="exact"/>
        <w:rPr>
          <w:sz w:val="24"/>
          <w:szCs w:val="24"/>
          <w:color w:val="auto"/>
        </w:rPr>
      </w:pPr>
    </w:p>
    <w:p>
      <w:pPr>
        <w:spacing w:after="0" w:line="173" w:lineRule="exact"/>
        <w:tabs>
          <w:tab w:leader="none" w:pos="720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147" w:lineRule="exact"/>
        <w:rPr>
          <w:sz w:val="24"/>
          <w:szCs w:val="24"/>
          <w:color w:val="auto"/>
        </w:rPr>
      </w:pPr>
    </w:p>
    <w:p>
      <w:pPr>
        <w:ind w:right="200"/>
        <w:spacing w:after="0" w:line="289" w:lineRule="auto"/>
        <w:rPr>
          <w:sz w:val="20"/>
          <w:szCs w:val="20"/>
          <w:color w:val="auto"/>
        </w:rPr>
      </w:pPr>
      <w:r>
        <w:rPr>
          <w:rFonts w:ascii="Times New Roman" w:cs="Times New Roman" w:eastAsia="Times New Roman" w:hAnsi="Times New Roman"/>
          <w:sz w:val="15"/>
          <w:szCs w:val="15"/>
          <w:color w:val="auto"/>
        </w:rPr>
        <w:t>The aggregate market value of Halliburton Company Common Stock held by non-affiliates on June 30, 2023, determined using the per share closing price on the New York Stock Exchange Composite tape of $32.99 on that date, was approximately $22.5 billion.</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As of January 30, 2024, there were 890,101,601 shares of Halliburton Company Common Stock, $2.50 par value per share, outstanding.</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Portions of the Halliburton Company Proxy Statement for our 2024 Annual Meeting of Shareholders (File No. 001-03492)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556895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6"/>
        </w:trPr>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40" w:type="dxa"/>
            <w:vAlign w:val="bottom"/>
            <w:gridSpan w:val="12"/>
          </w:tcPr>
          <w:p>
            <w:pPr>
              <w:jc w:val="center"/>
              <w:ind w:right="2880"/>
              <w:spacing w:after="0"/>
              <w:rPr>
                <w:sz w:val="20"/>
                <w:szCs w:val="20"/>
                <w:color w:val="auto"/>
              </w:rPr>
            </w:pPr>
            <w:r>
              <w:rPr>
                <w:rFonts w:ascii="Times New Roman" w:cs="Times New Roman" w:eastAsia="Times New Roman" w:hAnsi="Times New Roman"/>
                <w:sz w:val="17"/>
                <w:szCs w:val="17"/>
                <w:b w:val="1"/>
                <w:bCs w:val="1"/>
                <w:color w:val="auto"/>
                <w:w w:val="99"/>
              </w:rPr>
              <w:t>HALLIBURTON COMPANY</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6"/>
        </w:trPr>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0" w:type="dxa"/>
            <w:vAlign w:val="bottom"/>
            <w:gridSpan w:val="11"/>
          </w:tcPr>
          <w:p>
            <w:pPr>
              <w:jc w:val="center"/>
              <w:ind w:right="3300"/>
              <w:spacing w:after="0"/>
              <w:rPr>
                <w:sz w:val="20"/>
                <w:szCs w:val="20"/>
                <w:color w:val="auto"/>
              </w:rPr>
            </w:pPr>
            <w:r>
              <w:rPr>
                <w:rFonts w:ascii="Times New Roman" w:cs="Times New Roman" w:eastAsia="Times New Roman" w:hAnsi="Times New Roman"/>
                <w:sz w:val="17"/>
                <w:szCs w:val="17"/>
                <w:b w:val="1"/>
                <w:bCs w:val="1"/>
                <w:color w:val="auto"/>
              </w:rPr>
              <w:t>Index to Form 10-K</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7"/>
        </w:trPr>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40" w:type="dxa"/>
            <w:vAlign w:val="bottom"/>
            <w:gridSpan w:val="14"/>
          </w:tcPr>
          <w:p>
            <w:pPr>
              <w:jc w:val="center"/>
              <w:ind w:right="2680"/>
              <w:spacing w:after="0"/>
              <w:rPr>
                <w:sz w:val="20"/>
                <w:szCs w:val="20"/>
                <w:color w:val="auto"/>
              </w:rPr>
            </w:pPr>
            <w:r>
              <w:rPr>
                <w:rFonts w:ascii="Times New Roman" w:cs="Times New Roman" w:eastAsia="Times New Roman" w:hAnsi="Times New Roman"/>
                <w:sz w:val="17"/>
                <w:szCs w:val="17"/>
                <w:b w:val="1"/>
                <w:bCs w:val="1"/>
                <w:color w:val="auto"/>
              </w:rPr>
              <w:t>For the Year Ended December 31, 2023</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6"/>
        </w:trPr>
        <w:tc>
          <w:tcPr>
            <w:tcW w:w="164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gridSpan w:val="4"/>
          </w:tcPr>
          <w:p>
            <w:pPr>
              <w:ind w:left="480"/>
              <w:spacing w:after="0"/>
              <w:rPr>
                <w:sz w:val="20"/>
                <w:szCs w:val="20"/>
                <w:color w:val="auto"/>
              </w:rPr>
            </w:pPr>
            <w:r>
              <w:rPr>
                <w:rFonts w:ascii="Times New Roman" w:cs="Times New Roman" w:eastAsia="Times New Roman" w:hAnsi="Times New Roman"/>
                <w:sz w:val="17"/>
                <w:szCs w:val="17"/>
                <w:b w:val="1"/>
                <w:bCs w:val="1"/>
                <w:color w:val="auto"/>
                <w:w w:val="93"/>
              </w:rPr>
              <w:t>PAGE</w:t>
            </w:r>
          </w:p>
        </w:tc>
      </w:tr>
      <w:tr>
        <w:trPr>
          <w:trHeight w:val="199"/>
        </w:trPr>
        <w:tc>
          <w:tcPr>
            <w:tcW w:w="16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Item 1.</w:t>
            </w:r>
          </w:p>
        </w:tc>
        <w:tc>
          <w:tcPr>
            <w:tcW w:w="81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Business</w:t>
            </w:r>
          </w:p>
        </w:tc>
        <w:tc>
          <w:tcPr>
            <w:tcW w:w="480" w:type="dxa"/>
            <w:vAlign w:val="bottom"/>
          </w:tcPr>
          <w:p>
            <w:pPr>
              <w:spacing w:after="0"/>
              <w:rPr>
                <w:sz w:val="17"/>
                <w:szCs w:val="17"/>
                <w:color w:val="auto"/>
              </w:rPr>
            </w:pPr>
          </w:p>
        </w:tc>
        <w:tc>
          <w:tcPr>
            <w:tcW w:w="280" w:type="dxa"/>
            <w:vAlign w:val="bottom"/>
            <w:tcBorders>
              <w:top w:val="single" w:sz="8" w:color="auto"/>
            </w:tcBorders>
            <w:gridSpan w:val="2"/>
          </w:tcPr>
          <w:p>
            <w:pPr>
              <w:jc w:val="center"/>
              <w:ind w:left="94"/>
              <w:spacing w:after="0"/>
              <w:rPr>
                <w:sz w:val="20"/>
                <w:szCs w:val="20"/>
                <w:color w:val="auto"/>
              </w:rPr>
            </w:pPr>
            <w:r>
              <w:rPr>
                <w:rFonts w:ascii="Times New Roman" w:cs="Times New Roman" w:eastAsia="Times New Roman" w:hAnsi="Times New Roman"/>
                <w:sz w:val="17"/>
                <w:szCs w:val="17"/>
                <w:color w:val="0000FF"/>
              </w:rPr>
              <w:t>1</w:t>
            </w:r>
          </w:p>
        </w:tc>
        <w:tc>
          <w:tcPr>
            <w:tcW w:w="180" w:type="dxa"/>
            <w:vAlign w:val="bottom"/>
            <w:tcBorders>
              <w:top w:val="single" w:sz="8" w:color="auto"/>
            </w:tcBorders>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9"/>
        </w:trPr>
        <w:tc>
          <w:tcPr>
            <w:tcW w:w="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8"/>
              </w:rPr>
              <w:t>Item 1(a).</w:t>
            </w:r>
          </w:p>
        </w:tc>
        <w:tc>
          <w:tcPr>
            <w:tcW w:w="940" w:type="dxa"/>
            <w:vAlign w:val="bottom"/>
            <w:gridSpan w:val="5"/>
          </w:tcPr>
          <w:p>
            <w:pPr>
              <w:spacing w:after="0"/>
              <w:rPr>
                <w:sz w:val="17"/>
                <w:szCs w:val="17"/>
                <w:color w:val="auto"/>
              </w:rPr>
            </w:pPr>
          </w:p>
        </w:tc>
        <w:tc>
          <w:tcPr>
            <w:tcW w:w="81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760" w:type="dxa"/>
            <w:vAlign w:val="bottom"/>
            <w:gridSpan w:val="3"/>
          </w:tcPr>
          <w:p>
            <w:pPr>
              <w:jc w:val="center"/>
              <w:ind w:left="574"/>
              <w:spacing w:after="0"/>
              <w:rPr>
                <w:sz w:val="20"/>
                <w:szCs w:val="20"/>
                <w:color w:val="auto"/>
              </w:rPr>
            </w:pPr>
            <w:r>
              <w:rPr>
                <w:rFonts w:ascii="Times New Roman" w:cs="Times New Roman" w:eastAsia="Times New Roman" w:hAnsi="Times New Roman"/>
                <w:sz w:val="17"/>
                <w:szCs w:val="17"/>
                <w:color w:val="0000FF"/>
              </w:rPr>
              <w:t>9</w:t>
            </w:r>
          </w:p>
        </w:tc>
        <w:tc>
          <w:tcPr>
            <w:tcW w:w="18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9"/>
        </w:trPr>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7"/>
              </w:rPr>
              <w:t>Item 1(b).</w:t>
            </w:r>
          </w:p>
        </w:tc>
        <w:tc>
          <w:tcPr>
            <w:tcW w:w="20" w:type="dxa"/>
            <w:vAlign w:val="bottom"/>
            <w:tcBorders>
              <w:bottom w:val="single" w:sz="8" w:color="0000FF"/>
            </w:tcBorders>
          </w:tcPr>
          <w:p>
            <w:pPr>
              <w:spacing w:after="0"/>
              <w:rPr>
                <w:sz w:val="17"/>
                <w:szCs w:val="17"/>
                <w:color w:val="auto"/>
              </w:rPr>
            </w:pPr>
          </w:p>
        </w:tc>
        <w:tc>
          <w:tcPr>
            <w:tcW w:w="920" w:type="dxa"/>
            <w:vAlign w:val="bottom"/>
            <w:gridSpan w:val="4"/>
          </w:tcPr>
          <w:p>
            <w:pPr>
              <w:spacing w:after="0"/>
              <w:rPr>
                <w:sz w:val="17"/>
                <w:szCs w:val="17"/>
                <w:color w:val="auto"/>
              </w:rPr>
            </w:pPr>
          </w:p>
        </w:tc>
        <w:tc>
          <w:tcPr>
            <w:tcW w:w="1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w w:val="97"/>
              </w:rPr>
              <w:t>Unresolved Staff Comments</w:t>
            </w:r>
          </w:p>
        </w:tc>
        <w:tc>
          <w:tcPr>
            <w:tcW w:w="6220" w:type="dxa"/>
            <w:vAlign w:val="bottom"/>
            <w:gridSpan w:val="18"/>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82"/>
              </w:rPr>
              <w:t>19</w:t>
            </w:r>
          </w:p>
        </w:tc>
        <w:tc>
          <w:tcPr>
            <w:tcW w:w="180" w:type="dxa"/>
            <w:vAlign w:val="bottom"/>
          </w:tcPr>
          <w:p>
            <w:pPr>
              <w:spacing w:after="0"/>
              <w:rPr>
                <w:sz w:val="17"/>
                <w:szCs w:val="17"/>
                <w:color w:val="auto"/>
              </w:rPr>
            </w:pPr>
          </w:p>
        </w:tc>
      </w:tr>
      <w:tr>
        <w:trPr>
          <w:trHeight w:val="199"/>
        </w:trPr>
        <w:tc>
          <w:tcPr>
            <w:tcW w:w="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Item 1(c).</w:t>
            </w:r>
          </w:p>
        </w:tc>
        <w:tc>
          <w:tcPr>
            <w:tcW w:w="880" w:type="dxa"/>
            <w:vAlign w:val="bottom"/>
            <w:gridSpan w:val="3"/>
          </w:tcPr>
          <w:p>
            <w:pPr>
              <w:spacing w:after="0"/>
              <w:rPr>
                <w:sz w:val="17"/>
                <w:szCs w:val="17"/>
                <w:color w:val="auto"/>
              </w:rPr>
            </w:pPr>
          </w:p>
        </w:tc>
        <w:tc>
          <w:tcPr>
            <w:tcW w:w="12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6920" w:type="dxa"/>
            <w:vAlign w:val="bottom"/>
            <w:gridSpan w:val="24"/>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82"/>
              </w:rPr>
              <w:t>19</w:t>
            </w:r>
          </w:p>
        </w:tc>
        <w:tc>
          <w:tcPr>
            <w:tcW w:w="180" w:type="dxa"/>
            <w:vAlign w:val="bottom"/>
          </w:tcPr>
          <w:p>
            <w:pPr>
              <w:spacing w:after="0"/>
              <w:rPr>
                <w:sz w:val="17"/>
                <w:szCs w:val="17"/>
                <w:color w:val="auto"/>
              </w:rPr>
            </w:pPr>
          </w:p>
        </w:tc>
      </w:tr>
      <w:tr>
        <w:trPr>
          <w:trHeight w:val="199"/>
        </w:trPr>
        <w:tc>
          <w:tcPr>
            <w:tcW w:w="16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Item 2.</w:t>
            </w:r>
          </w:p>
        </w:tc>
        <w:tc>
          <w:tcPr>
            <w:tcW w:w="81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940" w:type="dxa"/>
            <w:vAlign w:val="bottom"/>
            <w:gridSpan w:val="4"/>
          </w:tcPr>
          <w:p>
            <w:pPr>
              <w:jc w:val="center"/>
              <w:ind w:left="394"/>
              <w:spacing w:after="0"/>
              <w:rPr>
                <w:sz w:val="20"/>
                <w:szCs w:val="20"/>
                <w:color w:val="auto"/>
              </w:rPr>
            </w:pPr>
            <w:r>
              <w:rPr>
                <w:rFonts w:ascii="Times New Roman" w:cs="Times New Roman" w:eastAsia="Times New Roman" w:hAnsi="Times New Roman"/>
                <w:sz w:val="17"/>
                <w:szCs w:val="17"/>
                <w:color w:val="0000FF"/>
              </w:rPr>
              <w:t>20</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199"/>
        </w:trPr>
        <w:tc>
          <w:tcPr>
            <w:tcW w:w="16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Item 3.</w:t>
            </w:r>
          </w:p>
        </w:tc>
        <w:tc>
          <w:tcPr>
            <w:tcW w:w="81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940" w:type="dxa"/>
            <w:vAlign w:val="bottom"/>
            <w:gridSpan w:val="4"/>
          </w:tcPr>
          <w:p>
            <w:pPr>
              <w:jc w:val="center"/>
              <w:ind w:left="394"/>
              <w:spacing w:after="0"/>
              <w:rPr>
                <w:sz w:val="20"/>
                <w:szCs w:val="20"/>
                <w:color w:val="auto"/>
              </w:rPr>
            </w:pPr>
            <w:r>
              <w:rPr>
                <w:rFonts w:ascii="Times New Roman" w:cs="Times New Roman" w:eastAsia="Times New Roman" w:hAnsi="Times New Roman"/>
                <w:sz w:val="17"/>
                <w:szCs w:val="17"/>
                <w:color w:val="0000FF"/>
              </w:rPr>
              <w:t>20</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199"/>
        </w:trPr>
        <w:tc>
          <w:tcPr>
            <w:tcW w:w="16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Item 4.</w:t>
            </w:r>
          </w:p>
        </w:tc>
        <w:tc>
          <w:tcPr>
            <w:tcW w:w="81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940" w:type="dxa"/>
            <w:vAlign w:val="bottom"/>
            <w:gridSpan w:val="4"/>
          </w:tcPr>
          <w:p>
            <w:pPr>
              <w:jc w:val="center"/>
              <w:ind w:left="394"/>
              <w:spacing w:after="0"/>
              <w:rPr>
                <w:sz w:val="20"/>
                <w:szCs w:val="20"/>
                <w:color w:val="auto"/>
              </w:rPr>
            </w:pPr>
            <w:r>
              <w:rPr>
                <w:rFonts w:ascii="Times New Roman" w:cs="Times New Roman" w:eastAsia="Times New Roman" w:hAnsi="Times New Roman"/>
                <w:sz w:val="17"/>
                <w:szCs w:val="17"/>
                <w:color w:val="0000FF"/>
              </w:rPr>
              <w:t>20</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325"/>
        </w:trPr>
        <w:tc>
          <w:tcPr>
            <w:tcW w:w="164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4"/>
        </w:trPr>
        <w:tc>
          <w:tcPr>
            <w:tcW w:w="1640" w:type="dxa"/>
            <w:vAlign w:val="bottom"/>
            <w:gridSpan w:val="9"/>
          </w:tcPr>
          <w:p>
            <w:pPr>
              <w:spacing w:after="0" w:line="184" w:lineRule="exact"/>
              <w:rPr>
                <w:sz w:val="20"/>
                <w:szCs w:val="20"/>
                <w:color w:val="auto"/>
              </w:rPr>
            </w:pPr>
            <w:r>
              <w:rPr>
                <w:rFonts w:ascii="Times New Roman" w:cs="Times New Roman" w:eastAsia="Times New Roman" w:hAnsi="Times New Roman"/>
                <w:sz w:val="17"/>
                <w:szCs w:val="17"/>
                <w:color w:val="0000FF"/>
              </w:rPr>
              <w:t>Item 5.</w:t>
            </w:r>
          </w:p>
        </w:tc>
        <w:tc>
          <w:tcPr>
            <w:tcW w:w="8120" w:type="dxa"/>
            <w:vAlign w:val="bottom"/>
            <w:gridSpan w:val="30"/>
          </w:tcPr>
          <w:p>
            <w:pPr>
              <w:spacing w:after="0" w:line="184" w:lineRule="exact"/>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940" w:type="dxa"/>
            <w:vAlign w:val="bottom"/>
            <w:gridSpan w:val="4"/>
          </w:tcPr>
          <w:p>
            <w:pPr>
              <w:jc w:val="center"/>
              <w:ind w:left="394"/>
              <w:spacing w:after="0" w:line="184" w:lineRule="exact"/>
              <w:rPr>
                <w:sz w:val="20"/>
                <w:szCs w:val="20"/>
                <w:color w:val="auto"/>
              </w:rPr>
            </w:pPr>
            <w:r>
              <w:rPr>
                <w:rFonts w:ascii="Times New Roman" w:cs="Times New Roman" w:eastAsia="Times New Roman" w:hAnsi="Times New Roman"/>
                <w:sz w:val="17"/>
                <w:szCs w:val="17"/>
                <w:color w:val="0000FF"/>
              </w:rPr>
              <w:t>21</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199"/>
        </w:trPr>
        <w:tc>
          <w:tcPr>
            <w:tcW w:w="16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Item 6.</w:t>
            </w:r>
          </w:p>
        </w:tc>
        <w:tc>
          <w:tcPr>
            <w:tcW w:w="812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color w:val="0000FF"/>
              </w:rPr>
              <w:t>Reserved</w:t>
            </w:r>
            <w:r>
              <w:rPr>
                <w:rFonts w:ascii="Times New Roman" w:cs="Times New Roman" w:eastAsia="Times New Roman" w:hAnsi="Times New Roman"/>
                <w:sz w:val="17"/>
                <w:szCs w:val="17"/>
                <w:color w:val="auto"/>
              </w:rPr>
              <w:t>)</w:t>
            </w:r>
          </w:p>
        </w:tc>
        <w:tc>
          <w:tcPr>
            <w:tcW w:w="940" w:type="dxa"/>
            <w:vAlign w:val="bottom"/>
            <w:gridSpan w:val="4"/>
          </w:tcPr>
          <w:p>
            <w:pPr>
              <w:jc w:val="center"/>
              <w:ind w:left="394"/>
              <w:spacing w:after="0"/>
              <w:rPr>
                <w:sz w:val="20"/>
                <w:szCs w:val="20"/>
                <w:color w:val="auto"/>
              </w:rPr>
            </w:pPr>
            <w:r>
              <w:rPr>
                <w:rFonts w:ascii="Times New Roman" w:cs="Times New Roman" w:eastAsia="Times New Roman" w:hAnsi="Times New Roman"/>
                <w:sz w:val="17"/>
                <w:szCs w:val="17"/>
                <w:color w:val="0000FF"/>
              </w:rPr>
              <w:t>22</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199"/>
        </w:trPr>
        <w:tc>
          <w:tcPr>
            <w:tcW w:w="16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Item 7.</w:t>
            </w:r>
          </w:p>
        </w:tc>
        <w:tc>
          <w:tcPr>
            <w:tcW w:w="81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940" w:type="dxa"/>
            <w:vAlign w:val="bottom"/>
            <w:gridSpan w:val="4"/>
          </w:tcPr>
          <w:p>
            <w:pPr>
              <w:jc w:val="center"/>
              <w:ind w:left="394"/>
              <w:spacing w:after="0"/>
              <w:rPr>
                <w:sz w:val="20"/>
                <w:szCs w:val="20"/>
                <w:color w:val="auto"/>
              </w:rPr>
            </w:pPr>
            <w:r>
              <w:rPr>
                <w:rFonts w:ascii="Times New Roman" w:cs="Times New Roman" w:eastAsia="Times New Roman" w:hAnsi="Times New Roman"/>
                <w:sz w:val="17"/>
                <w:szCs w:val="17"/>
                <w:color w:val="0000FF"/>
              </w:rPr>
              <w:t>23</w:t>
            </w:r>
          </w:p>
        </w:tc>
      </w:tr>
      <w:tr>
        <w:trPr>
          <w:trHeight w:val="199"/>
        </w:trPr>
        <w:tc>
          <w:tcPr>
            <w:tcW w:w="4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86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7"/>
                <w:szCs w:val="17"/>
                <w:color w:val="0000FF"/>
              </w:rPr>
              <w:t>Executive Overview</w:t>
            </w:r>
          </w:p>
        </w:tc>
        <w:tc>
          <w:tcPr>
            <w:tcW w:w="2000" w:type="dxa"/>
            <w:vAlign w:val="bottom"/>
            <w:gridSpan w:val="3"/>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82"/>
              </w:rPr>
              <w:t>23</w:t>
            </w:r>
          </w:p>
        </w:tc>
        <w:tc>
          <w:tcPr>
            <w:tcW w:w="18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199"/>
        </w:trPr>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Liquidity and Capital Resources</w:t>
            </w:r>
          </w:p>
        </w:tc>
        <w:tc>
          <w:tcPr>
            <w:tcW w:w="5540" w:type="dxa"/>
            <w:vAlign w:val="bottom"/>
            <w:gridSpan w:val="13"/>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82"/>
              </w:rPr>
              <w:t>25</w:t>
            </w:r>
          </w:p>
        </w:tc>
        <w:tc>
          <w:tcPr>
            <w:tcW w:w="180" w:type="dxa"/>
            <w:vAlign w:val="bottom"/>
          </w:tcPr>
          <w:p>
            <w:pPr>
              <w:spacing w:after="0"/>
              <w:rPr>
                <w:sz w:val="17"/>
                <w:szCs w:val="17"/>
                <w:color w:val="auto"/>
              </w:rPr>
            </w:pPr>
          </w:p>
        </w:tc>
      </w:tr>
      <w:tr>
        <w:trPr>
          <w:trHeight w:val="199"/>
        </w:trPr>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rPr>
              <w:t>Business Environment and Results of Operations</w:t>
            </w:r>
          </w:p>
        </w:tc>
        <w:tc>
          <w:tcPr>
            <w:tcW w:w="4220" w:type="dxa"/>
            <w:vAlign w:val="bottom"/>
            <w:gridSpan w:val="8"/>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82"/>
              </w:rPr>
              <w:t>27</w:t>
            </w:r>
          </w:p>
        </w:tc>
        <w:tc>
          <w:tcPr>
            <w:tcW w:w="180" w:type="dxa"/>
            <w:vAlign w:val="bottom"/>
          </w:tcPr>
          <w:p>
            <w:pPr>
              <w:spacing w:after="0"/>
              <w:rPr>
                <w:sz w:val="17"/>
                <w:szCs w:val="17"/>
                <w:color w:val="auto"/>
              </w:rPr>
            </w:pPr>
          </w:p>
        </w:tc>
      </w:tr>
      <w:tr>
        <w:trPr>
          <w:trHeight w:val="199"/>
        </w:trPr>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6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Results of Operations in 2023 Compared to 2022</w:t>
            </w:r>
          </w:p>
        </w:tc>
        <w:tc>
          <w:tcPr>
            <w:tcW w:w="940" w:type="dxa"/>
            <w:vAlign w:val="bottom"/>
            <w:gridSpan w:val="4"/>
          </w:tcPr>
          <w:p>
            <w:pPr>
              <w:jc w:val="center"/>
              <w:ind w:left="394"/>
              <w:spacing w:after="0"/>
              <w:rPr>
                <w:sz w:val="20"/>
                <w:szCs w:val="20"/>
                <w:color w:val="auto"/>
              </w:rPr>
            </w:pPr>
            <w:r>
              <w:rPr>
                <w:rFonts w:ascii="Times New Roman" w:cs="Times New Roman" w:eastAsia="Times New Roman" w:hAnsi="Times New Roman"/>
                <w:sz w:val="17"/>
                <w:szCs w:val="17"/>
                <w:color w:val="0000FF"/>
              </w:rPr>
              <w:t>29</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199"/>
        </w:trPr>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6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Results of Operations in 2022 Compared to 2021</w:t>
            </w:r>
          </w:p>
        </w:tc>
        <w:tc>
          <w:tcPr>
            <w:tcW w:w="940" w:type="dxa"/>
            <w:vAlign w:val="bottom"/>
            <w:gridSpan w:val="4"/>
          </w:tcPr>
          <w:p>
            <w:pPr>
              <w:jc w:val="center"/>
              <w:ind w:left="394"/>
              <w:spacing w:after="0"/>
              <w:rPr>
                <w:sz w:val="20"/>
                <w:szCs w:val="20"/>
                <w:color w:val="auto"/>
              </w:rPr>
            </w:pPr>
            <w:r>
              <w:rPr>
                <w:rFonts w:ascii="Times New Roman" w:cs="Times New Roman" w:eastAsia="Times New Roman" w:hAnsi="Times New Roman"/>
                <w:sz w:val="17"/>
                <w:szCs w:val="17"/>
                <w:color w:val="0000FF"/>
              </w:rPr>
              <w:t>32</w:t>
            </w:r>
          </w:p>
        </w:tc>
      </w:tr>
      <w:tr>
        <w:trPr>
          <w:trHeight w:val="199"/>
        </w:trPr>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rPr>
              <w:t>Critical Accounting Estimates</w:t>
            </w:r>
          </w:p>
        </w:tc>
        <w:tc>
          <w:tcPr>
            <w:tcW w:w="4500" w:type="dxa"/>
            <w:vAlign w:val="bottom"/>
            <w:gridSpan w:val="9"/>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82"/>
              </w:rPr>
              <w:t>33</w:t>
            </w:r>
          </w:p>
        </w:tc>
        <w:tc>
          <w:tcPr>
            <w:tcW w:w="18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199"/>
        </w:trPr>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w w:val="99"/>
              </w:rPr>
              <w:t>Financial Instrument Market Risk</w:t>
            </w:r>
          </w:p>
        </w:tc>
        <w:tc>
          <w:tcPr>
            <w:tcW w:w="5540" w:type="dxa"/>
            <w:vAlign w:val="bottom"/>
            <w:gridSpan w:val="13"/>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82"/>
              </w:rPr>
              <w:t>35</w:t>
            </w:r>
          </w:p>
        </w:tc>
        <w:tc>
          <w:tcPr>
            <w:tcW w:w="180" w:type="dxa"/>
            <w:vAlign w:val="bottom"/>
          </w:tcPr>
          <w:p>
            <w:pPr>
              <w:spacing w:after="0"/>
              <w:rPr>
                <w:sz w:val="17"/>
                <w:szCs w:val="17"/>
                <w:color w:val="auto"/>
              </w:rPr>
            </w:pPr>
          </w:p>
        </w:tc>
      </w:tr>
      <w:tr>
        <w:trPr>
          <w:trHeight w:val="199"/>
        </w:trPr>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6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Environmental Matters</w:t>
            </w:r>
          </w:p>
        </w:tc>
        <w:tc>
          <w:tcPr>
            <w:tcW w:w="940" w:type="dxa"/>
            <w:vAlign w:val="bottom"/>
            <w:gridSpan w:val="4"/>
          </w:tcPr>
          <w:p>
            <w:pPr>
              <w:jc w:val="center"/>
              <w:ind w:left="394"/>
              <w:spacing w:after="0"/>
              <w:rPr>
                <w:sz w:val="20"/>
                <w:szCs w:val="20"/>
                <w:color w:val="auto"/>
              </w:rPr>
            </w:pPr>
            <w:r>
              <w:rPr>
                <w:rFonts w:ascii="Times New Roman" w:cs="Times New Roman" w:eastAsia="Times New Roman" w:hAnsi="Times New Roman"/>
                <w:sz w:val="17"/>
                <w:szCs w:val="17"/>
                <w:color w:val="0000FF"/>
              </w:rPr>
              <w:t>36</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199"/>
        </w:trPr>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6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Forward-Looking Information</w:t>
            </w:r>
          </w:p>
        </w:tc>
        <w:tc>
          <w:tcPr>
            <w:tcW w:w="940" w:type="dxa"/>
            <w:vAlign w:val="bottom"/>
            <w:gridSpan w:val="4"/>
          </w:tcPr>
          <w:p>
            <w:pPr>
              <w:jc w:val="center"/>
              <w:ind w:left="394"/>
              <w:spacing w:after="0"/>
              <w:rPr>
                <w:sz w:val="20"/>
                <w:szCs w:val="20"/>
                <w:color w:val="auto"/>
              </w:rPr>
            </w:pPr>
            <w:r>
              <w:rPr>
                <w:rFonts w:ascii="Times New Roman" w:cs="Times New Roman" w:eastAsia="Times New Roman" w:hAnsi="Times New Roman"/>
                <w:sz w:val="17"/>
                <w:szCs w:val="17"/>
                <w:color w:val="0000FF"/>
              </w:rPr>
              <w:t>36</w:t>
            </w:r>
          </w:p>
        </w:tc>
      </w:tr>
      <w:tr>
        <w:trPr>
          <w:trHeight w:val="20"/>
        </w:trPr>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199"/>
        </w:trPr>
        <w:tc>
          <w:tcPr>
            <w:tcW w:w="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8"/>
              </w:rPr>
              <w:t>Item 7(a).</w:t>
            </w:r>
          </w:p>
        </w:tc>
        <w:tc>
          <w:tcPr>
            <w:tcW w:w="940" w:type="dxa"/>
            <w:vAlign w:val="bottom"/>
            <w:gridSpan w:val="5"/>
          </w:tcPr>
          <w:p>
            <w:pPr>
              <w:spacing w:after="0"/>
              <w:rPr>
                <w:sz w:val="17"/>
                <w:szCs w:val="17"/>
                <w:color w:val="auto"/>
              </w:rPr>
            </w:pPr>
          </w:p>
        </w:tc>
        <w:tc>
          <w:tcPr>
            <w:tcW w:w="81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940" w:type="dxa"/>
            <w:vAlign w:val="bottom"/>
            <w:gridSpan w:val="4"/>
          </w:tcPr>
          <w:p>
            <w:pPr>
              <w:jc w:val="center"/>
              <w:ind w:left="394"/>
              <w:spacing w:after="0"/>
              <w:rPr>
                <w:sz w:val="20"/>
                <w:szCs w:val="20"/>
                <w:color w:val="auto"/>
              </w:rPr>
            </w:pPr>
            <w:r>
              <w:rPr>
                <w:rFonts w:ascii="Times New Roman" w:cs="Times New Roman" w:eastAsia="Times New Roman" w:hAnsi="Times New Roman"/>
                <w:sz w:val="17"/>
                <w:szCs w:val="17"/>
                <w:color w:val="0000FF"/>
              </w:rPr>
              <w:t>37</w:t>
            </w:r>
          </w:p>
        </w:tc>
      </w:tr>
      <w:tr>
        <w:trPr>
          <w:trHeight w:val="199"/>
        </w:trPr>
        <w:tc>
          <w:tcPr>
            <w:tcW w:w="7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Item 8.</w:t>
            </w:r>
          </w:p>
        </w:tc>
        <w:tc>
          <w:tcPr>
            <w:tcW w:w="940" w:type="dxa"/>
            <w:vAlign w:val="bottom"/>
            <w:gridSpan w:val="5"/>
          </w:tcPr>
          <w:p>
            <w:pPr>
              <w:spacing w:after="0"/>
              <w:rPr>
                <w:sz w:val="17"/>
                <w:szCs w:val="17"/>
                <w:color w:val="auto"/>
              </w:rPr>
            </w:pPr>
          </w:p>
        </w:tc>
        <w:tc>
          <w:tcPr>
            <w:tcW w:w="410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4020" w:type="dxa"/>
            <w:vAlign w:val="bottom"/>
            <w:gridSpan w:val="7"/>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82"/>
              </w:rPr>
              <w:t>38</w:t>
            </w:r>
          </w:p>
        </w:tc>
        <w:tc>
          <w:tcPr>
            <w:tcW w:w="18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199"/>
        </w:trPr>
        <w:tc>
          <w:tcPr>
            <w:tcW w:w="16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Item 9.</w:t>
            </w:r>
          </w:p>
        </w:tc>
        <w:tc>
          <w:tcPr>
            <w:tcW w:w="81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940" w:type="dxa"/>
            <w:vAlign w:val="bottom"/>
            <w:gridSpan w:val="4"/>
          </w:tcPr>
          <w:p>
            <w:pPr>
              <w:jc w:val="center"/>
              <w:ind w:left="394"/>
              <w:spacing w:after="0"/>
              <w:rPr>
                <w:sz w:val="20"/>
                <w:szCs w:val="20"/>
                <w:color w:val="auto"/>
              </w:rPr>
            </w:pPr>
            <w:r>
              <w:rPr>
                <w:rFonts w:ascii="Times New Roman" w:cs="Times New Roman" w:eastAsia="Times New Roman" w:hAnsi="Times New Roman"/>
                <w:sz w:val="17"/>
                <w:szCs w:val="17"/>
                <w:color w:val="0000FF"/>
              </w:rPr>
              <w:t>70</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199"/>
        </w:trPr>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Item 9(a).</w:t>
            </w:r>
          </w:p>
        </w:tc>
        <w:tc>
          <w:tcPr>
            <w:tcW w:w="940" w:type="dxa"/>
            <w:vAlign w:val="bottom"/>
            <w:gridSpan w:val="5"/>
          </w:tcPr>
          <w:p>
            <w:pPr>
              <w:spacing w:after="0"/>
              <w:rPr>
                <w:sz w:val="17"/>
                <w:szCs w:val="17"/>
                <w:color w:val="auto"/>
              </w:rPr>
            </w:pPr>
          </w:p>
        </w:tc>
        <w:tc>
          <w:tcPr>
            <w:tcW w:w="16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w w:val="96"/>
              </w:rPr>
              <w:t>Controls and Procedures</w:t>
            </w:r>
          </w:p>
        </w:tc>
        <w:tc>
          <w:tcPr>
            <w:tcW w:w="6480" w:type="dxa"/>
            <w:vAlign w:val="bottom"/>
            <w:gridSpan w:val="21"/>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82"/>
              </w:rPr>
              <w:t>70</w:t>
            </w:r>
          </w:p>
        </w:tc>
        <w:tc>
          <w:tcPr>
            <w:tcW w:w="180" w:type="dxa"/>
            <w:vAlign w:val="bottom"/>
          </w:tcPr>
          <w:p>
            <w:pPr>
              <w:spacing w:after="0"/>
              <w:rPr>
                <w:sz w:val="17"/>
                <w:szCs w:val="17"/>
                <w:color w:val="auto"/>
              </w:rPr>
            </w:pPr>
          </w:p>
        </w:tc>
      </w:tr>
      <w:tr>
        <w:trPr>
          <w:trHeight w:val="199"/>
        </w:trPr>
        <w:tc>
          <w:tcPr>
            <w:tcW w:w="7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 9(b).</w:t>
            </w:r>
          </w:p>
        </w:tc>
        <w:tc>
          <w:tcPr>
            <w:tcW w:w="920" w:type="dxa"/>
            <w:vAlign w:val="bottom"/>
            <w:gridSpan w:val="4"/>
          </w:tcPr>
          <w:p>
            <w:pPr>
              <w:spacing w:after="0"/>
              <w:rPr>
                <w:sz w:val="17"/>
                <w:szCs w:val="17"/>
                <w:color w:val="auto"/>
              </w:rPr>
            </w:pPr>
          </w:p>
        </w:tc>
        <w:tc>
          <w:tcPr>
            <w:tcW w:w="81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940" w:type="dxa"/>
            <w:vAlign w:val="bottom"/>
            <w:gridSpan w:val="4"/>
          </w:tcPr>
          <w:p>
            <w:pPr>
              <w:jc w:val="center"/>
              <w:ind w:left="394"/>
              <w:spacing w:after="0"/>
              <w:rPr>
                <w:sz w:val="20"/>
                <w:szCs w:val="20"/>
                <w:color w:val="auto"/>
              </w:rPr>
            </w:pPr>
            <w:r>
              <w:rPr>
                <w:rFonts w:ascii="Times New Roman" w:cs="Times New Roman" w:eastAsia="Times New Roman" w:hAnsi="Times New Roman"/>
                <w:sz w:val="17"/>
                <w:szCs w:val="17"/>
                <w:color w:val="0000FF"/>
              </w:rPr>
              <w:t>70</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6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199"/>
        </w:trPr>
        <w:tc>
          <w:tcPr>
            <w:tcW w:w="7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8"/>
              </w:rPr>
              <w:t>Item 9(c).</w:t>
            </w:r>
          </w:p>
        </w:tc>
        <w:tc>
          <w:tcPr>
            <w:tcW w:w="20" w:type="dxa"/>
            <w:vAlign w:val="bottom"/>
          </w:tcPr>
          <w:p>
            <w:pPr>
              <w:spacing w:after="0"/>
              <w:rPr>
                <w:sz w:val="17"/>
                <w:szCs w:val="17"/>
                <w:color w:val="auto"/>
              </w:rPr>
            </w:pPr>
          </w:p>
        </w:tc>
        <w:tc>
          <w:tcPr>
            <w:tcW w:w="920" w:type="dxa"/>
            <w:vAlign w:val="bottom"/>
            <w:gridSpan w:val="4"/>
          </w:tcPr>
          <w:p>
            <w:pPr>
              <w:spacing w:after="0"/>
              <w:rPr>
                <w:sz w:val="17"/>
                <w:szCs w:val="17"/>
                <w:color w:val="auto"/>
              </w:rPr>
            </w:pPr>
          </w:p>
        </w:tc>
        <w:tc>
          <w:tcPr>
            <w:tcW w:w="81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940" w:type="dxa"/>
            <w:vAlign w:val="bottom"/>
            <w:gridSpan w:val="4"/>
          </w:tcPr>
          <w:p>
            <w:pPr>
              <w:jc w:val="center"/>
              <w:ind w:left="394"/>
              <w:spacing w:after="0"/>
              <w:rPr>
                <w:sz w:val="20"/>
                <w:szCs w:val="20"/>
                <w:color w:val="auto"/>
              </w:rPr>
            </w:pPr>
            <w:r>
              <w:rPr>
                <w:rFonts w:ascii="Times New Roman" w:cs="Times New Roman" w:eastAsia="Times New Roman" w:hAnsi="Times New Roman"/>
                <w:sz w:val="17"/>
                <w:szCs w:val="17"/>
                <w:color w:val="0000FF"/>
              </w:rPr>
              <w:t>70</w:t>
            </w:r>
          </w:p>
        </w:tc>
      </w:tr>
      <w:tr>
        <w:trPr>
          <w:trHeight w:val="325"/>
        </w:trPr>
        <w:tc>
          <w:tcPr>
            <w:tcW w:w="7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b w:val="1"/>
                <w:bCs w:val="1"/>
                <w:color w:val="auto"/>
                <w:w w:val="93"/>
              </w:rPr>
              <w:t>PART III</w:t>
            </w:r>
          </w:p>
        </w:tc>
        <w:tc>
          <w:tcPr>
            <w:tcW w:w="940" w:type="dxa"/>
            <w:vAlign w:val="bottom"/>
            <w:gridSpan w:val="5"/>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r>
      <w:tr>
        <w:trPr>
          <w:trHeight w:val="184"/>
        </w:trPr>
        <w:tc>
          <w:tcPr>
            <w:tcW w:w="580" w:type="dxa"/>
            <w:vAlign w:val="bottom"/>
            <w:tcBorders>
              <w:bottom w:val="single" w:sz="8" w:color="0000FF"/>
            </w:tcBorders>
            <w:gridSpan w:val="3"/>
          </w:tcPr>
          <w:p>
            <w:pPr>
              <w:spacing w:after="0" w:line="184" w:lineRule="exact"/>
              <w:rPr>
                <w:sz w:val="20"/>
                <w:szCs w:val="20"/>
                <w:color w:val="auto"/>
              </w:rPr>
            </w:pPr>
            <w:r>
              <w:rPr>
                <w:rFonts w:ascii="Times New Roman" w:cs="Times New Roman" w:eastAsia="Times New Roman" w:hAnsi="Times New Roman"/>
                <w:sz w:val="17"/>
                <w:szCs w:val="17"/>
                <w:color w:val="0000FF"/>
                <w:w w:val="98"/>
              </w:rPr>
              <w:t>Item 10.</w:t>
            </w:r>
          </w:p>
        </w:tc>
        <w:tc>
          <w:tcPr>
            <w:tcW w:w="1060" w:type="dxa"/>
            <w:vAlign w:val="bottom"/>
            <w:gridSpan w:val="6"/>
          </w:tcPr>
          <w:p>
            <w:pPr>
              <w:spacing w:after="0"/>
              <w:rPr>
                <w:sz w:val="16"/>
                <w:szCs w:val="16"/>
                <w:color w:val="auto"/>
              </w:rPr>
            </w:pPr>
          </w:p>
        </w:tc>
        <w:tc>
          <w:tcPr>
            <w:tcW w:w="3900" w:type="dxa"/>
            <w:vAlign w:val="bottom"/>
            <w:tcBorders>
              <w:bottom w:val="single" w:sz="8" w:color="0000FF"/>
            </w:tcBorders>
            <w:gridSpan w:val="22"/>
          </w:tcPr>
          <w:p>
            <w:pPr>
              <w:spacing w:after="0" w:line="184" w:lineRule="exact"/>
              <w:rPr>
                <w:sz w:val="20"/>
                <w:szCs w:val="20"/>
                <w:color w:val="auto"/>
              </w:rPr>
            </w:pPr>
            <w:r>
              <w:rPr>
                <w:rFonts w:ascii="Times New Roman" w:cs="Times New Roman" w:eastAsia="Times New Roman" w:hAnsi="Times New Roman"/>
                <w:sz w:val="17"/>
                <w:szCs w:val="17"/>
                <w:color w:val="0000FF"/>
                <w:w w:val="99"/>
              </w:rPr>
              <w:t>Directors, Executive Officers, and Corporate Governance</w:t>
            </w:r>
          </w:p>
        </w:tc>
        <w:tc>
          <w:tcPr>
            <w:tcW w:w="4220" w:type="dxa"/>
            <w:vAlign w:val="bottom"/>
            <w:gridSpan w:val="8"/>
          </w:tcPr>
          <w:p>
            <w:pPr>
              <w:spacing w:after="0"/>
              <w:rPr>
                <w:sz w:val="16"/>
                <w:szCs w:val="16"/>
                <w:color w:val="auto"/>
              </w:rPr>
            </w:pPr>
          </w:p>
        </w:tc>
        <w:tc>
          <w:tcPr>
            <w:tcW w:w="660" w:type="dxa"/>
            <w:vAlign w:val="bottom"/>
            <w:gridSpan w:val="2"/>
          </w:tcPr>
          <w:p>
            <w:pPr>
              <w:spacing w:after="0"/>
              <w:rPr>
                <w:sz w:val="16"/>
                <w:szCs w:val="16"/>
                <w:color w:val="auto"/>
              </w:rPr>
            </w:pPr>
          </w:p>
        </w:tc>
        <w:tc>
          <w:tcPr>
            <w:tcW w:w="100" w:type="dxa"/>
            <w:vAlign w:val="bottom"/>
            <w:tcBorders>
              <w:bottom w:val="single" w:sz="8" w:color="0000FF"/>
            </w:tcBorders>
          </w:tcPr>
          <w:p>
            <w:pPr>
              <w:jc w:val="center"/>
              <w:spacing w:after="0" w:line="184" w:lineRule="exact"/>
              <w:rPr>
                <w:sz w:val="20"/>
                <w:szCs w:val="20"/>
                <w:color w:val="auto"/>
              </w:rPr>
            </w:pPr>
            <w:r>
              <w:rPr>
                <w:rFonts w:ascii="Times New Roman" w:cs="Times New Roman" w:eastAsia="Times New Roman" w:hAnsi="Times New Roman"/>
                <w:sz w:val="17"/>
                <w:szCs w:val="17"/>
                <w:color w:val="0000FF"/>
                <w:w w:val="82"/>
              </w:rPr>
              <w:t>71</w:t>
            </w:r>
          </w:p>
        </w:tc>
        <w:tc>
          <w:tcPr>
            <w:tcW w:w="180" w:type="dxa"/>
            <w:vAlign w:val="bottom"/>
          </w:tcPr>
          <w:p>
            <w:pPr>
              <w:spacing w:after="0"/>
              <w:rPr>
                <w:sz w:val="16"/>
                <w:szCs w:val="16"/>
                <w:color w:val="auto"/>
              </w:rPr>
            </w:pPr>
          </w:p>
        </w:tc>
      </w:tr>
      <w:tr>
        <w:trPr>
          <w:trHeight w:val="199"/>
        </w:trPr>
        <w:tc>
          <w:tcPr>
            <w:tcW w:w="16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Item 11.</w:t>
            </w:r>
          </w:p>
        </w:tc>
        <w:tc>
          <w:tcPr>
            <w:tcW w:w="81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940" w:type="dxa"/>
            <w:vAlign w:val="bottom"/>
            <w:gridSpan w:val="4"/>
          </w:tcPr>
          <w:p>
            <w:pPr>
              <w:jc w:val="center"/>
              <w:ind w:left="394"/>
              <w:spacing w:after="0"/>
              <w:rPr>
                <w:sz w:val="20"/>
                <w:szCs w:val="20"/>
                <w:color w:val="auto"/>
              </w:rPr>
            </w:pPr>
            <w:r>
              <w:rPr>
                <w:rFonts w:ascii="Times New Roman" w:cs="Times New Roman" w:eastAsia="Times New Roman" w:hAnsi="Times New Roman"/>
                <w:sz w:val="17"/>
                <w:szCs w:val="17"/>
                <w:color w:val="0000FF"/>
              </w:rPr>
              <w:t>71</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6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199"/>
        </w:trPr>
        <w:tc>
          <w:tcPr>
            <w:tcW w:w="16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Item 12(a).</w:t>
            </w:r>
          </w:p>
        </w:tc>
        <w:tc>
          <w:tcPr>
            <w:tcW w:w="81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w:t>
            </w:r>
          </w:p>
        </w:tc>
        <w:tc>
          <w:tcPr>
            <w:tcW w:w="940" w:type="dxa"/>
            <w:vAlign w:val="bottom"/>
            <w:gridSpan w:val="4"/>
          </w:tcPr>
          <w:p>
            <w:pPr>
              <w:jc w:val="center"/>
              <w:ind w:left="394"/>
              <w:spacing w:after="0"/>
              <w:rPr>
                <w:sz w:val="20"/>
                <w:szCs w:val="20"/>
                <w:color w:val="auto"/>
              </w:rPr>
            </w:pPr>
            <w:r>
              <w:rPr>
                <w:rFonts w:ascii="Times New Roman" w:cs="Times New Roman" w:eastAsia="Times New Roman" w:hAnsi="Times New Roman"/>
                <w:sz w:val="17"/>
                <w:szCs w:val="17"/>
                <w:color w:val="0000FF"/>
              </w:rPr>
              <w:t>71</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gridSpan w:val="7"/>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6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199"/>
        </w:trPr>
        <w:tc>
          <w:tcPr>
            <w:tcW w:w="7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w w:val="99"/>
              </w:rPr>
              <w:t>Item 12(b).</w:t>
            </w:r>
          </w:p>
        </w:tc>
        <w:tc>
          <w:tcPr>
            <w:tcW w:w="860" w:type="dxa"/>
            <w:vAlign w:val="bottom"/>
            <w:gridSpan w:val="2"/>
          </w:tcPr>
          <w:p>
            <w:pPr>
              <w:spacing w:after="0"/>
              <w:rPr>
                <w:sz w:val="17"/>
                <w:szCs w:val="17"/>
                <w:color w:val="auto"/>
              </w:rPr>
            </w:pPr>
          </w:p>
        </w:tc>
        <w:tc>
          <w:tcPr>
            <w:tcW w:w="81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Security Ownership of Management</w:t>
            </w:r>
          </w:p>
        </w:tc>
        <w:tc>
          <w:tcPr>
            <w:tcW w:w="940" w:type="dxa"/>
            <w:vAlign w:val="bottom"/>
            <w:gridSpan w:val="4"/>
          </w:tcPr>
          <w:p>
            <w:pPr>
              <w:jc w:val="center"/>
              <w:ind w:left="394"/>
              <w:spacing w:after="0"/>
              <w:rPr>
                <w:sz w:val="20"/>
                <w:szCs w:val="20"/>
                <w:color w:val="auto"/>
              </w:rPr>
            </w:pPr>
            <w:r>
              <w:rPr>
                <w:rFonts w:ascii="Times New Roman" w:cs="Times New Roman" w:eastAsia="Times New Roman" w:hAnsi="Times New Roman"/>
                <w:sz w:val="17"/>
                <w:szCs w:val="17"/>
                <w:color w:val="0000FF"/>
              </w:rPr>
              <w:t>71</w:t>
            </w:r>
          </w:p>
        </w:tc>
      </w:tr>
      <w:tr>
        <w:trPr>
          <w:trHeight w:val="199"/>
        </w:trPr>
        <w:tc>
          <w:tcPr>
            <w:tcW w:w="7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Item 12(c).</w:t>
            </w:r>
          </w:p>
        </w:tc>
        <w:tc>
          <w:tcPr>
            <w:tcW w:w="860" w:type="dxa"/>
            <w:vAlign w:val="bottom"/>
            <w:gridSpan w:val="2"/>
          </w:tcPr>
          <w:p>
            <w:pPr>
              <w:spacing w:after="0"/>
              <w:rPr>
                <w:sz w:val="17"/>
                <w:szCs w:val="17"/>
                <w:color w:val="auto"/>
              </w:rPr>
            </w:pPr>
          </w:p>
        </w:tc>
        <w:tc>
          <w:tcPr>
            <w:tcW w:w="24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Changes in Control</w:t>
            </w:r>
          </w:p>
        </w:tc>
        <w:tc>
          <w:tcPr>
            <w:tcW w:w="5680" w:type="dxa"/>
            <w:vAlign w:val="bottom"/>
            <w:gridSpan w:val="15"/>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82"/>
              </w:rPr>
              <w:t>71</w:t>
            </w:r>
          </w:p>
        </w:tc>
        <w:tc>
          <w:tcPr>
            <w:tcW w:w="180" w:type="dxa"/>
            <w:vAlign w:val="bottom"/>
          </w:tcPr>
          <w:p>
            <w:pPr>
              <w:spacing w:after="0"/>
              <w:rPr>
                <w:sz w:val="17"/>
                <w:szCs w:val="17"/>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10"/>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6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199"/>
        </w:trPr>
        <w:tc>
          <w:tcPr>
            <w:tcW w:w="7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w w:val="99"/>
              </w:rPr>
              <w:t>Item 12(d).</w:t>
            </w:r>
          </w:p>
        </w:tc>
        <w:tc>
          <w:tcPr>
            <w:tcW w:w="860" w:type="dxa"/>
            <w:vAlign w:val="bottom"/>
            <w:gridSpan w:val="2"/>
          </w:tcPr>
          <w:p>
            <w:pPr>
              <w:spacing w:after="0"/>
              <w:rPr>
                <w:sz w:val="17"/>
                <w:szCs w:val="17"/>
                <w:color w:val="auto"/>
              </w:rPr>
            </w:pPr>
          </w:p>
        </w:tc>
        <w:tc>
          <w:tcPr>
            <w:tcW w:w="81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Securities Authorized for Issuance Under Equity Compensation Plans</w:t>
            </w:r>
          </w:p>
        </w:tc>
        <w:tc>
          <w:tcPr>
            <w:tcW w:w="940" w:type="dxa"/>
            <w:vAlign w:val="bottom"/>
            <w:gridSpan w:val="4"/>
          </w:tcPr>
          <w:p>
            <w:pPr>
              <w:jc w:val="center"/>
              <w:ind w:left="394"/>
              <w:spacing w:after="0"/>
              <w:rPr>
                <w:sz w:val="20"/>
                <w:szCs w:val="20"/>
                <w:color w:val="auto"/>
              </w:rPr>
            </w:pPr>
            <w:r>
              <w:rPr>
                <w:rFonts w:ascii="Times New Roman" w:cs="Times New Roman" w:eastAsia="Times New Roman" w:hAnsi="Times New Roman"/>
                <w:sz w:val="17"/>
                <w:szCs w:val="17"/>
                <w:color w:val="0000FF"/>
              </w:rPr>
              <w:t>71</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gridSpan w:val="6"/>
            <w:shd w:val="clear" w:color="auto" w:fill="0000FF"/>
          </w:tcPr>
          <w:p>
            <w:pPr>
              <w:spacing w:after="0" w:line="20" w:lineRule="exact"/>
              <w:rPr>
                <w:sz w:val="1"/>
                <w:szCs w:val="1"/>
                <w:color w:val="auto"/>
              </w:rPr>
            </w:pPr>
          </w:p>
        </w:tc>
        <w:tc>
          <w:tcPr>
            <w:tcW w:w="1260" w:type="dxa"/>
            <w:vAlign w:val="bottom"/>
            <w:gridSpan w:val="10"/>
            <w:shd w:val="clear" w:color="auto" w:fill="0000FF"/>
          </w:tcPr>
          <w:p>
            <w:pPr>
              <w:spacing w:after="0" w:line="20" w:lineRule="exact"/>
              <w:rPr>
                <w:sz w:val="1"/>
                <w:szCs w:val="1"/>
                <w:color w:val="auto"/>
              </w:rPr>
            </w:pPr>
          </w:p>
        </w:tc>
        <w:tc>
          <w:tcPr>
            <w:tcW w:w="2060" w:type="dxa"/>
            <w:vAlign w:val="bottom"/>
            <w:gridSpan w:val="7"/>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6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199"/>
        </w:trPr>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Item 13.</w:t>
            </w:r>
          </w:p>
        </w:tc>
        <w:tc>
          <w:tcPr>
            <w:tcW w:w="200" w:type="dxa"/>
            <w:vAlign w:val="bottom"/>
            <w:gridSpan w:val="4"/>
          </w:tcPr>
          <w:p>
            <w:pPr>
              <w:spacing w:after="0"/>
              <w:rPr>
                <w:sz w:val="17"/>
                <w:szCs w:val="17"/>
                <w:color w:val="auto"/>
              </w:rPr>
            </w:pPr>
          </w:p>
        </w:tc>
        <w:tc>
          <w:tcPr>
            <w:tcW w:w="860" w:type="dxa"/>
            <w:vAlign w:val="bottom"/>
            <w:gridSpan w:val="2"/>
          </w:tcPr>
          <w:p>
            <w:pPr>
              <w:spacing w:after="0"/>
              <w:rPr>
                <w:sz w:val="17"/>
                <w:szCs w:val="17"/>
                <w:color w:val="auto"/>
              </w:rPr>
            </w:pPr>
          </w:p>
        </w:tc>
        <w:tc>
          <w:tcPr>
            <w:tcW w:w="51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7"/>
                <w:szCs w:val="17"/>
                <w:color w:val="0000FF"/>
                <w:w w:val="99"/>
              </w:rPr>
              <w:t>Certain Relationships and Related Transactions, and Director Independence</w:t>
            </w:r>
          </w:p>
        </w:tc>
        <w:tc>
          <w:tcPr>
            <w:tcW w:w="2960" w:type="dxa"/>
            <w:vAlign w:val="bottom"/>
            <w:gridSpan w:val="4"/>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82"/>
              </w:rPr>
              <w:t>71</w:t>
            </w:r>
          </w:p>
        </w:tc>
        <w:tc>
          <w:tcPr>
            <w:tcW w:w="180" w:type="dxa"/>
            <w:vAlign w:val="bottom"/>
          </w:tcPr>
          <w:p>
            <w:pPr>
              <w:spacing w:after="0"/>
              <w:rPr>
                <w:sz w:val="17"/>
                <w:szCs w:val="17"/>
                <w:color w:val="auto"/>
              </w:rPr>
            </w:pPr>
          </w:p>
        </w:tc>
      </w:tr>
      <w:tr>
        <w:trPr>
          <w:trHeight w:val="199"/>
        </w:trPr>
        <w:tc>
          <w:tcPr>
            <w:tcW w:w="5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8"/>
              </w:rPr>
              <w:t>Item 14.</w:t>
            </w:r>
          </w:p>
        </w:tc>
        <w:tc>
          <w:tcPr>
            <w:tcW w:w="1060" w:type="dxa"/>
            <w:vAlign w:val="bottom"/>
            <w:gridSpan w:val="6"/>
          </w:tcPr>
          <w:p>
            <w:pPr>
              <w:spacing w:after="0"/>
              <w:rPr>
                <w:sz w:val="17"/>
                <w:szCs w:val="17"/>
                <w:color w:val="auto"/>
              </w:rPr>
            </w:pPr>
          </w:p>
        </w:tc>
        <w:tc>
          <w:tcPr>
            <w:tcW w:w="81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Principal Accounting Fees and Services</w:t>
            </w:r>
          </w:p>
        </w:tc>
        <w:tc>
          <w:tcPr>
            <w:tcW w:w="940" w:type="dxa"/>
            <w:vAlign w:val="bottom"/>
            <w:gridSpan w:val="4"/>
          </w:tcPr>
          <w:p>
            <w:pPr>
              <w:jc w:val="center"/>
              <w:ind w:left="394"/>
              <w:spacing w:after="0"/>
              <w:rPr>
                <w:sz w:val="20"/>
                <w:szCs w:val="20"/>
                <w:color w:val="auto"/>
              </w:rPr>
            </w:pPr>
            <w:r>
              <w:rPr>
                <w:rFonts w:ascii="Times New Roman" w:cs="Times New Roman" w:eastAsia="Times New Roman" w:hAnsi="Times New Roman"/>
                <w:sz w:val="17"/>
                <w:szCs w:val="17"/>
                <w:color w:val="0000FF"/>
              </w:rPr>
              <w:t>71</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325"/>
        </w:trPr>
        <w:tc>
          <w:tcPr>
            <w:tcW w:w="164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4"/>
        </w:trPr>
        <w:tc>
          <w:tcPr>
            <w:tcW w:w="580" w:type="dxa"/>
            <w:vAlign w:val="bottom"/>
            <w:tcBorders>
              <w:bottom w:val="single" w:sz="8" w:color="0000FF"/>
            </w:tcBorders>
            <w:gridSpan w:val="3"/>
          </w:tcPr>
          <w:p>
            <w:pPr>
              <w:spacing w:after="0" w:line="184" w:lineRule="exact"/>
              <w:rPr>
                <w:sz w:val="20"/>
                <w:szCs w:val="20"/>
                <w:color w:val="auto"/>
              </w:rPr>
            </w:pPr>
            <w:r>
              <w:rPr>
                <w:rFonts w:ascii="Times New Roman" w:cs="Times New Roman" w:eastAsia="Times New Roman" w:hAnsi="Times New Roman"/>
                <w:sz w:val="17"/>
                <w:szCs w:val="17"/>
                <w:color w:val="0000FF"/>
                <w:w w:val="98"/>
              </w:rPr>
              <w:t>Item 15.</w:t>
            </w:r>
          </w:p>
        </w:tc>
        <w:tc>
          <w:tcPr>
            <w:tcW w:w="1060" w:type="dxa"/>
            <w:vAlign w:val="bottom"/>
            <w:gridSpan w:val="6"/>
          </w:tcPr>
          <w:p>
            <w:pPr>
              <w:spacing w:after="0"/>
              <w:rPr>
                <w:sz w:val="16"/>
                <w:szCs w:val="16"/>
                <w:color w:val="auto"/>
              </w:rPr>
            </w:pPr>
          </w:p>
        </w:tc>
        <w:tc>
          <w:tcPr>
            <w:tcW w:w="560" w:type="dxa"/>
            <w:vAlign w:val="bottom"/>
            <w:tcBorders>
              <w:bottom w:val="single" w:sz="8" w:color="0000FF"/>
            </w:tcBorders>
            <w:gridSpan w:val="2"/>
          </w:tcPr>
          <w:p>
            <w:pPr>
              <w:spacing w:after="0" w:line="184" w:lineRule="exact"/>
              <w:rPr>
                <w:sz w:val="20"/>
                <w:szCs w:val="20"/>
                <w:color w:val="auto"/>
              </w:rPr>
            </w:pPr>
            <w:r>
              <w:rPr>
                <w:rFonts w:ascii="Times New Roman" w:cs="Times New Roman" w:eastAsia="Times New Roman" w:hAnsi="Times New Roman"/>
                <w:sz w:val="17"/>
                <w:szCs w:val="17"/>
                <w:color w:val="0000FF"/>
                <w:w w:val="91"/>
              </w:rPr>
              <w:t>Exhibits</w:t>
            </w:r>
          </w:p>
        </w:tc>
        <w:tc>
          <w:tcPr>
            <w:tcW w:w="7560" w:type="dxa"/>
            <w:vAlign w:val="bottom"/>
            <w:gridSpan w:val="28"/>
          </w:tcPr>
          <w:p>
            <w:pPr>
              <w:spacing w:after="0"/>
              <w:rPr>
                <w:sz w:val="16"/>
                <w:szCs w:val="16"/>
                <w:color w:val="auto"/>
              </w:rPr>
            </w:pPr>
          </w:p>
        </w:tc>
        <w:tc>
          <w:tcPr>
            <w:tcW w:w="660" w:type="dxa"/>
            <w:vAlign w:val="bottom"/>
            <w:gridSpan w:val="2"/>
          </w:tcPr>
          <w:p>
            <w:pPr>
              <w:spacing w:after="0"/>
              <w:rPr>
                <w:sz w:val="16"/>
                <w:szCs w:val="16"/>
                <w:color w:val="auto"/>
              </w:rPr>
            </w:pPr>
          </w:p>
        </w:tc>
        <w:tc>
          <w:tcPr>
            <w:tcW w:w="100" w:type="dxa"/>
            <w:vAlign w:val="bottom"/>
            <w:tcBorders>
              <w:bottom w:val="single" w:sz="8" w:color="0000FF"/>
            </w:tcBorders>
          </w:tcPr>
          <w:p>
            <w:pPr>
              <w:jc w:val="center"/>
              <w:spacing w:after="0" w:line="184" w:lineRule="exact"/>
              <w:rPr>
                <w:sz w:val="20"/>
                <w:szCs w:val="20"/>
                <w:color w:val="auto"/>
              </w:rPr>
            </w:pPr>
            <w:r>
              <w:rPr>
                <w:rFonts w:ascii="Times New Roman" w:cs="Times New Roman" w:eastAsia="Times New Roman" w:hAnsi="Times New Roman"/>
                <w:sz w:val="17"/>
                <w:szCs w:val="17"/>
                <w:color w:val="0000FF"/>
                <w:w w:val="82"/>
              </w:rPr>
              <w:t>72</w:t>
            </w:r>
          </w:p>
        </w:tc>
        <w:tc>
          <w:tcPr>
            <w:tcW w:w="180" w:type="dxa"/>
            <w:vAlign w:val="bottom"/>
          </w:tcPr>
          <w:p>
            <w:pPr>
              <w:spacing w:after="0"/>
              <w:rPr>
                <w:sz w:val="16"/>
                <w:szCs w:val="16"/>
                <w:color w:val="auto"/>
              </w:rPr>
            </w:pPr>
          </w:p>
        </w:tc>
      </w:tr>
      <w:tr>
        <w:trPr>
          <w:trHeight w:val="199"/>
        </w:trPr>
        <w:tc>
          <w:tcPr>
            <w:tcW w:w="5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8"/>
              </w:rPr>
              <w:t>Item 16.</w:t>
            </w:r>
          </w:p>
        </w:tc>
        <w:tc>
          <w:tcPr>
            <w:tcW w:w="1060" w:type="dxa"/>
            <w:vAlign w:val="bottom"/>
            <w:gridSpan w:val="6"/>
          </w:tcPr>
          <w:p>
            <w:pPr>
              <w:spacing w:after="0"/>
              <w:rPr>
                <w:sz w:val="17"/>
                <w:szCs w:val="17"/>
                <w:color w:val="auto"/>
              </w:rPr>
            </w:pPr>
          </w:p>
        </w:tc>
        <w:tc>
          <w:tcPr>
            <w:tcW w:w="8120" w:type="dxa"/>
            <w:vAlign w:val="bottom"/>
            <w:gridSpan w:val="30"/>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940" w:type="dxa"/>
            <w:vAlign w:val="bottom"/>
            <w:gridSpan w:val="4"/>
          </w:tcPr>
          <w:p>
            <w:pPr>
              <w:jc w:val="center"/>
              <w:ind w:left="394"/>
              <w:spacing w:after="0"/>
              <w:rPr>
                <w:sz w:val="20"/>
                <w:szCs w:val="20"/>
                <w:color w:val="auto"/>
              </w:rPr>
            </w:pPr>
            <w:r>
              <w:rPr>
                <w:rFonts w:ascii="Times New Roman" w:cs="Times New Roman" w:eastAsia="Times New Roman" w:hAnsi="Times New Roman"/>
                <w:sz w:val="17"/>
                <w:szCs w:val="17"/>
                <w:color w:val="0000FF"/>
              </w:rPr>
              <w:t>77</w:t>
            </w: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289"/>
        </w:trPr>
        <w:tc>
          <w:tcPr>
            <w:tcW w:w="164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0000FF"/>
              </w:rPr>
              <w:t>SIGNATURES</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gridSpan w:val="4"/>
          </w:tcPr>
          <w:p>
            <w:pPr>
              <w:jc w:val="center"/>
              <w:ind w:left="394"/>
              <w:spacing w:after="0"/>
              <w:rPr>
                <w:sz w:val="20"/>
                <w:szCs w:val="20"/>
                <w:color w:val="auto"/>
              </w:rPr>
            </w:pPr>
            <w:r>
              <w:rPr>
                <w:rFonts w:ascii="Times New Roman" w:cs="Times New Roman" w:eastAsia="Times New Roman" w:hAnsi="Times New Roman"/>
                <w:sz w:val="17"/>
                <w:szCs w:val="17"/>
                <w:color w:val="0000FF"/>
              </w:rPr>
              <w:t>78</w:t>
            </w: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00"/>
          </w:cols>
          <w:pgMar w:left="340" w:top="893" w:right="859" w:bottom="1440" w:gutter="0" w:footer="0" w:header="0"/>
        </w:sectPr>
      </w:pPr>
    </w:p>
    <w:bookmarkStart w:id="2" w:name="page3"/>
    <w:bookmarkEnd w:id="2"/>
    <w:p>
      <w:pPr>
        <w:ind w:left="40"/>
        <w:spacing w:after="0"/>
        <w:tabs>
          <w:tab w:leader="none" w:pos="100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Description of business and strategy</w:t>
      </w:r>
    </w:p>
    <w:p>
      <w:pPr>
        <w:spacing w:after="0" w:line="11" w:lineRule="exact"/>
        <w:rPr>
          <w:sz w:val="20"/>
          <w:szCs w:val="20"/>
          <w:color w:val="auto"/>
        </w:rPr>
      </w:pPr>
    </w:p>
    <w:p>
      <w:pPr>
        <w:ind w:right="120" w:firstLine="619"/>
        <w:spacing w:after="0" w:line="255" w:lineRule="auto"/>
        <w:rPr>
          <w:sz w:val="20"/>
          <w:szCs w:val="20"/>
          <w:color w:val="auto"/>
        </w:rPr>
      </w:pPr>
      <w:r>
        <w:rPr>
          <w:rFonts w:ascii="Times New Roman" w:cs="Times New Roman" w:eastAsia="Times New Roman" w:hAnsi="Times New Roman"/>
          <w:sz w:val="17"/>
          <w:szCs w:val="17"/>
          <w:color w:val="auto"/>
        </w:rPr>
        <w:t>Halliburton Company is one of the world's largest providers of products and services to the energy industry. Its predecessor was established in 1919 and incorporated under the laws of the State of Delaware in 1924. Inspired by the past and leading into the future, what started with a single product from a single location is now a global enterprise. Our value proposition is to collaborate and engineer solutions to maximize asset value for our customers. We strive to achieve strong cash flows and returns for our shareholders by delivering technology and services that improve efficiency, increase recovery, and maximize production for our customers. Halliburton has fostered a culture of unparalleled service to the world's major, national, and independent oil and natural gas producers. With approximately 48,000 employees, representing over 130 nationalities in more than 70 countries, we help our customers maximize asset value throughout the lifecycle of the reservoir - from locating hydrocarbons and managing geological data, to drilling and formation evaluation, well construction and completion, and optimizing production throughout the life of the asset.</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2023 Highlights</w:t>
      </w:r>
    </w:p>
    <w:p>
      <w:pPr>
        <w:spacing w:after="0" w:line="34" w:lineRule="exact"/>
        <w:rPr>
          <w:sz w:val="20"/>
          <w:szCs w:val="20"/>
          <w:color w:val="auto"/>
        </w:rPr>
      </w:pPr>
    </w:p>
    <w:p>
      <w:pPr>
        <w:ind w:left="780" w:right="160" w:hanging="158"/>
        <w:spacing w:after="0" w:line="257" w:lineRule="auto"/>
        <w:tabs>
          <w:tab w:leader="none" w:pos="72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Financial</w:t>
      </w:r>
      <w:r>
        <w:rPr>
          <w:rFonts w:ascii="Times New Roman" w:cs="Times New Roman" w:eastAsia="Times New Roman" w:hAnsi="Times New Roman"/>
          <w:sz w:val="17"/>
          <w:szCs w:val="17"/>
          <w:color w:val="auto"/>
        </w:rPr>
        <w:t>: Our total revenue increased 13% in 2023 as compared to 2022. Our International revenue increased 17% and our North America revenue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increased 9% in 2023 compared to 2022, with improved margins driven by increased activity and pricing gains. Overall, our Completion and Production and Drilling and Evaluation operating segments finished the year with 21% and 17% operating margins, respectively. We generated strong cash flows from operations and repurchased $300 million of debt.</w:t>
      </w:r>
    </w:p>
    <w:p>
      <w:pPr>
        <w:spacing w:after="0" w:line="18" w:lineRule="exact"/>
        <w:rPr>
          <w:rFonts w:ascii="Times New Roman" w:cs="Times New Roman" w:eastAsia="Times New Roman" w:hAnsi="Times New Roman"/>
          <w:sz w:val="17"/>
          <w:szCs w:val="17"/>
          <w:color w:val="auto"/>
        </w:rPr>
      </w:pPr>
    </w:p>
    <w:p>
      <w:pPr>
        <w:ind w:left="780" w:right="780" w:hanging="158"/>
        <w:spacing w:after="0" w:line="284" w:lineRule="auto"/>
        <w:tabs>
          <w:tab w:leader="none" w:pos="72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Digital</w:t>
      </w:r>
      <w:r>
        <w:rPr>
          <w:rFonts w:ascii="Times New Roman" w:cs="Times New Roman" w:eastAsia="Times New Roman" w:hAnsi="Times New Roman"/>
          <w:sz w:val="17"/>
          <w:szCs w:val="17"/>
          <w:color w:val="auto"/>
        </w:rPr>
        <w:t>: Our accelerated deployment and integration of digital and automation technologies created technical differentiation in the market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contributed to our higher margins and increased internal efficiencies.</w:t>
      </w:r>
    </w:p>
    <w:p>
      <w:pPr>
        <w:spacing w:after="0" w:line="1" w:lineRule="exact"/>
        <w:rPr>
          <w:rFonts w:ascii="Times New Roman" w:cs="Times New Roman" w:eastAsia="Times New Roman" w:hAnsi="Times New Roman"/>
          <w:sz w:val="17"/>
          <w:szCs w:val="17"/>
          <w:color w:val="auto"/>
        </w:rPr>
      </w:pPr>
    </w:p>
    <w:p>
      <w:pPr>
        <w:ind w:left="780" w:right="240" w:hanging="158"/>
        <w:spacing w:after="0" w:line="284" w:lineRule="auto"/>
        <w:tabs>
          <w:tab w:leader="none" w:pos="72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Capital efficiency</w:t>
      </w:r>
      <w:r>
        <w:rPr>
          <w:rFonts w:ascii="Times New Roman" w:cs="Times New Roman" w:eastAsia="Times New Roman" w:hAnsi="Times New Roman"/>
          <w:sz w:val="17"/>
          <w:szCs w:val="17"/>
          <w:color w:val="auto"/>
        </w:rPr>
        <w:t>: We advanced technologies and made strategic choices that kept our capital expenditures to 6% of revenue, which is in the range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5-6% of revenue target.</w:t>
      </w:r>
    </w:p>
    <w:p>
      <w:pPr>
        <w:spacing w:after="0" w:line="1" w:lineRule="exact"/>
        <w:rPr>
          <w:rFonts w:ascii="Times New Roman" w:cs="Times New Roman" w:eastAsia="Times New Roman" w:hAnsi="Times New Roman"/>
          <w:sz w:val="17"/>
          <w:szCs w:val="17"/>
          <w:color w:val="auto"/>
        </w:rPr>
      </w:pPr>
    </w:p>
    <w:p>
      <w:pPr>
        <w:ind w:left="780" w:right="300" w:hanging="158"/>
        <w:spacing w:after="0" w:line="276" w:lineRule="auto"/>
        <w:tabs>
          <w:tab w:leader="none" w:pos="725"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Shareholder returns</w:t>
      </w:r>
      <w:r>
        <w:rPr>
          <w:rFonts w:ascii="Times New Roman" w:cs="Times New Roman" w:eastAsia="Times New Roman" w:hAnsi="Times New Roman"/>
          <w:sz w:val="17"/>
          <w:szCs w:val="17"/>
          <w:color w:val="auto"/>
        </w:rPr>
        <w:t>: We returned $1.4 billion of capital to shareholders through buybacks and dividends, which is consistent with our capital returns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framework.</w:t>
      </w:r>
    </w:p>
    <w:p>
      <w:pPr>
        <w:spacing w:after="0" w:line="1" w:lineRule="exact"/>
        <w:rPr>
          <w:rFonts w:ascii="Times New Roman" w:cs="Times New Roman" w:eastAsia="Times New Roman" w:hAnsi="Times New Roman"/>
          <w:sz w:val="17"/>
          <w:szCs w:val="17"/>
          <w:i w:val="1"/>
          <w:iCs w:val="1"/>
          <w:color w:val="auto"/>
        </w:rPr>
      </w:pPr>
    </w:p>
    <w:p>
      <w:pPr>
        <w:ind w:left="720" w:hanging="98"/>
        <w:spacing w:after="0"/>
        <w:tabs>
          <w:tab w:leader="none" w:pos="7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Sustainability and energy mix transition</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left="1160" w:right="160" w:hanging="229"/>
        <w:spacing w:after="0" w:line="253" w:lineRule="auto"/>
        <w:tabs>
          <w:tab w:leader="none" w:pos="1156"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Named to the Dow Jones Sustainability North America Index (DJSI), the third consecutive year. DJSI assesses the sustainability performance of companies using a transparent, rules-based process based on the annual S&amp;P Global Corporate Sustainability Assessment;</w:t>
      </w:r>
    </w:p>
    <w:p>
      <w:pPr>
        <w:ind w:left="1160" w:hanging="229"/>
        <w:spacing w:after="0"/>
        <w:tabs>
          <w:tab w:leader="none" w:pos="11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Added eleven new participating companies to Halliburton Labs, our clean energy accelerator; and</w:t>
      </w:r>
    </w:p>
    <w:p>
      <w:pPr>
        <w:spacing w:after="0" w:line="10" w:lineRule="exact"/>
        <w:rPr>
          <w:rFonts w:ascii="Times New Roman" w:cs="Times New Roman" w:eastAsia="Times New Roman" w:hAnsi="Times New Roman"/>
          <w:sz w:val="17"/>
          <w:szCs w:val="17"/>
          <w:color w:val="auto"/>
        </w:rPr>
      </w:pPr>
    </w:p>
    <w:p>
      <w:pPr>
        <w:ind w:left="1160" w:hanging="229"/>
        <w:spacing w:after="0"/>
        <w:tabs>
          <w:tab w:leader="none" w:pos="116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services in carbon capture and storage.</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2024 Focus</w:t>
      </w:r>
    </w:p>
    <w:p>
      <w:pPr>
        <w:spacing w:after="0" w:line="34" w:lineRule="exact"/>
        <w:rPr>
          <w:sz w:val="20"/>
          <w:szCs w:val="20"/>
          <w:color w:val="auto"/>
        </w:rPr>
      </w:pPr>
    </w:p>
    <w:p>
      <w:pPr>
        <w:ind w:left="720" w:hanging="98"/>
        <w:spacing w:after="0"/>
        <w:tabs>
          <w:tab w:leader="none" w:pos="7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International</w:t>
      </w:r>
      <w:r>
        <w:rPr>
          <w:rFonts w:ascii="Times New Roman" w:cs="Times New Roman" w:eastAsia="Times New Roman" w:hAnsi="Times New Roman"/>
          <w:sz w:val="17"/>
          <w:szCs w:val="17"/>
          <w:color w:val="auto"/>
        </w:rPr>
        <w:t>: Allocate our capital to the highest return opportunities and increase our international growth in both onshore and offshore markets.</w:t>
      </w:r>
    </w:p>
    <w:p>
      <w:pPr>
        <w:spacing w:after="0" w:line="41" w:lineRule="exact"/>
        <w:rPr>
          <w:rFonts w:ascii="Times New Roman" w:cs="Times New Roman" w:eastAsia="Times New Roman" w:hAnsi="Times New Roman"/>
          <w:sz w:val="17"/>
          <w:szCs w:val="17"/>
          <w:color w:val="auto"/>
        </w:rPr>
      </w:pPr>
    </w:p>
    <w:p>
      <w:pPr>
        <w:ind w:left="780" w:hanging="158"/>
        <w:spacing w:after="0" w:line="284" w:lineRule="auto"/>
        <w:tabs>
          <w:tab w:leader="none" w:pos="7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North America</w:t>
      </w:r>
      <w:r>
        <w:rPr>
          <w:rFonts w:ascii="Times New Roman" w:cs="Times New Roman" w:eastAsia="Times New Roman" w:hAnsi="Times New Roman"/>
          <w:sz w:val="17"/>
          <w:szCs w:val="17"/>
          <w:color w:val="auto"/>
        </w:rPr>
        <w:t>: Maximize value by, among other things, utilizing our premium low-emissions Zeus electric fracturing systems, as well as automated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intelligent fracturing technologies, to drive higher margins through better pricing and increased efficiency.</w:t>
      </w:r>
    </w:p>
    <w:p>
      <w:pPr>
        <w:spacing w:after="0" w:line="1" w:lineRule="exact"/>
        <w:rPr>
          <w:rFonts w:ascii="Times New Roman" w:cs="Times New Roman" w:eastAsia="Times New Roman" w:hAnsi="Times New Roman"/>
          <w:sz w:val="17"/>
          <w:szCs w:val="17"/>
          <w:color w:val="auto"/>
        </w:rPr>
      </w:pPr>
    </w:p>
    <w:p>
      <w:pPr>
        <w:ind w:left="780" w:right="60" w:hanging="158"/>
        <w:spacing w:after="0" w:line="284" w:lineRule="auto"/>
        <w:tabs>
          <w:tab w:leader="none" w:pos="7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Digital</w:t>
      </w:r>
      <w:r>
        <w:rPr>
          <w:rFonts w:ascii="Times New Roman" w:cs="Times New Roman" w:eastAsia="Times New Roman" w:hAnsi="Times New Roman"/>
          <w:sz w:val="17"/>
          <w:szCs w:val="17"/>
          <w:color w:val="auto"/>
        </w:rPr>
        <w:t>: Continue to drive differentiation and efficiencies through the deployment and integration of digital and automation technologies, both internally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for our customers.</w:t>
      </w:r>
    </w:p>
    <w:p>
      <w:pPr>
        <w:spacing w:after="0" w:line="1" w:lineRule="exact"/>
        <w:rPr>
          <w:rFonts w:ascii="Times New Roman" w:cs="Times New Roman" w:eastAsia="Times New Roman" w:hAnsi="Times New Roman"/>
          <w:sz w:val="17"/>
          <w:szCs w:val="17"/>
          <w:color w:val="auto"/>
        </w:rPr>
      </w:pPr>
    </w:p>
    <w:p>
      <w:pPr>
        <w:ind w:left="780" w:right="540" w:hanging="158"/>
        <w:spacing w:after="0" w:line="284" w:lineRule="auto"/>
        <w:tabs>
          <w:tab w:leader="none" w:pos="7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Capital efficiency</w:t>
      </w:r>
      <w:r>
        <w:rPr>
          <w:rFonts w:ascii="Times New Roman" w:cs="Times New Roman" w:eastAsia="Times New Roman" w:hAnsi="Times New Roman"/>
          <w:sz w:val="17"/>
          <w:szCs w:val="17"/>
          <w:color w:val="auto"/>
        </w:rPr>
        <w:t>: Maintain our capital expenditures at approximately 6% of revenue while focusing on technological advancements and process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changes that reduce our manufacturing and maintenance costs and improve how we move equipment and respond to market opportunities.</w:t>
      </w:r>
    </w:p>
    <w:p>
      <w:pPr>
        <w:spacing w:after="0" w:line="1" w:lineRule="exact"/>
        <w:rPr>
          <w:rFonts w:ascii="Times New Roman" w:cs="Times New Roman" w:eastAsia="Times New Roman" w:hAnsi="Times New Roman"/>
          <w:sz w:val="17"/>
          <w:szCs w:val="17"/>
          <w:color w:val="auto"/>
        </w:rPr>
      </w:pPr>
    </w:p>
    <w:p>
      <w:pPr>
        <w:ind w:left="720" w:hanging="98"/>
        <w:spacing w:after="0"/>
        <w:tabs>
          <w:tab w:leader="none" w:pos="720"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Shareholder returns</w:t>
      </w:r>
      <w:r>
        <w:rPr>
          <w:rFonts w:ascii="Times New Roman" w:cs="Times New Roman" w:eastAsia="Times New Roman" w:hAnsi="Times New Roman"/>
          <w:sz w:val="17"/>
          <w:szCs w:val="17"/>
          <w:color w:val="auto"/>
        </w:rPr>
        <w:t>: Return over 50% of annual free cash flow to shareholders through dividends and share repurchases.</w:t>
      </w:r>
    </w:p>
    <w:p>
      <w:pPr>
        <w:spacing w:after="0" w:line="62" w:lineRule="exact"/>
        <w:rPr>
          <w:rFonts w:ascii="Times New Roman" w:cs="Times New Roman" w:eastAsia="Times New Roman" w:hAnsi="Times New Roman"/>
          <w:sz w:val="17"/>
          <w:szCs w:val="17"/>
          <w:i w:val="1"/>
          <w:iCs w:val="1"/>
          <w:color w:val="auto"/>
        </w:rPr>
      </w:pPr>
    </w:p>
    <w:p>
      <w:pPr>
        <w:ind w:left="720" w:hanging="98"/>
        <w:spacing w:after="0"/>
        <w:tabs>
          <w:tab w:leader="none" w:pos="7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Sustainability and energy mix transition</w:t>
      </w:r>
      <w:r>
        <w:rPr>
          <w:rFonts w:ascii="Times New Roman" w:cs="Times New Roman" w:eastAsia="Times New Roman" w:hAnsi="Times New Roman"/>
          <w:sz w:val="17"/>
          <w:szCs w:val="17"/>
          <w:color w:val="auto"/>
        </w:rPr>
        <w:t>: Continue to:</w:t>
      </w:r>
    </w:p>
    <w:p>
      <w:pPr>
        <w:spacing w:after="0" w:line="66" w:lineRule="exact"/>
        <w:rPr>
          <w:rFonts w:ascii="Times New Roman" w:cs="Times New Roman" w:eastAsia="Times New Roman" w:hAnsi="Times New Roman"/>
          <w:sz w:val="17"/>
          <w:szCs w:val="17"/>
          <w:color w:val="auto"/>
        </w:rPr>
      </w:pPr>
    </w:p>
    <w:p>
      <w:pPr>
        <w:ind w:left="1160" w:hanging="229"/>
        <w:spacing w:after="0"/>
        <w:tabs>
          <w:tab w:leader="none" w:pos="11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Leverage the participants in Halliburton Labs to gain insight into developing value chains in the energy mix transition;</w:t>
      </w:r>
    </w:p>
    <w:p>
      <w:pPr>
        <w:spacing w:after="0" w:line="27" w:lineRule="exact"/>
        <w:rPr>
          <w:rFonts w:ascii="Times New Roman" w:cs="Times New Roman" w:eastAsia="Times New Roman" w:hAnsi="Times New Roman"/>
          <w:sz w:val="17"/>
          <w:szCs w:val="17"/>
          <w:color w:val="auto"/>
        </w:rPr>
      </w:pPr>
    </w:p>
    <w:p>
      <w:pPr>
        <w:ind w:left="1160" w:hanging="229"/>
        <w:spacing w:after="0"/>
        <w:tabs>
          <w:tab w:leader="none" w:pos="11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and deploy solutions to help lower the carbon intensity of our customers' businesses;</w:t>
      </w:r>
    </w:p>
    <w:p>
      <w:pPr>
        <w:spacing w:after="0" w:line="10" w:lineRule="exact"/>
        <w:rPr>
          <w:rFonts w:ascii="Times New Roman" w:cs="Times New Roman" w:eastAsia="Times New Roman" w:hAnsi="Times New Roman"/>
          <w:sz w:val="17"/>
          <w:szCs w:val="17"/>
          <w:color w:val="auto"/>
        </w:rPr>
      </w:pPr>
    </w:p>
    <w:p>
      <w:pPr>
        <w:ind w:left="1160" w:hanging="229"/>
        <w:spacing w:after="0"/>
        <w:tabs>
          <w:tab w:leader="none" w:pos="11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technologies and solutions to lower our emissions; and</w:t>
      </w:r>
    </w:p>
    <w:p>
      <w:pPr>
        <w:spacing w:after="0" w:line="10" w:lineRule="exact"/>
        <w:rPr>
          <w:rFonts w:ascii="Times New Roman" w:cs="Times New Roman" w:eastAsia="Times New Roman" w:hAnsi="Times New Roman"/>
          <w:sz w:val="17"/>
          <w:szCs w:val="17"/>
          <w:color w:val="auto"/>
        </w:rPr>
      </w:pPr>
    </w:p>
    <w:p>
      <w:pPr>
        <w:ind w:left="1160" w:hanging="229"/>
        <w:spacing w:after="0"/>
        <w:tabs>
          <w:tab w:leader="none" w:pos="11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participate in carbon capture, utilization, and storage, hydrogen, and geothermal projects globally.</w:t>
      </w:r>
    </w:p>
    <w:p>
      <w:pPr>
        <w:spacing w:after="0" w:line="222" w:lineRule="exact"/>
        <w:rPr>
          <w:sz w:val="20"/>
          <w:szCs w:val="20"/>
          <w:color w:val="auto"/>
        </w:rPr>
      </w:pPr>
    </w:p>
    <w:p>
      <w:pPr>
        <w:ind w:right="40" w:firstLine="619"/>
        <w:spacing w:after="0" w:line="297" w:lineRule="auto"/>
        <w:rPr>
          <w:sz w:val="20"/>
          <w:szCs w:val="20"/>
          <w:color w:val="auto"/>
        </w:rPr>
      </w:pPr>
      <w:r>
        <w:rPr>
          <w:rFonts w:ascii="Times New Roman" w:cs="Times New Roman" w:eastAsia="Times New Roman" w:hAnsi="Times New Roman"/>
          <w:sz w:val="17"/>
          <w:szCs w:val="17"/>
          <w:color w:val="auto"/>
        </w:rPr>
        <w:t xml:space="preserve">For further discussion on our business strategies,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Item 7. Management’s Discussion and Analysis of Financial Condition and Results of Operations – Business Environment and Results of Operations-Business Outlook.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3" w:name="page4"/>
    <w:bookmarkEnd w:id="3"/>
    <w:p>
      <w:pPr>
        <w:ind w:left="40"/>
        <w:spacing w:after="0"/>
        <w:tabs>
          <w:tab w:leader="none" w:pos="100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Operating segments</w:t>
      </w:r>
    </w:p>
    <w:p>
      <w:pPr>
        <w:spacing w:after="0" w:line="34" w:lineRule="exact"/>
        <w:rPr>
          <w:sz w:val="20"/>
          <w:szCs w:val="20"/>
          <w:color w:val="auto"/>
        </w:rPr>
      </w:pPr>
    </w:p>
    <w:p>
      <w:pPr>
        <w:ind w:right="80" w:firstLine="619"/>
        <w:spacing w:after="0" w:line="266" w:lineRule="auto"/>
        <w:rPr>
          <w:sz w:val="20"/>
          <w:szCs w:val="20"/>
          <w:color w:val="auto"/>
        </w:rPr>
      </w:pPr>
      <w:r>
        <w:rPr>
          <w:rFonts w:ascii="Times New Roman" w:cs="Times New Roman" w:eastAsia="Times New Roman" w:hAnsi="Times New Roman"/>
          <w:sz w:val="17"/>
          <w:szCs w:val="17"/>
          <w:color w:val="auto"/>
        </w:rPr>
        <w:t>We operate under two divisions, which form the basis for the two operating segments we report, the Completion and Production segment and the Drilling and Evaluation segment.</w:t>
      </w:r>
    </w:p>
    <w:p>
      <w:pPr>
        <w:spacing w:after="0" w:line="190" w:lineRule="exact"/>
        <w:rPr>
          <w:sz w:val="20"/>
          <w:szCs w:val="20"/>
          <w:color w:val="auto"/>
        </w:rPr>
      </w:pPr>
    </w:p>
    <w:p>
      <w:pPr>
        <w:ind w:right="280"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Completion and Production </w:t>
      </w:r>
      <w:r>
        <w:rPr>
          <w:rFonts w:ascii="Times New Roman" w:cs="Times New Roman" w:eastAsia="Times New Roman" w:hAnsi="Times New Roman"/>
          <w:sz w:val="17"/>
          <w:szCs w:val="17"/>
          <w:color w:val="auto"/>
        </w:rPr>
        <w:t>delivers cementing, stimulation, specialty chemicals, intervention, pressure control, artificial lift, and completion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services. The segment consists of the following product service lines:</w:t>
      </w:r>
    </w:p>
    <w:p>
      <w:pPr>
        <w:spacing w:after="0" w:line="173" w:lineRule="exact"/>
        <w:rPr>
          <w:sz w:val="20"/>
          <w:szCs w:val="20"/>
          <w:color w:val="auto"/>
        </w:rPr>
      </w:pPr>
    </w:p>
    <w:p>
      <w:pPr>
        <w:ind w:left="780" w:right="180" w:hanging="158"/>
        <w:spacing w:after="0" w:line="284" w:lineRule="auto"/>
        <w:tabs>
          <w:tab w:leader="none" w:pos="84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Artificial Lift: provides services to maximize reservoir and wellbore recovery by applying lifting technology, intelligent field management solutions, and related services throughout the life of the well, including electrical submersible pumps.</w:t>
      </w:r>
    </w:p>
    <w:p>
      <w:pPr>
        <w:spacing w:after="0" w:line="1" w:lineRule="exact"/>
        <w:rPr>
          <w:rFonts w:ascii="Times New Roman" w:cs="Times New Roman" w:eastAsia="Times New Roman" w:hAnsi="Times New Roman"/>
          <w:sz w:val="17"/>
          <w:szCs w:val="17"/>
          <w:color w:val="auto"/>
        </w:rPr>
      </w:pPr>
    </w:p>
    <w:p>
      <w:pPr>
        <w:ind w:left="780" w:right="200" w:hanging="158"/>
        <w:spacing w:after="0" w:line="284" w:lineRule="auto"/>
        <w:tabs>
          <w:tab w:leader="none" w:pos="85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Cementing: involves bonding the well and well casing while isolating fluid zones and maximizing wellbore stability. Our cementing product service line also provides casing equipment.</w:t>
      </w:r>
    </w:p>
    <w:p>
      <w:pPr>
        <w:spacing w:after="0" w:line="1" w:lineRule="exact"/>
        <w:rPr>
          <w:rFonts w:ascii="Times New Roman" w:cs="Times New Roman" w:eastAsia="Times New Roman" w:hAnsi="Times New Roman"/>
          <w:sz w:val="17"/>
          <w:szCs w:val="17"/>
          <w:color w:val="auto"/>
        </w:rPr>
      </w:pPr>
    </w:p>
    <w:p>
      <w:pPr>
        <w:ind w:left="780" w:right="580" w:hanging="158"/>
        <w:spacing w:after="0" w:line="284" w:lineRule="auto"/>
        <w:tabs>
          <w:tab w:leader="none" w:pos="85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Tools: provides downhole solutions and services to our customers to complete their wells, including well completion products and services, intelligent well completions, liner hanger systems, sand control systems, multilateral systems, and service tools.</w:t>
      </w:r>
    </w:p>
    <w:p>
      <w:pPr>
        <w:spacing w:after="0" w:line="1" w:lineRule="exact"/>
        <w:rPr>
          <w:rFonts w:ascii="Times New Roman" w:cs="Times New Roman" w:eastAsia="Times New Roman" w:hAnsi="Times New Roman"/>
          <w:sz w:val="17"/>
          <w:szCs w:val="17"/>
          <w:color w:val="auto"/>
        </w:rPr>
      </w:pPr>
    </w:p>
    <w:p>
      <w:pPr>
        <w:ind w:left="780" w:right="660" w:hanging="158"/>
        <w:spacing w:after="0" w:line="284" w:lineRule="auto"/>
        <w:tabs>
          <w:tab w:leader="none" w:pos="85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Multi-Chem: provides customized specialty chemicals and services for completion, production, midstream, and downstream to optimize flow assurance and integrity.</w:t>
      </w:r>
    </w:p>
    <w:p>
      <w:pPr>
        <w:spacing w:after="0" w:line="1" w:lineRule="exact"/>
        <w:rPr>
          <w:rFonts w:ascii="Times New Roman" w:cs="Times New Roman" w:eastAsia="Times New Roman" w:hAnsi="Times New Roman"/>
          <w:sz w:val="17"/>
          <w:szCs w:val="17"/>
          <w:color w:val="auto"/>
        </w:rPr>
      </w:pPr>
    </w:p>
    <w:p>
      <w:pPr>
        <w:ind w:left="780" w:right="300" w:hanging="158"/>
        <w:spacing w:after="0" w:line="284" w:lineRule="auto"/>
        <w:tabs>
          <w:tab w:leader="none" w:pos="85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Pipeline &amp; Process Services: provides a complete range of pre-commissioning, commissioning, maintenance, and decommissioning services to the onshore and offshore pipeline and process plant construction commissioning and maintenance industries.</w:t>
      </w:r>
    </w:p>
    <w:p>
      <w:pPr>
        <w:spacing w:after="0" w:line="1" w:lineRule="exact"/>
        <w:rPr>
          <w:rFonts w:ascii="Times New Roman" w:cs="Times New Roman" w:eastAsia="Times New Roman" w:hAnsi="Times New Roman"/>
          <w:sz w:val="17"/>
          <w:szCs w:val="17"/>
          <w:color w:val="auto"/>
        </w:rPr>
      </w:pPr>
    </w:p>
    <w:p>
      <w:pPr>
        <w:jc w:val="both"/>
        <w:ind w:left="780" w:right="20" w:hanging="158"/>
        <w:spacing w:after="0" w:line="270" w:lineRule="auto"/>
        <w:tabs>
          <w:tab w:leader="none" w:pos="85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Production Enhancement: includes stimulation services and sand control services. Stimulation services optimize reservoir production through a variety of pressure pumping services and chemical processes, commonly known as hydraulic fracturing and acidizing. Sand control services include fluids and chemicals for the prevention of sand production of unconsolidated reservoirs.</w:t>
      </w:r>
    </w:p>
    <w:p>
      <w:pPr>
        <w:spacing w:after="0" w:line="10" w:lineRule="exact"/>
        <w:rPr>
          <w:rFonts w:ascii="Times New Roman" w:cs="Times New Roman" w:eastAsia="Times New Roman" w:hAnsi="Times New Roman"/>
          <w:sz w:val="17"/>
          <w:szCs w:val="17"/>
          <w:color w:val="auto"/>
        </w:rPr>
      </w:pPr>
    </w:p>
    <w:p>
      <w:pPr>
        <w:ind w:left="780" w:right="20" w:hanging="158"/>
        <w:spacing w:after="0" w:line="287" w:lineRule="auto"/>
        <w:tabs>
          <w:tab w:leader="none" w:pos="85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Production Solutions: provides customized well intervention solutions to increase well performance, which includes coiled tubing, hydraulic workover units, downhole tools, pumping services, and nitrogen services.</w:t>
      </w:r>
    </w:p>
    <w:p>
      <w:pPr>
        <w:spacing w:after="0" w:line="225" w:lineRule="exact"/>
        <w:rPr>
          <w:sz w:val="20"/>
          <w:szCs w:val="20"/>
          <w:color w:val="auto"/>
        </w:rPr>
      </w:pPr>
    </w:p>
    <w:p>
      <w:pPr>
        <w:ind w:right="60"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Drilling and Evaluation </w:t>
      </w:r>
      <w:r>
        <w:rPr>
          <w:rFonts w:ascii="Times New Roman" w:cs="Times New Roman" w:eastAsia="Times New Roman" w:hAnsi="Times New Roman"/>
          <w:sz w:val="17"/>
          <w:szCs w:val="17"/>
          <w:color w:val="auto"/>
        </w:rPr>
        <w:t>provides field and reservoir modeling, drilling, fluids, evaluation and precise wellbore placement solutions that enable customers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model, measure, drill, and optimize their well construction activities. The segment consists of the following product service lines:</w:t>
      </w:r>
    </w:p>
    <w:p>
      <w:pPr>
        <w:spacing w:after="0" w:line="173" w:lineRule="exact"/>
        <w:rPr>
          <w:sz w:val="20"/>
          <w:szCs w:val="20"/>
          <w:color w:val="auto"/>
        </w:rPr>
      </w:pPr>
    </w:p>
    <w:p>
      <w:pPr>
        <w:ind w:left="780" w:hanging="158"/>
        <w:spacing w:after="0" w:line="284" w:lineRule="auto"/>
        <w:tabs>
          <w:tab w:leader="none" w:pos="85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Baroid: provides drilling fluid systems, performance additives, completion fluids, solids control, specialized testing equipment, and waste management services for drilling wells, completion, and workover operations.</w:t>
      </w:r>
    </w:p>
    <w:p>
      <w:pPr>
        <w:spacing w:after="0" w:line="1" w:lineRule="exact"/>
        <w:rPr>
          <w:rFonts w:ascii="Times New Roman" w:cs="Times New Roman" w:eastAsia="Times New Roman" w:hAnsi="Times New Roman"/>
          <w:sz w:val="17"/>
          <w:szCs w:val="17"/>
          <w:color w:val="auto"/>
        </w:rPr>
      </w:pPr>
    </w:p>
    <w:p>
      <w:pPr>
        <w:ind w:left="780" w:right="140" w:hanging="158"/>
        <w:spacing w:after="0" w:line="284" w:lineRule="auto"/>
        <w:tabs>
          <w:tab w:leader="none" w:pos="85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Drill Bits and Services: provides roller cone bits, fixed cutter bits, hole enlargement and related downhole tools and services used in drilling wells. In addition, coring equipment and services are provided to extract formation cores for rock properties evaluation.</w:t>
      </w:r>
    </w:p>
    <w:p>
      <w:pPr>
        <w:spacing w:after="0" w:line="1" w:lineRule="exact"/>
        <w:rPr>
          <w:rFonts w:ascii="Times New Roman" w:cs="Times New Roman" w:eastAsia="Times New Roman" w:hAnsi="Times New Roman"/>
          <w:sz w:val="17"/>
          <w:szCs w:val="17"/>
          <w:color w:val="auto"/>
        </w:rPr>
      </w:pPr>
    </w:p>
    <w:p>
      <w:pPr>
        <w:ind w:left="780" w:right="20" w:hanging="158"/>
        <w:spacing w:after="0" w:line="284" w:lineRule="auto"/>
        <w:tabs>
          <w:tab w:leader="none" w:pos="85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Halliburton Project Management: provides integrated solutions by leveraging the full line of our well construction, well completion, and well intervention services to solve customer challenges throughout the entire well lifecycle, including project management and integrated asset management.</w:t>
      </w:r>
    </w:p>
    <w:p>
      <w:pPr>
        <w:spacing w:after="0" w:line="1" w:lineRule="exact"/>
        <w:rPr>
          <w:rFonts w:ascii="Times New Roman" w:cs="Times New Roman" w:eastAsia="Times New Roman" w:hAnsi="Times New Roman"/>
          <w:sz w:val="17"/>
          <w:szCs w:val="17"/>
          <w:color w:val="auto"/>
        </w:rPr>
      </w:pPr>
    </w:p>
    <w:p>
      <w:pPr>
        <w:ind w:left="780" w:right="380" w:hanging="158"/>
        <w:spacing w:after="0" w:line="284" w:lineRule="auto"/>
        <w:tabs>
          <w:tab w:leader="none" w:pos="85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Landmark Software and Services: provides cloud based digital services and artificial intelligence solutions on an open architecture for subsurface insights, integrated well construction, and reservoir and production management.</w:t>
      </w:r>
    </w:p>
    <w:p>
      <w:pPr>
        <w:spacing w:after="0" w:line="1" w:lineRule="exact"/>
        <w:rPr>
          <w:rFonts w:ascii="Times New Roman" w:cs="Times New Roman" w:eastAsia="Times New Roman" w:hAnsi="Times New Roman"/>
          <w:sz w:val="17"/>
          <w:szCs w:val="17"/>
          <w:color w:val="auto"/>
        </w:rPr>
      </w:pPr>
    </w:p>
    <w:p>
      <w:pPr>
        <w:jc w:val="both"/>
        <w:ind w:left="780" w:right="640" w:hanging="158"/>
        <w:spacing w:after="0" w:line="270" w:lineRule="auto"/>
        <w:tabs>
          <w:tab w:leader="none" w:pos="85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Sperry Drilling: provides drilling systems and services that offer directional control for precise wellbore placement while providing important measurements about the characteristics of the drill string and geological formations while drilling wells. These services include directional and horizontal drilling, measurement-while-drilling, logging-while-drilling, surface data logging, and rig site information systems.</w:t>
      </w:r>
    </w:p>
    <w:p>
      <w:pPr>
        <w:spacing w:after="0" w:line="10" w:lineRule="exact"/>
        <w:rPr>
          <w:rFonts w:ascii="Times New Roman" w:cs="Times New Roman" w:eastAsia="Times New Roman" w:hAnsi="Times New Roman"/>
          <w:sz w:val="17"/>
          <w:szCs w:val="17"/>
          <w:color w:val="auto"/>
        </w:rPr>
      </w:pPr>
    </w:p>
    <w:p>
      <w:pPr>
        <w:ind w:left="780" w:right="80" w:hanging="158"/>
        <w:spacing w:after="0" w:line="284" w:lineRule="auto"/>
        <w:tabs>
          <w:tab w:leader="none" w:pos="85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and Subsea: provides acquisition and analysis of dynamic reservoir information and reservoir optimization solutions through a broad portfolio of well testing tools, data acquisition services, fluid sampling, surface well testing, subsea safety systems, and underbalanced applications.</w:t>
      </w:r>
    </w:p>
    <w:p>
      <w:pPr>
        <w:spacing w:after="0" w:line="1" w:lineRule="exact"/>
        <w:rPr>
          <w:rFonts w:ascii="Times New Roman" w:cs="Times New Roman" w:eastAsia="Times New Roman" w:hAnsi="Times New Roman"/>
          <w:sz w:val="17"/>
          <w:szCs w:val="17"/>
          <w:color w:val="auto"/>
        </w:rPr>
      </w:pPr>
    </w:p>
    <w:p>
      <w:pPr>
        <w:ind w:left="780" w:right="120" w:hanging="158"/>
        <w:spacing w:after="0" w:line="264" w:lineRule="auto"/>
        <w:tabs>
          <w:tab w:leader="none" w:pos="85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Wireline and Perforating: provides open-hole logging services that supply information on formation evaluation and reservoir fluid analysis, including formation lithology, rock properties, and reservoir fluid properties. Also offered are cased-hole and slickline services, including perforating, pipe recovery services, through-casing formation evaluation and reservoir monitoring, casing and cement integrity measurements, and well intervention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4" w:name="page5"/>
    <w:bookmarkEnd w:id="4"/>
    <w:p>
      <w:pPr>
        <w:ind w:left="40"/>
        <w:spacing w:after="0"/>
        <w:tabs>
          <w:tab w:leader="none" w:pos="100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charts depict our revenue split between our two operating segments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1090930</wp:posOffset>
            </wp:positionH>
            <wp:positionV relativeFrom="paragraph">
              <wp:posOffset>164465</wp:posOffset>
            </wp:positionV>
            <wp:extent cx="4960620" cy="1686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60620" cy="168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3 to the consolidated financial statements for further financial information related to each of our business segments.</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Markets and competition</w:t>
      </w:r>
    </w:p>
    <w:p>
      <w:pPr>
        <w:spacing w:after="0" w:line="68" w:lineRule="exact"/>
        <w:rPr>
          <w:sz w:val="20"/>
          <w:szCs w:val="20"/>
          <w:color w:val="auto"/>
        </w:rPr>
      </w:pPr>
    </w:p>
    <w:p>
      <w:pPr>
        <w:jc w:val="both"/>
        <w:ind w:right="80" w:firstLine="619"/>
        <w:spacing w:after="0" w:line="270" w:lineRule="auto"/>
        <w:rPr>
          <w:sz w:val="20"/>
          <w:szCs w:val="20"/>
          <w:color w:val="auto"/>
        </w:rPr>
      </w:pPr>
      <w:r>
        <w:rPr>
          <w:rFonts w:ascii="Times New Roman" w:cs="Times New Roman" w:eastAsia="Times New Roman" w:hAnsi="Times New Roman"/>
          <w:sz w:val="17"/>
          <w:szCs w:val="17"/>
          <w:color w:val="auto"/>
        </w:rPr>
        <w:t>We are one of the world’s largest diversified energy services companies. Our services and products are sold in highly competitive markets throughout the world. Competitive factors impacting sales of our services and products include: price; service delivery; health, safety, and environmental standards and practices; service quality; global talent retention; understanding the geological characteristics of the reservoir; product quality; warranty; and technical proficiency.</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conduct business worldwide in more than 70 countries. The business operations of our divisions are organized around four primary geographic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regions: North America, Latin America, Europe/Africa/CIS, and Middle East/Asia. In 2023, 2022, and 2021, based on the location of services provided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products sold, 44%, 45%, and 40%, respectively, of our consolidated revenue was from the United States. No other country accounted for more than 10% of our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revenue during these periods. See "Item 7. Management’s Discussion and Analysis of Financial Condition and Results of Operations" for additional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about our geographic operations. Because the markets for our services and products are vast and cross numerous geographic lines, it is not practicable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provide a meaningful estimate of the total number of our competitors. The industries we serve are highly competitive, and we have many substantial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competitors. Most of our services and products are marketed through our service and sales organizations.</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charts depict our revenue split between our four primary geographic regions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164465</wp:posOffset>
            </wp:positionV>
            <wp:extent cx="5370195" cy="1964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70195" cy="196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5" w:name="page6"/>
    <w:bookmarkEnd w:id="5"/>
    <w:p>
      <w:pPr>
        <w:ind w:left="40"/>
        <w:spacing w:after="0"/>
        <w:tabs>
          <w:tab w:leader="none" w:pos="100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07" w:lineRule="exact"/>
        <w:rPr>
          <w:sz w:val="20"/>
          <w:szCs w:val="20"/>
          <w:color w:val="auto"/>
        </w:rPr>
      </w:pPr>
    </w:p>
    <w:p>
      <w:pPr>
        <w:ind w:right="80" w:firstLine="619"/>
        <w:spacing w:after="0" w:line="261" w:lineRule="auto"/>
        <w:rPr>
          <w:sz w:val="20"/>
          <w:szCs w:val="20"/>
          <w:color w:val="auto"/>
        </w:rPr>
      </w:pPr>
      <w:r>
        <w:rPr>
          <w:rFonts w:ascii="Times New Roman" w:cs="Times New Roman" w:eastAsia="Times New Roman" w:hAnsi="Times New Roman"/>
          <w:sz w:val="17"/>
          <w:szCs w:val="17"/>
          <w:color w:val="auto"/>
        </w:rPr>
        <w:t>Our operations in some countries and regions may be adversely affected by unsettled political conditions, acts of terrorism, civil unrest, force majeure, war or other armed conflict, health or similar issues, sanctions, expropriation or other governmental actions, inflation, changes in foreign currency exchange rates, foreign currency exchange restrictions and highly inflationary currencies, as well as other geopolitical factors. We believe the geographic diversification of our business activities reduces the risk that an interruption of operations in any one country, other than the United States, would be materially adverse to our business, consolidated results of operations, or consolidated financial condition.</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Information regarding our exposure to foreign currency fluctuations, risk concentration, and financial instruments used to minimize risk is included in</w:t>
      </w:r>
    </w:p>
    <w:p>
      <w:pPr>
        <w:spacing w:after="0" w:line="26" w:lineRule="exact"/>
        <w:rPr>
          <w:sz w:val="20"/>
          <w:szCs w:val="20"/>
          <w:color w:val="auto"/>
        </w:rPr>
      </w:pPr>
    </w:p>
    <w:p>
      <w:pPr>
        <w:ind w:right="400"/>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7"/>
          <w:szCs w:val="17"/>
          <w:color w:val="auto"/>
        </w:rPr>
        <w:t>Item 7. Management’s Discussion and Analysis of Financial Condition and Results of Operations – Financial Instrument Market Risk” and in Note 16 to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consolidated financial statements.</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Customers</w:t>
      </w:r>
    </w:p>
    <w:p>
      <w:pPr>
        <w:spacing w:after="0" w:line="34" w:lineRule="exact"/>
        <w:rPr>
          <w:sz w:val="20"/>
          <w:szCs w:val="20"/>
          <w:color w:val="auto"/>
        </w:rPr>
      </w:pPr>
    </w:p>
    <w:p>
      <w:pPr>
        <w:ind w:right="200" w:firstLine="619"/>
        <w:spacing w:after="0" w:line="266" w:lineRule="auto"/>
        <w:rPr>
          <w:sz w:val="20"/>
          <w:szCs w:val="20"/>
          <w:color w:val="auto"/>
        </w:rPr>
      </w:pPr>
      <w:r>
        <w:rPr>
          <w:rFonts w:ascii="Times New Roman" w:cs="Times New Roman" w:eastAsia="Times New Roman" w:hAnsi="Times New Roman"/>
          <w:sz w:val="17"/>
          <w:szCs w:val="17"/>
          <w:color w:val="auto"/>
        </w:rPr>
        <w:t>Our revenue during the past three years was derived from the sale of services and products to the energy industry. No single customer represented more than 10% of our consolidated revenue in any period presented.</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Raw materials</w:t>
      </w:r>
    </w:p>
    <w:p>
      <w:pPr>
        <w:spacing w:after="0" w:line="34" w:lineRule="exact"/>
        <w:rPr>
          <w:sz w:val="20"/>
          <w:szCs w:val="20"/>
          <w:color w:val="auto"/>
        </w:rPr>
      </w:pPr>
    </w:p>
    <w:p>
      <w:pPr>
        <w:ind w:right="140" w:firstLine="619"/>
        <w:spacing w:after="0" w:line="259" w:lineRule="auto"/>
        <w:rPr>
          <w:sz w:val="20"/>
          <w:szCs w:val="20"/>
          <w:color w:val="auto"/>
        </w:rPr>
      </w:pPr>
      <w:r>
        <w:rPr>
          <w:rFonts w:ascii="Times New Roman" w:cs="Times New Roman" w:eastAsia="Times New Roman" w:hAnsi="Times New Roman"/>
          <w:sz w:val="17"/>
          <w:szCs w:val="17"/>
          <w:color w:val="auto"/>
        </w:rPr>
        <w:t>Raw materials essential to our business are normally readily available. However, market conditions can trigger constraints in the supply of certain raw materials, such as proppants (primarily sand), chemicals, metals, and gels. We are always striving to ensure the availability of resources and manage raw material costs. Our procurement department uses our relationships and buying power to enhance our access to key materials at competitive prices.</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Patents</w:t>
      </w:r>
    </w:p>
    <w:p>
      <w:pPr>
        <w:spacing w:after="0" w:line="34" w:lineRule="exact"/>
        <w:rPr>
          <w:sz w:val="20"/>
          <w:szCs w:val="20"/>
          <w:color w:val="auto"/>
        </w:rPr>
      </w:pPr>
    </w:p>
    <w:p>
      <w:pPr>
        <w:jc w:val="both"/>
        <w:ind w:right="320" w:firstLine="619"/>
        <w:spacing w:after="0" w:line="259" w:lineRule="auto"/>
        <w:rPr>
          <w:sz w:val="20"/>
          <w:szCs w:val="20"/>
          <w:color w:val="auto"/>
        </w:rPr>
      </w:pPr>
      <w:r>
        <w:rPr>
          <w:rFonts w:ascii="Times New Roman" w:cs="Times New Roman" w:eastAsia="Times New Roman" w:hAnsi="Times New Roman"/>
          <w:sz w:val="17"/>
          <w:szCs w:val="17"/>
          <w:color w:val="auto"/>
        </w:rPr>
        <w:t>We own a large number of patents and have pending a substantial number of patent applications covering various products and processes. We are also licensed to utilize technology covered by patents owned by others, and we license others to utilize technology covered by our patents. We do not consider any particular patent to be material to our business operations.</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Seasonality</w:t>
      </w:r>
    </w:p>
    <w:p>
      <w:pPr>
        <w:spacing w:after="0" w:line="34" w:lineRule="exact"/>
        <w:rPr>
          <w:sz w:val="20"/>
          <w:szCs w:val="20"/>
          <w:color w:val="auto"/>
        </w:rPr>
      </w:pPr>
    </w:p>
    <w:p>
      <w:pPr>
        <w:ind w:right="440" w:firstLine="619"/>
        <w:spacing w:after="0" w:line="266" w:lineRule="auto"/>
        <w:rPr>
          <w:sz w:val="20"/>
          <w:szCs w:val="20"/>
          <w:color w:val="auto"/>
        </w:rPr>
      </w:pPr>
      <w:r>
        <w:rPr>
          <w:rFonts w:ascii="Times New Roman" w:cs="Times New Roman" w:eastAsia="Times New Roman" w:hAnsi="Times New Roman"/>
          <w:sz w:val="17"/>
          <w:szCs w:val="17"/>
          <w:color w:val="auto"/>
        </w:rPr>
        <w:t>Weather and natural phenomena can temporarily affect the performance of our services, but the widespread geographical locations of our operations mitigate those effects. Examples of how weather can impact our business include:</w:t>
      </w:r>
    </w:p>
    <w:p>
      <w:pPr>
        <w:spacing w:after="0" w:line="14" w:lineRule="exact"/>
        <w:rPr>
          <w:sz w:val="20"/>
          <w:szCs w:val="20"/>
          <w:color w:val="auto"/>
        </w:rPr>
      </w:pPr>
    </w:p>
    <w:p>
      <w:pPr>
        <w:ind w:left="860" w:hanging="238"/>
        <w:spacing w:after="0"/>
        <w:tabs>
          <w:tab w:leader="none" w:pos="8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severity and duration of the winter in North America can have a significant impact on drilling activity and on natural gas storage levels;</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duration of the spring thaw in Canada directly affects activity levels due to road restrictions;</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typhoons and hurricanes can disrupt coastal and offshore operations; and</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severe weather during the winter normally results in reduced activity levels in the North Sea.</w:t>
      </w:r>
    </w:p>
    <w:p>
      <w:pPr>
        <w:spacing w:after="0" w:line="243"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Additionally, customer spending patterns for completion tools typically result in higher activity in the fourth quarter of the year. We recognize revenue on customer software contract sales predominantly in the first and fourth quarters of the year.</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workforce</w:t>
      </w:r>
    </w:p>
    <w:p>
      <w:pPr>
        <w:spacing w:after="0" w:line="34" w:lineRule="exact"/>
        <w:rPr>
          <w:sz w:val="20"/>
          <w:szCs w:val="20"/>
          <w:color w:val="auto"/>
        </w:rPr>
      </w:pPr>
    </w:p>
    <w:p>
      <w:pPr>
        <w:ind w:right="20" w:firstLine="619"/>
        <w:spacing w:after="0" w:line="256" w:lineRule="auto"/>
        <w:rPr>
          <w:sz w:val="20"/>
          <w:szCs w:val="20"/>
          <w:color w:val="auto"/>
        </w:rPr>
      </w:pPr>
      <w:r>
        <w:rPr>
          <w:rFonts w:ascii="Times New Roman" w:cs="Times New Roman" w:eastAsia="Times New Roman" w:hAnsi="Times New Roman"/>
          <w:sz w:val="17"/>
          <w:szCs w:val="17"/>
          <w:color w:val="auto"/>
        </w:rPr>
        <w:t>Our workforce is our top asset in enabling us to accomplish innovative, high-quality work for our customers and to address the world’s energy challenges. To attract and retain talent, we promote a safe and inclusive work environment along with competitive benefits. As of December 31, 2023, we employed approximately 48,000 people worldwide representing over 130 nationalities and operated in more than 70 countries, with approximately 18% of our employees subject to collective bargaining agreements. Based upon the geographic diversification of our employees, we do not believe any risk of loss from employee strikes or other collective actions are material to the conduct of our operations taken as a whole.</w:t>
      </w:r>
    </w:p>
    <w:p>
      <w:pPr>
        <w:spacing w:after="0" w:line="191" w:lineRule="exact"/>
        <w:rPr>
          <w:sz w:val="20"/>
          <w:szCs w:val="20"/>
          <w:color w:val="auto"/>
        </w:rPr>
      </w:pPr>
    </w:p>
    <w:p>
      <w:pPr>
        <w:jc w:val="both"/>
        <w:ind w:right="60" w:firstLine="619"/>
        <w:spacing w:after="0" w:line="254" w:lineRule="auto"/>
        <w:rPr>
          <w:sz w:val="20"/>
          <w:szCs w:val="20"/>
          <w:color w:val="auto"/>
        </w:rPr>
      </w:pPr>
      <w:r>
        <w:rPr>
          <w:rFonts w:ascii="Times New Roman" w:cs="Times New Roman" w:eastAsia="Times New Roman" w:hAnsi="Times New Roman"/>
          <w:sz w:val="17"/>
          <w:szCs w:val="17"/>
          <w:color w:val="auto"/>
        </w:rPr>
        <w:t>With our large employee base and global breadth, our workforce is diverse. Halliburton invests in local workforce development with the aim of a positive impact on communities where we work. In 2023, 91% of our workforce and 85% of management, who were full-time employees, and not classified as expatriates or commuters, were local to the countries where they work.</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Recruiting and Turnover</w:t>
      </w:r>
    </w:p>
    <w:p>
      <w:pPr>
        <w:spacing w:after="0" w:line="32" w:lineRule="exact"/>
        <w:rPr>
          <w:sz w:val="20"/>
          <w:szCs w:val="20"/>
          <w:color w:val="auto"/>
        </w:rPr>
      </w:pPr>
    </w:p>
    <w:p>
      <w:pPr>
        <w:ind w:right="240" w:firstLine="619"/>
        <w:spacing w:after="0" w:line="266" w:lineRule="auto"/>
        <w:rPr>
          <w:sz w:val="20"/>
          <w:szCs w:val="20"/>
          <w:color w:val="auto"/>
        </w:rPr>
      </w:pPr>
      <w:r>
        <w:rPr>
          <w:rFonts w:ascii="Times New Roman" w:cs="Times New Roman" w:eastAsia="Times New Roman" w:hAnsi="Times New Roman"/>
          <w:sz w:val="17"/>
          <w:szCs w:val="17"/>
          <w:color w:val="auto"/>
        </w:rPr>
        <w:t>Given the size and geographic scope of our workforce, we have a robust global recruiting organization, which includes personnel focused on recruiting and retention, online job postings, and recruiting programs at academic institutions for internships and entry-level roles.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6" w:name="page7"/>
    <w:bookmarkEnd w:id="6"/>
    <w:p>
      <w:pPr>
        <w:ind w:left="40"/>
        <w:spacing w:after="0"/>
        <w:tabs>
          <w:tab w:leader="none" w:pos="100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07"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In 2023, we hired about 8,700 new employees and were able to rehire more than 2,000 former employees despite a tight labor market. We have found that hiring former employees allows us to add needed personnel who are able to apply their prior experience at the Company to quickly re-acclimate and add value to their teams.</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Leadership</w:t>
      </w:r>
    </w:p>
    <w:p>
      <w:pPr>
        <w:spacing w:after="0" w:line="32"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The ongoing identification and development of leadership talent ensures business continuity and strengthens our competitive advantage, both of which are critical for our short-term and long-term success. In 2023, we saw a 14% increase in female candidates on leadership succession charts compared to 2022. One of our most significant investments in developing future leaders is our executive education programs. In 2023, approximately 24% of the participants in these programs were female and 53 different nationalities were represented.</w:t>
      </w:r>
    </w:p>
    <w:p>
      <w:pPr>
        <w:spacing w:after="0" w:line="203" w:lineRule="exact"/>
        <w:rPr>
          <w:sz w:val="20"/>
          <w:szCs w:val="20"/>
          <w:color w:val="auto"/>
        </w:rPr>
      </w:pPr>
    </w:p>
    <w:p>
      <w:pPr>
        <w:ind w:right="240" w:firstLine="619"/>
        <w:spacing w:after="0" w:line="264" w:lineRule="auto"/>
        <w:rPr>
          <w:sz w:val="20"/>
          <w:szCs w:val="20"/>
          <w:color w:val="auto"/>
        </w:rPr>
      </w:pPr>
      <w:r>
        <w:rPr>
          <w:rFonts w:ascii="Times New Roman" w:cs="Times New Roman" w:eastAsia="Times New Roman" w:hAnsi="Times New Roman"/>
          <w:sz w:val="17"/>
          <w:szCs w:val="17"/>
          <w:color w:val="auto"/>
        </w:rPr>
        <w:t>As part of our commitment to employee engagement, we solicit feedback from employees on their workplace challenges, and empower them to share their perspectives and ideas to improve the overall employee experience, including performance, development, and work-life balance. Notably, according to a survey we conducted in 2023, 96% of responding employees feel the work they do everyday matters. This is especially meaningful since 84% of our employees responded to the survey.</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Benefits and well-being</w:t>
      </w:r>
    </w:p>
    <w:p>
      <w:pPr>
        <w:spacing w:after="0" w:line="32"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We provide our employees around the world with benefits that address the diverse needs of our workforce and their families. We evaluate our benefits package to identify opportunities for improvement and to remain competitive. In 2023, we enhanced healthcare benefits and expenditure planning for United States employees with refreshed medical plans, enhancements to our surrogacy offerings, legal plans, pharmacy advocacy programs, and a global business travel accident program. In 2023, we continued to expand our Employee Assistance Program (EAP) and now all Halliburton employees and their families around the globe have access to EAP and mental health support services in their local markets.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Safety</w:t>
      </w:r>
    </w:p>
    <w:p>
      <w:pPr>
        <w:spacing w:after="0" w:line="32" w:lineRule="exact"/>
        <w:rPr>
          <w:sz w:val="20"/>
          <w:szCs w:val="20"/>
          <w:color w:val="auto"/>
        </w:rPr>
      </w:pPr>
    </w:p>
    <w:p>
      <w:pPr>
        <w:ind w:right="140" w:firstLine="619"/>
        <w:spacing w:after="0" w:line="255" w:lineRule="auto"/>
        <w:rPr>
          <w:sz w:val="20"/>
          <w:szCs w:val="20"/>
          <w:color w:val="auto"/>
        </w:rPr>
      </w:pPr>
      <w:r>
        <w:rPr>
          <w:rFonts w:ascii="Times New Roman" w:cs="Times New Roman" w:eastAsia="Times New Roman" w:hAnsi="Times New Roman"/>
          <w:sz w:val="17"/>
          <w:szCs w:val="17"/>
          <w:color w:val="auto"/>
        </w:rPr>
        <w:t>Safety is a Halliburton core value. Our long-term safety programs and processes are tried, tested, and well-established, including our Journey to ZERO initiative, to maintain our strong performance and improve proactive identification and management of safety risks. In 2023, we focused on risk management and leadership visits. As a result of our focus on safety, for the years ended December 31, 2023 and December 31, 2022, our total recordable incident rates were 0.25 and 0.29 (incidents per 200,000 hours worked), non-productive times were 0.24% and 0.27% (percentage of total operating hours), lost-time incident rates were 0.07 and 0.08 (incidents per 200,000 hours worked), and preventable recordable vehicle incident rates were 0.10 for both (incidents per million miles traveled), respectively.</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Government regulation</w:t>
      </w:r>
    </w:p>
    <w:p>
      <w:pPr>
        <w:spacing w:after="0" w:line="34" w:lineRule="exact"/>
        <w:rPr>
          <w:sz w:val="20"/>
          <w:szCs w:val="20"/>
          <w:color w:val="auto"/>
        </w:rPr>
      </w:pPr>
    </w:p>
    <w:p>
      <w:pPr>
        <w:ind w:right="360" w:firstLine="619"/>
        <w:spacing w:after="0" w:line="266" w:lineRule="auto"/>
        <w:rPr>
          <w:sz w:val="20"/>
          <w:szCs w:val="20"/>
          <w:color w:val="auto"/>
        </w:rPr>
      </w:pPr>
      <w:r>
        <w:rPr>
          <w:rFonts w:ascii="Times New Roman" w:cs="Times New Roman" w:eastAsia="Times New Roman" w:hAnsi="Times New Roman"/>
          <w:sz w:val="17"/>
          <w:szCs w:val="17"/>
          <w:color w:val="auto"/>
        </w:rPr>
        <w:t xml:space="preserve">We are subject to numerous environmental, legal, and regulatory requirements related to our operations worldwide. For further information related to environmental matters and regulation, see Note 11 to the consolidated financial statements and </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Item 1(a). Risk Factors.”</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Hydraulic fracturing</w:t>
      </w:r>
    </w:p>
    <w:p>
      <w:pPr>
        <w:spacing w:after="0" w:line="34" w:lineRule="exact"/>
        <w:rPr>
          <w:sz w:val="20"/>
          <w:szCs w:val="20"/>
          <w:color w:val="auto"/>
        </w:rPr>
      </w:pPr>
    </w:p>
    <w:p>
      <w:pPr>
        <w:ind w:right="340" w:firstLine="619"/>
        <w:spacing w:after="0" w:line="257" w:lineRule="auto"/>
        <w:rPr>
          <w:sz w:val="20"/>
          <w:szCs w:val="20"/>
          <w:color w:val="auto"/>
        </w:rPr>
      </w:pPr>
      <w:r>
        <w:rPr>
          <w:rFonts w:ascii="Times New Roman" w:cs="Times New Roman" w:eastAsia="Times New Roman" w:hAnsi="Times New Roman"/>
          <w:sz w:val="17"/>
          <w:szCs w:val="17"/>
          <w:color w:val="auto"/>
        </w:rPr>
        <w:t>Hydraulic fracturing is a process that creates fractures extending from the well bore into the rock formation to enable natural gas or oil to move more easily from the rock pores to a production conduit. A significant portion of our Completion and Production segment provides hydraulic fracturing services to customers developing shale natural gas and shale oil. From time to time, questions arise about the scope of our operations in the shale natural gas and shale oil sectors, and the extent to which these operations may affect human health and the environment.</w:t>
      </w:r>
    </w:p>
    <w:p>
      <w:pPr>
        <w:spacing w:after="0" w:line="199" w:lineRule="exact"/>
        <w:rPr>
          <w:sz w:val="20"/>
          <w:szCs w:val="20"/>
          <w:color w:val="auto"/>
        </w:rPr>
      </w:pPr>
    </w:p>
    <w:p>
      <w:pPr>
        <w:ind w:right="80" w:firstLine="619"/>
        <w:spacing w:after="0" w:line="247" w:lineRule="auto"/>
        <w:rPr>
          <w:sz w:val="20"/>
          <w:szCs w:val="20"/>
          <w:color w:val="auto"/>
        </w:rPr>
      </w:pPr>
      <w:r>
        <w:rPr>
          <w:rFonts w:ascii="Times New Roman" w:cs="Times New Roman" w:eastAsia="Times New Roman" w:hAnsi="Times New Roman"/>
          <w:sz w:val="17"/>
          <w:szCs w:val="17"/>
          <w:color w:val="auto"/>
        </w:rPr>
        <w:t>At the direction of our customer, we design and generally implement a hydraulic fracturing operation to stimulate the well</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s production after the well has been drilled, cased, and cemented. Our customer is generally responsible for providing the base fluid (usually water) used in the hydraulic fracturing of a well. We frequently supply the proppant (primarily sand) and at least a portion of the additives used in the overall fracturing fluid mixture. In addition, we mix the additives and proppant with the base fluid and pump the mixture down the wellbore to create the desired fractures in the target formation. The customer is responsible for disposing or recycling for further use any materials that are subsequently produced or pumped out of the well, including flowback fluids and produced water.</w:t>
      </w:r>
    </w:p>
    <w:p>
      <w:pPr>
        <w:spacing w:after="0" w:line="211"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As part of the process of constructing the well, the customer will take a number of steps designed to protect aquifers. In particular, the casing and cementing of the well are designed to provide 'zonal isolation' so that the fluids pumped down the wellbore and the oil and natural gas and other materials that are subsequently pumped out of the well will not come into contact with shallow aquifers or other shallow formations through which those materials could potentially migrate to freshwater aquifers or the surface.</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7" w:name="page8"/>
    <w:bookmarkEnd w:id="7"/>
    <w:p>
      <w:pPr>
        <w:ind w:left="40"/>
        <w:spacing w:after="0"/>
        <w:tabs>
          <w:tab w:leader="none" w:pos="100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200" w:lineRule="exact"/>
        <w:rPr>
          <w:sz w:val="20"/>
          <w:szCs w:val="20"/>
          <w:color w:val="auto"/>
        </w:rPr>
      </w:pPr>
    </w:p>
    <w:p>
      <w:pPr>
        <w:spacing w:after="0" w:line="339"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The potential environmental impacts of hydraulic fracturing have been studied by numerous government entities and others. In 2004, the United States Environmental Protection Agency (EPA) conducted an extensive study of hydraulic fracturing practices, focusing on coalbed methane wells, and their potential effect on underground sources of drinking water. The EPA’s study concluded that hydraulic fracturing of coalbed methane wells poses little or no threat to underground sources of drinking water. In December 2016, the EPA released a final report, “</w:t>
      </w:r>
      <w:r>
        <w:rPr>
          <w:rFonts w:ascii="Times New Roman" w:cs="Times New Roman" w:eastAsia="Times New Roman" w:hAnsi="Times New Roman"/>
          <w:sz w:val="17"/>
          <w:szCs w:val="17"/>
          <w:i w:val="1"/>
          <w:iCs w:val="1"/>
          <w:color w:val="auto"/>
        </w:rPr>
        <w:t>Hydraulic Fracturing for Oil and Gas: Impacts from the Hydraulic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Fracturing Water Cycle on Drinking Water Resources in the United States</w:t>
      </w:r>
      <w:r>
        <w:rPr>
          <w:rFonts w:ascii="Times New Roman" w:cs="Times New Roman" w:eastAsia="Times New Roman" w:hAnsi="Times New Roman"/>
          <w:sz w:val="17"/>
          <w:szCs w:val="17"/>
          <w:color w:val="auto"/>
        </w:rPr>
        <w:t>” representing the culmination of a six-year study requested by Congress. While the EPA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 noted a potential for some impact to drinking water sources caused by hydraulic fracturing, the agency confirmed the overall incidence of impacts is low. Moreover, a number of the areas of potential impact identified in the report involve activities for which we are not generally responsible, such as potential impacts associated with withdrawals of surface water for use as a base fluid and management of wastewater.</w:t>
      </w:r>
    </w:p>
    <w:p>
      <w:pPr>
        <w:spacing w:after="0" w:line="201"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17"/>
          <w:szCs w:val="17"/>
          <w:color w:val="auto"/>
        </w:rPr>
        <w:t>We have proactively developed processes to provide our customers with the chemical constituents of our hydraulic fracturing fluids to enable our customers to comply with state laws as well as voluntary standards established by the Chemical Disclosure Registry, www.fracfocus.org. We have invested considerable resources in developing hydraulic fracturing technologies, in both the equipment and chemistry portions of our business, which offer our customers a variety of environment-friendly options related to the use of hydraulic fracturing fluid additives and other aspects of our hydraulic fracturing operations. We created a hydraulic fracturing fluid system comprised of materials sourced entirely from the food industry. We are committed to the continued development of innovative chemical and mechanical technologies that allow for more economical and environment-friendly development of the world’s oil and natural gas reserves, and that reduce noise while complying with Tier 4 lower emission legislation.</w:t>
      </w:r>
    </w:p>
    <w:p>
      <w:pPr>
        <w:spacing w:after="0" w:line="205"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In evaluating any environmental risks that may be associated with our hydraulic fracturing services, it is helpful to understand the role that we play in the development of shale natural gas and shale oil. Our principal task generally is to manage the process of injecting fracturing fluids into the borehole to stimulate the well. Thus, based on the provisions in our contracts and applicable law, the primary environmental risks we face are potential pre-injection spills or releases of stored fracturing fluids and potential spills or releases of fuel or other fluids associated with pumps, blenders, conveyors, or other above-ground equipment used in the hydraulic fracturing process.</w:t>
      </w:r>
    </w:p>
    <w:p>
      <w:pPr>
        <w:spacing w:after="0" w:line="200"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 xml:space="preserve">Although possible concerns have been raised about hydraulic fracturing, the circumstances described above have helped to mitigate those concerns. To date, we have not been obligated to compensate any indemnified party for any environmental liability arising directly from hydraulic fracturing, although there can be no assurance that such obligations or liabilities will not arise in the future. For further information on risks related to hydraulic fracturing, see </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Item 1(a). Risk Factors.”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Working capital</w:t>
      </w:r>
    </w:p>
    <w:p>
      <w:pPr>
        <w:spacing w:after="0" w:line="34" w:lineRule="exact"/>
        <w:rPr>
          <w:sz w:val="20"/>
          <w:szCs w:val="20"/>
          <w:color w:val="auto"/>
        </w:rPr>
      </w:pPr>
    </w:p>
    <w:p>
      <w:pPr>
        <w:ind w:right="680" w:firstLine="619"/>
        <w:spacing w:after="0" w:line="266" w:lineRule="auto"/>
        <w:rPr>
          <w:sz w:val="20"/>
          <w:szCs w:val="20"/>
          <w:color w:val="auto"/>
        </w:rPr>
      </w:pPr>
      <w:r>
        <w:rPr>
          <w:rFonts w:ascii="Times New Roman" w:cs="Times New Roman" w:eastAsia="Times New Roman" w:hAnsi="Times New Roman"/>
          <w:sz w:val="17"/>
          <w:szCs w:val="17"/>
          <w:color w:val="auto"/>
        </w:rPr>
        <w:t>We fund our business operations through a combination of available cash and equivalents, short-term investments, and cash flow generated from operations. In addition, our revolving credit facility is available for additional working capital needs.</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Web site access - www.halliburton.com</w:t>
      </w:r>
    </w:p>
    <w:p>
      <w:pPr>
        <w:spacing w:after="0" w:line="34"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 xml:space="preserve">Our annual reports on Form 10-K, quarterly reports on Form 10-Q, current reports on Form 8-K and amendments to those reports filed or furnished to the Securities and Exchange Commission (SEC) pursuant to Section 13(a) or 15(d) of the Securities Exchange Act of 1934 are available at </w:t>
      </w:r>
      <w:r>
        <w:rPr>
          <w:rFonts w:ascii="Times New Roman" w:cs="Times New Roman" w:eastAsia="Times New Roman" w:hAnsi="Times New Roman"/>
          <w:sz w:val="17"/>
          <w:szCs w:val="17"/>
          <w:u w:val="single" w:color="auto"/>
          <w:color w:val="auto"/>
        </w:rPr>
        <w:t>www.halliburton.com</w:t>
      </w:r>
      <w:r>
        <w:rPr>
          <w:rFonts w:ascii="Times New Roman" w:cs="Times New Roman" w:eastAsia="Times New Roman" w:hAnsi="Times New Roman"/>
          <w:sz w:val="17"/>
          <w:szCs w:val="17"/>
          <w:color w:val="auto"/>
        </w:rPr>
        <w:t xml:space="preserve"> soon thereafter. The SEC website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xml:space="preserve"> contains our reports, proxy and information statements and our other SEC filings. Our Code of Business Conduct, which applies to all our employees and Directors and serves as a code of ethics for our principal executive officer, principal financial officer, principal accounting officer, and other persons performing similar functions, can be found at </w:t>
      </w:r>
      <w:r>
        <w:rPr>
          <w:rFonts w:ascii="Times New Roman" w:cs="Times New Roman" w:eastAsia="Times New Roman" w:hAnsi="Times New Roman"/>
          <w:sz w:val="17"/>
          <w:szCs w:val="17"/>
          <w:u w:val="single" w:color="auto"/>
          <w:color w:val="auto"/>
        </w:rPr>
        <w:t>www.halliburton.com</w:t>
      </w:r>
      <w:r>
        <w:rPr>
          <w:rFonts w:ascii="Times New Roman" w:cs="Times New Roman" w:eastAsia="Times New Roman" w:hAnsi="Times New Roman"/>
          <w:sz w:val="17"/>
          <w:szCs w:val="17"/>
          <w:color w:val="auto"/>
        </w:rPr>
        <w:t>. Any amendments to our Code of Business Conduct or any waivers from provisions of our Code of Business Conduct granted to the specified officers above are also disclosed on our web site within four business days after the date of any amendment or waiver pertaining to these officers. There have been no waivers from provisions of our Code of Business Conduct for the years 2023, 2022, or 2021. Except to the extent expressly stated otherwise, information contained on or accessible from our web site or any other web site is not incorporated by reference into this annual report on Form 10-K and should not be considered part of this report.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8" w:name="page9"/>
    <w:bookmarkEnd w:id="8"/>
    <w:p>
      <w:pPr>
        <w:ind w:left="40"/>
        <w:spacing w:after="0"/>
        <w:tabs>
          <w:tab w:leader="none" w:pos="100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 | Business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 of the Registrant</w:t>
      </w:r>
    </w:p>
    <w:p>
      <w:pPr>
        <w:spacing w:after="0" w:line="247" w:lineRule="exact"/>
        <w:rPr>
          <w:sz w:val="20"/>
          <w:szCs w:val="20"/>
          <w:color w:val="auto"/>
        </w:rPr>
      </w:pPr>
    </w:p>
    <w:p>
      <w:pPr>
        <w:ind w:right="460" w:firstLine="619"/>
        <w:spacing w:after="0" w:line="276" w:lineRule="auto"/>
        <w:rPr>
          <w:sz w:val="20"/>
          <w:szCs w:val="20"/>
          <w:color w:val="auto"/>
        </w:rPr>
      </w:pPr>
      <w:r>
        <w:rPr>
          <w:rFonts w:ascii="Times New Roman" w:cs="Times New Roman" w:eastAsia="Times New Roman" w:hAnsi="Times New Roman"/>
          <w:sz w:val="17"/>
          <w:szCs w:val="17"/>
          <w:color w:val="auto"/>
        </w:rPr>
        <w:t>The following table indicates the names and ages of the executive officers of Halliburton Company as of February 6, 2024, including all offices and positions held by each in the past five years:</w:t>
      </w:r>
    </w:p>
    <w:tbl>
      <w:tblPr>
        <w:tblLayout w:type="fixed"/>
        <w:tblInd w:w="300" w:type="dxa"/>
        <w:tblCellMar>
          <w:top w:w="0" w:type="dxa"/>
          <w:left w:w="0" w:type="dxa"/>
          <w:bottom w:w="0" w:type="dxa"/>
          <w:right w:w="0" w:type="dxa"/>
        </w:tblCellMar>
      </w:tblPr>
      <w:tr>
        <w:trPr>
          <w:trHeight w:val="186"/>
        </w:trPr>
        <w:tc>
          <w:tcPr>
            <w:tcW w:w="210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Name and Age</w:t>
            </w:r>
          </w:p>
        </w:tc>
        <w:tc>
          <w:tcPr>
            <w:tcW w:w="78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Offices Held and Term of Office</w:t>
            </w: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Van H. Beckwith</w:t>
            </w:r>
          </w:p>
        </w:tc>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Executive Vice President, Secretary and Chief Legal Officer of Halliburton Company, since December 2020</w:t>
            </w:r>
          </w:p>
        </w:tc>
        <w:tc>
          <w:tcPr>
            <w:tcW w:w="0" w:type="dxa"/>
            <w:vAlign w:val="bottom"/>
          </w:tcPr>
          <w:p>
            <w:pPr>
              <w:spacing w:after="0"/>
              <w:rPr>
                <w:sz w:val="1"/>
                <w:szCs w:val="1"/>
                <w:color w:val="auto"/>
              </w:rPr>
            </w:pPr>
          </w:p>
        </w:tc>
      </w:tr>
      <w:tr>
        <w:trPr>
          <w:trHeight w:val="223"/>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(Age 58)</w:t>
            </w:r>
          </w:p>
        </w:tc>
        <w:tc>
          <w:tcPr>
            <w:tcW w:w="224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 Vice President and General Counsel, January 2020 to December 2020</w:t>
            </w:r>
          </w:p>
        </w:tc>
        <w:tc>
          <w:tcPr>
            <w:tcW w:w="0" w:type="dxa"/>
            <w:vAlign w:val="bottom"/>
          </w:tcPr>
          <w:p>
            <w:pPr>
              <w:spacing w:after="0"/>
              <w:rPr>
                <w:sz w:val="1"/>
                <w:szCs w:val="1"/>
                <w:color w:val="auto"/>
              </w:rPr>
            </w:pPr>
          </w:p>
        </w:tc>
      </w:tr>
      <w:tr>
        <w:trPr>
          <w:trHeight w:val="297"/>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Partner, Baker Botts L.L.P., January 1999 to December 2019</w:t>
            </w:r>
          </w:p>
        </w:tc>
        <w:tc>
          <w:tcPr>
            <w:tcW w:w="0" w:type="dxa"/>
            <w:vAlign w:val="bottom"/>
          </w:tcPr>
          <w:p>
            <w:pPr>
              <w:spacing w:after="0"/>
              <w:rPr>
                <w:sz w:val="1"/>
                <w:szCs w:val="1"/>
                <w:color w:val="auto"/>
              </w:rPr>
            </w:pPr>
          </w:p>
        </w:tc>
      </w:tr>
      <w:tr>
        <w:trPr>
          <w:trHeight w:val="309"/>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Eric J. Carre</w:t>
            </w:r>
          </w:p>
        </w:tc>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 of Halliburton Company, since May 2022</w:t>
            </w:r>
          </w:p>
        </w:tc>
        <w:tc>
          <w:tcPr>
            <w:tcW w:w="0" w:type="dxa"/>
            <w:vAlign w:val="bottom"/>
          </w:tcPr>
          <w:p>
            <w:pPr>
              <w:spacing w:after="0"/>
              <w:rPr>
                <w:sz w:val="1"/>
                <w:szCs w:val="1"/>
                <w:color w:val="auto"/>
              </w:rPr>
            </w:pPr>
          </w:p>
        </w:tc>
      </w:tr>
      <w:tr>
        <w:trPr>
          <w:trHeight w:val="223"/>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(Age 57)</w:t>
            </w:r>
          </w:p>
        </w:tc>
        <w:tc>
          <w:tcPr>
            <w:tcW w:w="224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Executive Vice President, Global Business Lines of Halliburton Company, May 2016 to April 2022</w:t>
            </w:r>
          </w:p>
        </w:tc>
        <w:tc>
          <w:tcPr>
            <w:tcW w:w="0" w:type="dxa"/>
            <w:vAlign w:val="bottom"/>
          </w:tcPr>
          <w:p>
            <w:pPr>
              <w:spacing w:after="0"/>
              <w:rPr>
                <w:sz w:val="1"/>
                <w:szCs w:val="1"/>
                <w:color w:val="auto"/>
              </w:rPr>
            </w:pPr>
          </w:p>
        </w:tc>
      </w:tr>
      <w:tr>
        <w:trPr>
          <w:trHeight w:val="464"/>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Charles E. Geer, Jr.</w:t>
            </w:r>
          </w:p>
        </w:tc>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 Vice President and Chief Accounting Officer of Halliburton Company, since December 2019</w:t>
            </w:r>
          </w:p>
        </w:tc>
        <w:tc>
          <w:tcPr>
            <w:tcW w:w="0" w:type="dxa"/>
            <w:vAlign w:val="bottom"/>
          </w:tcPr>
          <w:p>
            <w:pPr>
              <w:spacing w:after="0"/>
              <w:rPr>
                <w:sz w:val="1"/>
                <w:szCs w:val="1"/>
                <w:color w:val="auto"/>
              </w:rPr>
            </w:pPr>
          </w:p>
        </w:tc>
      </w:tr>
      <w:tr>
        <w:trPr>
          <w:trHeight w:val="223"/>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(Age 53)</w:t>
            </w:r>
          </w:p>
        </w:tc>
        <w:tc>
          <w:tcPr>
            <w:tcW w:w="224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Vice President and Corporate Controller of Halliburton Company, January 2015 to December 2019</w:t>
            </w:r>
          </w:p>
        </w:tc>
        <w:tc>
          <w:tcPr>
            <w:tcW w:w="0" w:type="dxa"/>
            <w:vAlign w:val="bottom"/>
          </w:tcPr>
          <w:p>
            <w:pPr>
              <w:spacing w:after="0"/>
              <w:rPr>
                <w:sz w:val="1"/>
                <w:szCs w:val="1"/>
                <w:color w:val="auto"/>
              </w:rPr>
            </w:pPr>
          </w:p>
        </w:tc>
      </w:tr>
      <w:tr>
        <w:trPr>
          <w:trHeight w:val="464"/>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Myrtle L. Jones</w:t>
            </w:r>
          </w:p>
        </w:tc>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 Vice President, Tax of Halliburton Company, since March 2013</w:t>
            </w:r>
          </w:p>
        </w:tc>
        <w:tc>
          <w:tcPr>
            <w:tcW w:w="0" w:type="dxa"/>
            <w:vAlign w:val="bottom"/>
          </w:tcPr>
          <w:p>
            <w:pPr>
              <w:spacing w:after="0"/>
              <w:rPr>
                <w:sz w:val="1"/>
                <w:szCs w:val="1"/>
                <w:color w:val="auto"/>
              </w:rPr>
            </w:pPr>
          </w:p>
        </w:tc>
      </w:tr>
      <w:tr>
        <w:trPr>
          <w:trHeight w:val="223"/>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(Age 64)</w:t>
            </w:r>
          </w:p>
        </w:tc>
        <w:tc>
          <w:tcPr>
            <w:tcW w:w="224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Timothy M. McKeon</w:t>
            </w:r>
          </w:p>
        </w:tc>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 Vice President and Treasurer of Halliburton Company, since January 2022</w:t>
            </w:r>
          </w:p>
        </w:tc>
        <w:tc>
          <w:tcPr>
            <w:tcW w:w="0" w:type="dxa"/>
            <w:vAlign w:val="bottom"/>
          </w:tcPr>
          <w:p>
            <w:pPr>
              <w:spacing w:after="0"/>
              <w:rPr>
                <w:sz w:val="1"/>
                <w:szCs w:val="1"/>
                <w:color w:val="auto"/>
              </w:rPr>
            </w:pPr>
          </w:p>
        </w:tc>
      </w:tr>
      <w:tr>
        <w:trPr>
          <w:trHeight w:val="223"/>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(Age 51)</w:t>
            </w:r>
          </w:p>
        </w:tc>
        <w:tc>
          <w:tcPr>
            <w:tcW w:w="78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Vice President and Treasurer of Halliburton Company, January 2014 to December 2021</w:t>
            </w:r>
          </w:p>
        </w:tc>
        <w:tc>
          <w:tcPr>
            <w:tcW w:w="0" w:type="dxa"/>
            <w:vAlign w:val="bottom"/>
          </w:tcPr>
          <w:p>
            <w:pPr>
              <w:spacing w:after="0"/>
              <w:rPr>
                <w:sz w:val="1"/>
                <w:szCs w:val="1"/>
                <w:color w:val="auto"/>
              </w:rPr>
            </w:pPr>
          </w:p>
        </w:tc>
      </w:tr>
      <w:tr>
        <w:trPr>
          <w:trHeight w:val="125"/>
        </w:trPr>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Jeffrey A. Miller</w:t>
            </w:r>
          </w:p>
        </w:tc>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 of Halliburton Company, since January 2019</w:t>
            </w:r>
          </w:p>
        </w:tc>
        <w:tc>
          <w:tcPr>
            <w:tcW w:w="0" w:type="dxa"/>
            <w:vAlign w:val="bottom"/>
          </w:tcPr>
          <w:p>
            <w:pPr>
              <w:spacing w:after="0"/>
              <w:rPr>
                <w:sz w:val="1"/>
                <w:szCs w:val="1"/>
                <w:color w:val="auto"/>
              </w:rPr>
            </w:pPr>
          </w:p>
        </w:tc>
      </w:tr>
      <w:tr>
        <w:trPr>
          <w:trHeight w:val="223"/>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(Age 60)</w:t>
            </w:r>
          </w:p>
        </w:tc>
        <w:tc>
          <w:tcPr>
            <w:tcW w:w="224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Lawrence J. Pope</w:t>
            </w:r>
          </w:p>
        </w:tc>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Executive Vice President of Administration and Chief Human Resources Officer of Halliburton Company, since</w:t>
            </w:r>
          </w:p>
        </w:tc>
        <w:tc>
          <w:tcPr>
            <w:tcW w:w="0" w:type="dxa"/>
            <w:vAlign w:val="bottom"/>
          </w:tcPr>
          <w:p>
            <w:pPr>
              <w:spacing w:after="0"/>
              <w:rPr>
                <w:sz w:val="1"/>
                <w:szCs w:val="1"/>
                <w:color w:val="auto"/>
              </w:rPr>
            </w:pPr>
          </w:p>
        </w:tc>
      </w:tr>
      <w:tr>
        <w:trPr>
          <w:trHeight w:val="223"/>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(Age 55)</w:t>
            </w: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January 2008</w:t>
            </w:r>
          </w:p>
        </w:tc>
        <w:tc>
          <w:tcPr>
            <w:tcW w:w="0" w:type="dxa"/>
            <w:vAlign w:val="bottom"/>
          </w:tcPr>
          <w:p>
            <w:pPr>
              <w:spacing w:after="0"/>
              <w:rPr>
                <w:sz w:val="1"/>
                <w:szCs w:val="1"/>
                <w:color w:val="auto"/>
              </w:rPr>
            </w:pPr>
          </w:p>
        </w:tc>
      </w:tr>
      <w:tr>
        <w:trPr>
          <w:trHeight w:val="280"/>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 J. Richard</w:t>
            </w:r>
          </w:p>
        </w:tc>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Western Hemisphere of Halliburton Company, since February 2019</w:t>
            </w:r>
          </w:p>
        </w:tc>
        <w:tc>
          <w:tcPr>
            <w:tcW w:w="0" w:type="dxa"/>
            <w:vAlign w:val="bottom"/>
          </w:tcPr>
          <w:p>
            <w:pPr>
              <w:spacing w:after="0"/>
              <w:rPr>
                <w:sz w:val="1"/>
                <w:szCs w:val="1"/>
                <w:color w:val="auto"/>
              </w:rPr>
            </w:pPr>
          </w:p>
        </w:tc>
      </w:tr>
      <w:tr>
        <w:trPr>
          <w:trHeight w:val="223"/>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(Age 62)</w:t>
            </w:r>
          </w:p>
        </w:tc>
        <w:tc>
          <w:tcPr>
            <w:tcW w:w="78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Senior Vice President, Northern U.S. Region of Halliburton Company, August 2018 to January 2019</w:t>
            </w:r>
          </w:p>
        </w:tc>
        <w:tc>
          <w:tcPr>
            <w:tcW w:w="0" w:type="dxa"/>
            <w:vAlign w:val="bottom"/>
          </w:tcPr>
          <w:p>
            <w:pPr>
              <w:spacing w:after="0"/>
              <w:rPr>
                <w:sz w:val="1"/>
                <w:szCs w:val="1"/>
                <w:color w:val="auto"/>
              </w:rPr>
            </w:pPr>
          </w:p>
        </w:tc>
      </w:tr>
      <w:tr>
        <w:trPr>
          <w:trHeight w:val="87"/>
        </w:trPr>
        <w:tc>
          <w:tcPr>
            <w:tcW w:w="10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4"/>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Jill D. Sharp</w:t>
            </w:r>
          </w:p>
        </w:tc>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 Vice President, Internal Assurance Services of Halliburton Company, since January 2022</w:t>
            </w:r>
          </w:p>
        </w:tc>
        <w:tc>
          <w:tcPr>
            <w:tcW w:w="0" w:type="dxa"/>
            <w:vAlign w:val="bottom"/>
          </w:tcPr>
          <w:p>
            <w:pPr>
              <w:spacing w:after="0"/>
              <w:rPr>
                <w:sz w:val="1"/>
                <w:szCs w:val="1"/>
                <w:color w:val="auto"/>
              </w:rPr>
            </w:pPr>
          </w:p>
        </w:tc>
      </w:tr>
      <w:tr>
        <w:trPr>
          <w:trHeight w:val="223"/>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(Age 53)</w:t>
            </w:r>
          </w:p>
        </w:tc>
        <w:tc>
          <w:tcPr>
            <w:tcW w:w="224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Vice President, Internal Assurance Services of Halliburton Company, September 2021 to December 2021</w:t>
            </w:r>
          </w:p>
        </w:tc>
        <w:tc>
          <w:tcPr>
            <w:tcW w:w="0" w:type="dxa"/>
            <w:vAlign w:val="bottom"/>
          </w:tcPr>
          <w:p>
            <w:pPr>
              <w:spacing w:after="0"/>
              <w:rPr>
                <w:sz w:val="1"/>
                <w:szCs w:val="1"/>
                <w:color w:val="auto"/>
              </w:rPr>
            </w:pPr>
          </w:p>
        </w:tc>
      </w:tr>
      <w:tr>
        <w:trPr>
          <w:trHeight w:val="413"/>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Vice President, Finance - Western Hemisphere of Halliburton Company, October 2016 to August 2021</w:t>
            </w:r>
          </w:p>
        </w:tc>
        <w:tc>
          <w:tcPr>
            <w:tcW w:w="0" w:type="dxa"/>
            <w:vAlign w:val="bottom"/>
          </w:tcPr>
          <w:p>
            <w:pPr>
              <w:spacing w:after="0"/>
              <w:rPr>
                <w:sz w:val="1"/>
                <w:szCs w:val="1"/>
                <w:color w:val="auto"/>
              </w:rPr>
            </w:pPr>
          </w:p>
        </w:tc>
      </w:tr>
      <w:tr>
        <w:trPr>
          <w:trHeight w:val="464"/>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Shannon Slocum</w:t>
            </w:r>
          </w:p>
        </w:tc>
        <w:tc>
          <w:tcPr>
            <w:tcW w:w="7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Eastern Hemisphere of Halliburton Company, since March 2023</w:t>
            </w:r>
          </w:p>
        </w:tc>
        <w:tc>
          <w:tcPr>
            <w:tcW w:w="0" w:type="dxa"/>
            <w:vAlign w:val="bottom"/>
          </w:tcPr>
          <w:p>
            <w:pPr>
              <w:spacing w:after="0"/>
              <w:rPr>
                <w:sz w:val="1"/>
                <w:szCs w:val="1"/>
                <w:color w:val="auto"/>
              </w:rPr>
            </w:pPr>
          </w:p>
        </w:tc>
      </w:tr>
      <w:tr>
        <w:trPr>
          <w:trHeight w:val="223"/>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(Age 51)</w:t>
            </w:r>
          </w:p>
        </w:tc>
        <w:tc>
          <w:tcPr>
            <w:tcW w:w="78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Senior Vice President, Global Business Development and Marketing of Halliburton Company, January 2020 to</w:t>
            </w:r>
          </w:p>
        </w:tc>
        <w:tc>
          <w:tcPr>
            <w:tcW w:w="0" w:type="dxa"/>
            <w:vAlign w:val="bottom"/>
          </w:tcPr>
          <w:p>
            <w:pPr>
              <w:spacing w:after="0"/>
              <w:rPr>
                <w:sz w:val="1"/>
                <w:szCs w:val="1"/>
                <w:color w:val="auto"/>
              </w:rPr>
            </w:pPr>
          </w:p>
        </w:tc>
      </w:tr>
      <w:tr>
        <w:trPr>
          <w:trHeight w:val="73"/>
        </w:trPr>
        <w:tc>
          <w:tcPr>
            <w:tcW w:w="10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February 2023</w:t>
            </w: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4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Senior Vice President, Eurasia, Europe, and Sub-Saharan Africa Region of Halliburton Company, January 2018 to</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December 2019</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There are no family relationships between the executive officers of the registrant or between any director and any executive officer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1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40" w:type="dxa"/>
            <w:vAlign w:val="bottom"/>
          </w:tcPr>
          <w:p>
            <w:pPr>
              <w:ind w:left="5860"/>
              <w:spacing w:after="0"/>
              <w:rPr>
                <w:sz w:val="20"/>
                <w:szCs w:val="20"/>
                <w:color w:val="auto"/>
              </w:rPr>
            </w:pPr>
            <w:r>
              <w:rPr>
                <w:rFonts w:ascii="Times New Roman" w:cs="Times New Roman" w:eastAsia="Times New Roman" w:hAnsi="Times New Roman"/>
                <w:sz w:val="17"/>
                <w:szCs w:val="17"/>
                <w:color w:val="auto"/>
                <w:w w:val="99"/>
              </w:rPr>
              <w:t>Item 1 | Business</w:t>
            </w:r>
          </w:p>
        </w:tc>
      </w:tr>
      <w:tr>
        <w:trPr>
          <w:trHeight w:val="522"/>
        </w:trPr>
        <w:tc>
          <w:tcPr>
            <w:tcW w:w="2860" w:type="dxa"/>
            <w:vAlign w:val="bottom"/>
            <w:gridSpan w:val="4"/>
          </w:tcPr>
          <w:p>
            <w:pPr>
              <w:ind w:left="120"/>
              <w:spacing w:after="0"/>
              <w:rPr>
                <w:sz w:val="20"/>
                <w:szCs w:val="20"/>
                <w:color w:val="auto"/>
              </w:rPr>
            </w:pPr>
            <w:r>
              <w:rPr>
                <w:rFonts w:ascii="Times New Roman" w:cs="Times New Roman" w:eastAsia="Times New Roman" w:hAnsi="Times New Roman"/>
                <w:sz w:val="17"/>
                <w:szCs w:val="17"/>
                <w:b w:val="1"/>
                <w:bCs w:val="1"/>
                <w:color w:val="auto"/>
              </w:rPr>
              <w:t>Directors of the Registrant</w:t>
            </w:r>
          </w:p>
        </w:tc>
        <w:tc>
          <w:tcPr>
            <w:tcW w:w="128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438"/>
        </w:trPr>
        <w:tc>
          <w:tcPr>
            <w:tcW w:w="40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8"/>
              </w:rPr>
              <w:t>Name</w:t>
            </w:r>
          </w:p>
        </w:tc>
        <w:tc>
          <w:tcPr>
            <w:tcW w:w="2040" w:type="dxa"/>
            <w:vAlign w:val="bottom"/>
            <w:gridSpan w:val="2"/>
          </w:tcPr>
          <w:p>
            <w:pPr>
              <w:spacing w:after="0"/>
              <w:rPr>
                <w:sz w:val="24"/>
                <w:szCs w:val="24"/>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8"/>
              </w:rPr>
              <w:t>Title and company</w:t>
            </w:r>
          </w:p>
        </w:tc>
        <w:tc>
          <w:tcPr>
            <w:tcW w:w="7040" w:type="dxa"/>
            <w:vAlign w:val="bottom"/>
          </w:tcPr>
          <w:p>
            <w:pPr>
              <w:spacing w:after="0"/>
              <w:rPr>
                <w:sz w:val="24"/>
                <w:szCs w:val="24"/>
                <w:color w:val="auto"/>
              </w:rPr>
            </w:pPr>
          </w:p>
        </w:tc>
      </w:tr>
      <w:tr>
        <w:trPr>
          <w:trHeight w:val="341"/>
        </w:trPr>
        <w:tc>
          <w:tcPr>
            <w:tcW w:w="40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Abdulaziz F. Al Khayyal</w:t>
            </w: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Former Director and Senior Vice President of Industrial Relations of Saudi Aramco</w:t>
            </w:r>
          </w:p>
        </w:tc>
      </w:tr>
      <w:tr>
        <w:trPr>
          <w:trHeight w:val="322"/>
        </w:trPr>
        <w:tc>
          <w:tcPr>
            <w:tcW w:w="40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William E. Albrecht</w:t>
            </w: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of Moncrief Energy, LLC</w:t>
            </w:r>
          </w:p>
        </w:tc>
      </w:tr>
      <w:tr>
        <w:trPr>
          <w:trHeight w:val="322"/>
        </w:trPr>
        <w:tc>
          <w:tcPr>
            <w:tcW w:w="40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 Katherine Banks</w:t>
            </w: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Former President of Texas A&amp;M University</w:t>
            </w:r>
          </w:p>
        </w:tc>
      </w:tr>
      <w:tr>
        <w:trPr>
          <w:trHeight w:val="322"/>
        </w:trPr>
        <w:tc>
          <w:tcPr>
            <w:tcW w:w="40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Alan M. Bennett</w:t>
            </w: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Former President and Chief Executive Officer of H&amp;R Block, Inc.</w:t>
            </w:r>
          </w:p>
        </w:tc>
      </w:tr>
      <w:tr>
        <w:trPr>
          <w:trHeight w:val="322"/>
        </w:trPr>
        <w:tc>
          <w:tcPr>
            <w:tcW w:w="40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Milton Carroll</w:t>
            </w: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Former Executive Chairman of the Board of CenterPoint Energy, Inc.</w:t>
            </w:r>
          </w:p>
        </w:tc>
      </w:tr>
      <w:tr>
        <w:trPr>
          <w:trHeight w:val="322"/>
        </w:trPr>
        <w:tc>
          <w:tcPr>
            <w:tcW w:w="40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Earl M. Cummings</w:t>
            </w: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Managing Partner of MCM Houston Properties, LLC</w:t>
            </w:r>
          </w:p>
        </w:tc>
      </w:tr>
      <w:tr>
        <w:trPr>
          <w:trHeight w:val="322"/>
        </w:trPr>
        <w:tc>
          <w:tcPr>
            <w:tcW w:w="40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Murry S. Gerber</w:t>
            </w: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Former Executive Chairman of the Board of EQT Corporation</w:t>
            </w:r>
          </w:p>
        </w:tc>
      </w:tr>
      <w:tr>
        <w:trPr>
          <w:trHeight w:val="270"/>
        </w:trPr>
        <w:tc>
          <w:tcPr>
            <w:tcW w:w="400" w:type="dxa"/>
            <w:vAlign w:val="bottom"/>
          </w:tcPr>
          <w:p>
            <w:pPr>
              <w:spacing w:after="0"/>
              <w:rPr>
                <w:sz w:val="23"/>
                <w:szCs w:val="23"/>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Robert A. Malone</w:t>
            </w: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Executive Chairman, President and Chief Executive Officer of First Sonora Bancshares, Inc. and the First National</w:t>
            </w:r>
          </w:p>
        </w:tc>
      </w:tr>
      <w:tr>
        <w:trPr>
          <w:trHeight w:val="223"/>
        </w:trPr>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Bank of Sonora</w:t>
            </w:r>
          </w:p>
        </w:tc>
      </w:tr>
      <w:tr>
        <w:trPr>
          <w:trHeight w:val="332"/>
        </w:trPr>
        <w:tc>
          <w:tcPr>
            <w:tcW w:w="40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Jefferey A. Miller</w:t>
            </w: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 of Halliburton Company</w:t>
            </w:r>
          </w:p>
        </w:tc>
      </w:tr>
      <w:tr>
        <w:trPr>
          <w:trHeight w:val="322"/>
        </w:trPr>
        <w:tc>
          <w:tcPr>
            <w:tcW w:w="40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Bhavesh V. Patel</w:t>
            </w: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of Standard Industries</w:t>
            </w:r>
          </w:p>
        </w:tc>
      </w:tr>
      <w:tr>
        <w:trPr>
          <w:trHeight w:val="322"/>
        </w:trPr>
        <w:tc>
          <w:tcPr>
            <w:tcW w:w="40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Maurice S. Smith</w:t>
            </w: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Chief Executive Officer, and Vice Chair, Health Care Service Corporation</w:t>
            </w:r>
          </w:p>
        </w:tc>
      </w:tr>
      <w:tr>
        <w:trPr>
          <w:trHeight w:val="322"/>
        </w:trPr>
        <w:tc>
          <w:tcPr>
            <w:tcW w:w="40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Janet L. Weiss</w:t>
            </w: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Former President of BP Alaska</w:t>
            </w:r>
          </w:p>
        </w:tc>
      </w:tr>
      <w:tr>
        <w:trPr>
          <w:trHeight w:val="322"/>
        </w:trPr>
        <w:tc>
          <w:tcPr>
            <w:tcW w:w="40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Tobi M. Edwards Young</w:t>
            </w:r>
          </w:p>
        </w:tc>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Senior Vice President, Legal, Regulatory, and Corporate Affairs of Cognizant Technology Solutions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60" w:top="382" w:right="339" w:bottom="1440" w:gutter="0" w:footer="0" w:header="0"/>
        </w:sectPr>
      </w:pPr>
    </w:p>
    <w:bookmarkStart w:id="10" w:name="page11"/>
    <w:bookmarkEnd w:id="10"/>
    <w:p>
      <w:pPr>
        <w:ind w:left="60"/>
        <w:spacing w:after="0"/>
        <w:tabs>
          <w:tab w:leader="none" w:pos="956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Item 1(a) | Risk Factors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32" w:lineRule="exact"/>
        <w:rPr>
          <w:sz w:val="20"/>
          <w:szCs w:val="20"/>
          <w:color w:val="auto"/>
        </w:rPr>
      </w:pPr>
    </w:p>
    <w:p>
      <w:pPr>
        <w:ind w:right="140" w:firstLine="619"/>
        <w:spacing w:after="0" w:line="257" w:lineRule="auto"/>
        <w:rPr>
          <w:sz w:val="20"/>
          <w:szCs w:val="20"/>
          <w:color w:val="auto"/>
        </w:rPr>
      </w:pPr>
      <w:r>
        <w:rPr>
          <w:rFonts w:ascii="Times New Roman" w:cs="Times New Roman" w:eastAsia="Times New Roman" w:hAnsi="Times New Roman"/>
          <w:sz w:val="17"/>
          <w:szCs w:val="17"/>
          <w:color w:val="auto"/>
        </w:rPr>
        <w:t>When considering an investment in Halliburton Company, all of the risk factors described below and other information included and incorporated by reference in this annual report should be carefully considered. Any of these risk factors could have a significant or material adverse effect on our business, results of operations, financial condition, or cash flows. Additional risks and uncertainties not currently known to us or that we currently deem immaterial may also adversely affect our business, financial condition,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Environment Related</w:t>
      </w:r>
    </w:p>
    <w:p>
      <w:pPr>
        <w:spacing w:after="0" w:line="241" w:lineRule="exact"/>
        <w:rPr>
          <w:sz w:val="20"/>
          <w:szCs w:val="20"/>
          <w:color w:val="auto"/>
        </w:rPr>
      </w:pPr>
    </w:p>
    <w:p>
      <w:pPr>
        <w:jc w:val="both"/>
        <w:ind w:right="280"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Trends in oil and natural gas prices affect the level of exploration, development, and production activity of our customers and the demand for our services and products, which could have a material adverse effect on our business, consolidated results of operations, and consolidated financial condition.</w:t>
      </w:r>
    </w:p>
    <w:p>
      <w:pPr>
        <w:ind w:right="100" w:firstLine="619"/>
        <w:spacing w:after="0" w:line="255" w:lineRule="auto"/>
        <w:rPr>
          <w:sz w:val="20"/>
          <w:szCs w:val="20"/>
          <w:color w:val="auto"/>
        </w:rPr>
      </w:pPr>
      <w:r>
        <w:rPr>
          <w:rFonts w:ascii="Times New Roman" w:cs="Times New Roman" w:eastAsia="Times New Roman" w:hAnsi="Times New Roman"/>
          <w:sz w:val="17"/>
          <w:szCs w:val="17"/>
          <w:color w:val="auto"/>
        </w:rPr>
        <w:t>Demand for our services and products is particularly sensitive to the level of exploration, development, and production activity of, and the corresponding capital spending by, oil and natural gas companies. The level of exploration, development, and production activity is directly affected by trends in oil and natural gas prices, which historically have been volatile and are likely to continue to be volatile. Prices for oil and natural gas are subject to large fluctuations in response to relatively minor changes in the supply of and demand for oil and natural gas, market uncertainty, and a variety of other economic factors that are beyond our control. Given the long-term nature of many large-scale development projects, even the perception of longer-term lower oil and natural gas prices by oil and natural gas companies can cause them to reduce or defer major expenditures. Any prolonged reductions of commodity prices or expectations of such reductions could have a material adverse effect on our business, consolidated results of operations, and consolidated financial condition.</w:t>
      </w:r>
    </w:p>
    <w:p>
      <w:pPr>
        <w:spacing w:after="0" w:line="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Factors affecting the prices of oil and natural gas include:</w:t>
      </w:r>
    </w:p>
    <w:p>
      <w:pPr>
        <w:spacing w:after="0" w:line="62" w:lineRule="exact"/>
        <w:rPr>
          <w:sz w:val="20"/>
          <w:szCs w:val="20"/>
          <w:color w:val="auto"/>
        </w:rPr>
      </w:pPr>
    </w:p>
    <w:p>
      <w:pPr>
        <w:ind w:left="860" w:hanging="238"/>
        <w:spacing w:after="0"/>
        <w:tabs>
          <w:tab w:leader="none" w:pos="8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supply and demand for oil and natural gas;</w:t>
      </w:r>
    </w:p>
    <w:p>
      <w:pPr>
        <w:spacing w:after="0" w:line="62" w:lineRule="exact"/>
        <w:rPr>
          <w:rFonts w:ascii="Times New Roman" w:cs="Times New Roman" w:eastAsia="Times New Roman" w:hAnsi="Times New Roman"/>
          <w:sz w:val="17"/>
          <w:szCs w:val="17"/>
          <w:color w:val="auto"/>
        </w:rPr>
      </w:pPr>
    </w:p>
    <w:p>
      <w:pPr>
        <w:ind w:left="780" w:right="280" w:hanging="158"/>
        <w:spacing w:after="0" w:line="284" w:lineRule="auto"/>
        <w:tabs>
          <w:tab w:leader="none" w:pos="85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or willingness of the Organization of Petroleum Exporting Countries and the expanded alliance collectively known as OPEC+ to set and maintain oil production levels;</w:t>
      </w:r>
    </w:p>
    <w:p>
      <w:pPr>
        <w:spacing w:after="0" w:line="1"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oil production in the U.S. and by other non-OPEC+ countries;</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oil refining capacity and shifts in end-customer preferences toward fuel efficiency and the use of natural gas;</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and constraints associated with, producing and delivering oil and natural gas;</w:t>
      </w:r>
    </w:p>
    <w:p>
      <w:pPr>
        <w:spacing w:after="0" w:line="62" w:lineRule="exact"/>
        <w:rPr>
          <w:rFonts w:ascii="Times New Roman" w:cs="Times New Roman" w:eastAsia="Times New Roman" w:hAnsi="Times New Roman"/>
          <w:sz w:val="17"/>
          <w:szCs w:val="17"/>
          <w:color w:val="auto"/>
        </w:rPr>
      </w:pPr>
    </w:p>
    <w:p>
      <w:pPr>
        <w:ind w:left="780" w:right="200" w:hanging="158"/>
        <w:spacing w:after="0" w:line="284" w:lineRule="auto"/>
        <w:tabs>
          <w:tab w:leader="none" w:pos="85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regulations and other actions, including economic sanctions and policies of governments regarding the exploration for and production and development of their oil and natural gas reserves;</w:t>
      </w:r>
    </w:p>
    <w:p>
      <w:pPr>
        <w:spacing w:after="0" w:line="1"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 conditions, natural disasters, and health or similar issues, such as COVID-19 and other pandemics or epidemics;</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worldwide political and military actions, and economic conditions, including potential recessions; and</w:t>
      </w:r>
    </w:p>
    <w:p>
      <w:pPr>
        <w:spacing w:after="0" w:line="62" w:lineRule="exact"/>
        <w:rPr>
          <w:rFonts w:ascii="Times New Roman" w:cs="Times New Roman" w:eastAsia="Times New Roman" w:hAnsi="Times New Roman"/>
          <w:sz w:val="17"/>
          <w:szCs w:val="17"/>
          <w:color w:val="auto"/>
        </w:rPr>
      </w:pPr>
    </w:p>
    <w:p>
      <w:pPr>
        <w:ind w:left="780" w:right="40" w:hanging="158"/>
        <w:spacing w:after="0" w:line="287" w:lineRule="auto"/>
        <w:tabs>
          <w:tab w:leader="none" w:pos="85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demand for alternative energy and use of electric vehicles, increased emphasis on decarbonization (including government initiatives, such as tax credits and government subsidies to promote the use of renewable energy sources), and public sentiment around alternatives to oil and natural gas.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 w:name="page12"/>
    <w:bookmarkEnd w:id="11"/>
    <w:p>
      <w:pPr>
        <w:ind w:left="60"/>
        <w:spacing w:after="0"/>
        <w:tabs>
          <w:tab w:leader="none" w:pos="956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Item 1(a) | Risk Factors</w:t>
      </w:r>
    </w:p>
    <w:p>
      <w:pPr>
        <w:spacing w:after="0" w:line="200" w:lineRule="exact"/>
        <w:rPr>
          <w:sz w:val="20"/>
          <w:szCs w:val="20"/>
          <w:color w:val="auto"/>
        </w:rPr>
      </w:pPr>
    </w:p>
    <w:p>
      <w:pPr>
        <w:spacing w:after="0" w:line="333" w:lineRule="exact"/>
        <w:rPr>
          <w:sz w:val="20"/>
          <w:szCs w:val="20"/>
          <w:color w:val="auto"/>
        </w:rPr>
      </w:pPr>
    </w:p>
    <w:p>
      <w:pPr>
        <w:ind w:right="440" w:firstLine="6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Our business is dependent on capital spending by our customers, and reductions in capital spending could have a material adverse effect on our business, consolidated results of operations, and consolidated financial condition.</w:t>
      </w:r>
    </w:p>
    <w:p>
      <w:pPr>
        <w:ind w:right="100" w:firstLine="619"/>
        <w:spacing w:after="0" w:line="243" w:lineRule="auto"/>
        <w:rPr>
          <w:sz w:val="20"/>
          <w:szCs w:val="20"/>
          <w:color w:val="auto"/>
        </w:rPr>
      </w:pPr>
      <w:r>
        <w:rPr>
          <w:rFonts w:ascii="Times New Roman" w:cs="Times New Roman" w:eastAsia="Times New Roman" w:hAnsi="Times New Roman"/>
          <w:sz w:val="17"/>
          <w:szCs w:val="17"/>
          <w:color w:val="auto"/>
        </w:rPr>
        <w:t>Our business is directly affected by changes in capital expenditures by our customers, and reductions in their capital spending could reduce demand for our services and products and have a material adverse effect on our business, consolidated results of operations, and consolidated financial condition. Some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items that may impact 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capital spending include:</w:t>
      </w:r>
    </w:p>
    <w:p>
      <w:pPr>
        <w:spacing w:after="0" w:line="15" w:lineRule="exact"/>
        <w:rPr>
          <w:sz w:val="20"/>
          <w:szCs w:val="20"/>
          <w:color w:val="auto"/>
        </w:rPr>
      </w:pPr>
    </w:p>
    <w:p>
      <w:pPr>
        <w:ind w:left="860" w:hanging="238"/>
        <w:spacing w:after="0"/>
        <w:tabs>
          <w:tab w:leader="none" w:pos="8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oil and natural gas prices, which are impacted by the factors described in the preceding risk factor;</w:t>
      </w:r>
    </w:p>
    <w:p>
      <w:pPr>
        <w:spacing w:after="0" w:line="31" w:lineRule="exact"/>
        <w:rPr>
          <w:rFonts w:ascii="Times New Roman" w:cs="Times New Roman" w:eastAsia="Times New Roman" w:hAnsi="Times New Roman"/>
          <w:sz w:val="17"/>
          <w:szCs w:val="17"/>
          <w:color w:val="auto"/>
        </w:rPr>
      </w:pPr>
    </w:p>
    <w:p>
      <w:pPr>
        <w:ind w:left="780" w:right="300" w:hanging="158"/>
        <w:spacing w:after="0" w:line="266" w:lineRule="auto"/>
        <w:tabs>
          <w:tab w:leader="none" w:pos="85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our customers to access capital on economically advantageous terms, which may be impacted by, among other things, a decrease of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interest in hydrocarbon producers because of environmental and sustainability initiatives;</w:t>
      </w:r>
    </w:p>
    <w:p>
      <w:pPr>
        <w:ind w:left="780" w:hanging="158"/>
        <w:spacing w:after="0" w:line="243" w:lineRule="auto"/>
        <w:tabs>
          <w:tab w:leader="none" w:pos="85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capital allocation, including an increased allocation to the production of renewable energy or other sustainability efforts, leading to less focus on oil and natural gas production growth;</w:t>
      </w:r>
    </w:p>
    <w:p>
      <w:pPr>
        <w:spacing w:after="0" w:line="1"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ability to get their produced oil and natural gas to market due to infrastructure limitations;</w:t>
      </w:r>
    </w:p>
    <w:p>
      <w:pPr>
        <w:ind w:left="860" w:hanging="238"/>
        <w:spacing w:after="0"/>
        <w:tabs>
          <w:tab w:leader="none" w:pos="8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 of our customers;</w:t>
      </w:r>
    </w:p>
    <w:p>
      <w:pPr>
        <w:spacing w:after="0" w:line="44"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personnel changes; and</w:t>
      </w:r>
    </w:p>
    <w:p>
      <w:pPr>
        <w:spacing w:after="0" w:line="49" w:lineRule="exact"/>
        <w:rPr>
          <w:rFonts w:ascii="Times New Roman" w:cs="Times New Roman" w:eastAsia="Times New Roman" w:hAnsi="Times New Roman"/>
          <w:sz w:val="17"/>
          <w:szCs w:val="17"/>
          <w:color w:val="auto"/>
        </w:rPr>
      </w:pPr>
    </w:p>
    <w:p>
      <w:pPr>
        <w:ind w:left="780" w:right="540" w:hanging="158"/>
        <w:spacing w:after="0" w:line="290" w:lineRule="auto"/>
        <w:tabs>
          <w:tab w:leader="none" w:pos="85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developments in the business or operations of our customers, including write-downs of oil and natural gas reserves and borrowing base reductions under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credit facilities.</w:t>
      </w:r>
    </w:p>
    <w:p>
      <w:pPr>
        <w:spacing w:after="0" w:line="165" w:lineRule="exact"/>
        <w:rPr>
          <w:sz w:val="20"/>
          <w:szCs w:val="20"/>
          <w:color w:val="auto"/>
        </w:rPr>
      </w:pPr>
    </w:p>
    <w:p>
      <w:pPr>
        <w:ind w:right="500"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Liabilities arising out of our products and services could have a material adverse effect on our business, consolidated results of operations, and consolidated financial condition.</w:t>
      </w:r>
    </w:p>
    <w:p>
      <w:pPr>
        <w:ind w:right="40" w:firstLine="619"/>
        <w:spacing w:after="0" w:line="255" w:lineRule="auto"/>
        <w:rPr>
          <w:sz w:val="20"/>
          <w:szCs w:val="20"/>
          <w:color w:val="auto"/>
        </w:rPr>
      </w:pPr>
      <w:r>
        <w:rPr>
          <w:rFonts w:ascii="Times New Roman" w:cs="Times New Roman" w:eastAsia="Times New Roman" w:hAnsi="Times New Roman"/>
          <w:sz w:val="17"/>
          <w:szCs w:val="17"/>
          <w:color w:val="auto"/>
        </w:rPr>
        <w:t>Events can occur at sites where our products and equipment are produced, stored, transported, or installed, or where we conduct our operations or provide our services, or at chemical blending or manufacturing facilities, including well blowouts and equipment or materials failures, which could result in explosions, fires, personal injuries, property damage (including surface and subsurface damage), pollution, and potential legal responsibility. Generally, we rely on liability insurance coverage and on contractual indemnities, releases, and limitations of liability with our customers to protect us from potential liability related to such occurrences. However, we do not have these contractual provisions in all contracts, and even where we do, it is possible that the respective customer or insurer could seek to avoid or be financially unable to meet its obligations, or a court may decline to enforce such provisions. Damages that are not indemnified or released could greatly exceed available insurance coverage and could have a material adverse effect on our business, consolidated results of operations, and consolidated financial condition.</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materially and adversely affected by severe or unseasonable weather where we have operations.</w:t>
      </w:r>
    </w:p>
    <w:p>
      <w:pPr>
        <w:spacing w:after="0" w:line="34" w:lineRule="exact"/>
        <w:rPr>
          <w:sz w:val="20"/>
          <w:szCs w:val="20"/>
          <w:color w:val="auto"/>
        </w:rPr>
      </w:pPr>
    </w:p>
    <w:p>
      <w:pPr>
        <w:ind w:right="120" w:firstLine="619"/>
        <w:spacing w:after="0" w:line="259" w:lineRule="auto"/>
        <w:rPr>
          <w:sz w:val="20"/>
          <w:szCs w:val="20"/>
          <w:color w:val="auto"/>
        </w:rPr>
      </w:pPr>
      <w:r>
        <w:rPr>
          <w:rFonts w:ascii="Times New Roman" w:cs="Times New Roman" w:eastAsia="Times New Roman" w:hAnsi="Times New Roman"/>
          <w:sz w:val="17"/>
          <w:szCs w:val="17"/>
          <w:color w:val="auto"/>
        </w:rPr>
        <w:t>Our business could be materially and adversely affected by severe weather, particularly in Canada, the Gulf of Mexico, and the North Sea. Many experts believe global climate change could increase the frequency and severity of extreme weather conditions. Repercussions of severe or unseasonable weather conditions may include:</w:t>
      </w:r>
    </w:p>
    <w:p>
      <w:pPr>
        <w:spacing w:after="0" w:line="21" w:lineRule="exact"/>
        <w:rPr>
          <w:sz w:val="20"/>
          <w:szCs w:val="20"/>
          <w:color w:val="auto"/>
        </w:rPr>
      </w:pPr>
    </w:p>
    <w:p>
      <w:pPr>
        <w:ind w:left="860" w:hanging="238"/>
        <w:spacing w:after="0"/>
        <w:tabs>
          <w:tab w:leader="none" w:pos="8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evacuation of personnel and inoperability of equipment resulting in curtailment of services;</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weather-related damage to offshore drilling rigs resulting in suspension of operations;</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weather-related damage to our facilities and project work sites;</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deliver materials to job sites in accordance with contract schedules;</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demand for oil and natural gas, including possible decreases during unseasonably warm winters; and</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productivity.</w:t>
      </w:r>
    </w:p>
    <w:p>
      <w:pPr>
        <w:spacing w:after="0" w:line="237" w:lineRule="exact"/>
        <w:rPr>
          <w:sz w:val="20"/>
          <w:szCs w:val="20"/>
          <w:color w:val="auto"/>
        </w:rPr>
      </w:pPr>
    </w:p>
    <w:p>
      <w:pPr>
        <w:ind w:right="180"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failure to protect our proprietary information and any successful intellectual property challenges or infringement proceedings against us could materially and adversely affect our competitive position.</w:t>
      </w:r>
    </w:p>
    <w:p>
      <w:pPr>
        <w:ind w:firstLine="619"/>
        <w:spacing w:after="0" w:line="256" w:lineRule="auto"/>
        <w:rPr>
          <w:sz w:val="20"/>
          <w:szCs w:val="20"/>
          <w:color w:val="auto"/>
        </w:rPr>
      </w:pPr>
      <w:r>
        <w:rPr>
          <w:rFonts w:ascii="Times New Roman" w:cs="Times New Roman" w:eastAsia="Times New Roman" w:hAnsi="Times New Roman"/>
          <w:sz w:val="17"/>
          <w:szCs w:val="17"/>
          <w:color w:val="auto"/>
        </w:rPr>
        <w:t>We rely on a variety of intellectual property rights that we use in our services and products. We may not be able to successfully preserve these intellectual property rights in the future, and these rights could be invalidated, circumvented, or challenged. In addition, the laws of some foreign countries in which our services and products may be sold do not protect intellectual property rights to the same extent as the laws of the United States. Courts could find that others infringe our patent or other intellectual property rights or that our products and services may infringe the intellectual property rights of others. Our failure to protect our proprietary information and any successful intellectual property challenges or infringement proceedings against us could materially and adversely affect us.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2" w:name="page13"/>
    <w:bookmarkEnd w:id="12"/>
    <w:p>
      <w:pPr>
        <w:ind w:left="60"/>
        <w:spacing w:after="0"/>
        <w:tabs>
          <w:tab w:leader="none" w:pos="956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Item 1(a) | Risk Factors</w:t>
      </w:r>
    </w:p>
    <w:p>
      <w:pPr>
        <w:spacing w:after="0" w:line="200" w:lineRule="exact"/>
        <w:rPr>
          <w:sz w:val="20"/>
          <w:szCs w:val="20"/>
          <w:color w:val="auto"/>
        </w:rPr>
      </w:pPr>
    </w:p>
    <w:p>
      <w:pPr>
        <w:spacing w:after="0" w:line="333" w:lineRule="exact"/>
        <w:rPr>
          <w:sz w:val="20"/>
          <w:szCs w:val="20"/>
          <w:color w:val="auto"/>
        </w:rPr>
      </w:pPr>
    </w:p>
    <w:p>
      <w:pPr>
        <w:ind w:right="120" w:firstLine="6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design, develop and produce commercially competitive products and to implement commercially competitive services in a timely manner in response to changes in the market, customer requirements, competitive pressures, developments associated with climate change concerns and energy mix transition, and technology trends, our business and consolidated results of operations could be materially and adversely affected, and the value of our intellectual property may be reduced.</w:t>
      </w:r>
    </w:p>
    <w:p>
      <w:pPr>
        <w:spacing w:after="0" w:line="1" w:lineRule="exact"/>
        <w:rPr>
          <w:sz w:val="20"/>
          <w:szCs w:val="20"/>
          <w:color w:val="auto"/>
        </w:rPr>
      </w:pPr>
    </w:p>
    <w:p>
      <w:pPr>
        <w:ind w:right="180" w:firstLine="619"/>
        <w:spacing w:after="0" w:line="255" w:lineRule="auto"/>
        <w:rPr>
          <w:sz w:val="20"/>
          <w:szCs w:val="20"/>
          <w:color w:val="auto"/>
        </w:rPr>
      </w:pPr>
      <w:r>
        <w:rPr>
          <w:rFonts w:ascii="Times New Roman" w:cs="Times New Roman" w:eastAsia="Times New Roman" w:hAnsi="Times New Roman"/>
          <w:sz w:val="17"/>
          <w:szCs w:val="17"/>
          <w:color w:val="auto"/>
        </w:rPr>
        <w:t>The market for our services and products is characterized by continual technological developments to provide better and more reliable performance and services. If we are not able to design, develop, and produce commercially competitive products and to implement commercially competitive services in a timely manner in response to changes in the market, customer requirements, competitive pressures, developments associated with climate change concerns and energy mix transition, and technology trends, our business and consolidated results of operations could be materially and adversely affected, and the value of our intellectual property may be reduced. Likewise, if our proprietary technologies, equipment, facilities, or work processes become obsolete, we may no longer be competitive, and our business and consolidated results of operations could be materially and adversely affected.</w:t>
      </w:r>
    </w:p>
    <w:p>
      <w:pPr>
        <w:spacing w:after="0" w:line="201" w:lineRule="exact"/>
        <w:rPr>
          <w:sz w:val="20"/>
          <w:szCs w:val="20"/>
          <w:color w:val="auto"/>
        </w:rPr>
      </w:pPr>
    </w:p>
    <w:p>
      <w:pPr>
        <w:ind w:firstLine="619"/>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We sometimes provide integrated project management services in the form of long-term, fixed price contracts that may require us to assume additional risks associated with cost over-runs, operating cost inflation, labor availability and productivity, supplier and contractor pricing and performance, and potential claims for liquidated damages.</w:t>
      </w:r>
    </w:p>
    <w:p>
      <w:pPr>
        <w:spacing w:after="0" w:line="1" w:lineRule="exact"/>
        <w:rPr>
          <w:sz w:val="20"/>
          <w:szCs w:val="20"/>
          <w:color w:val="auto"/>
        </w:rPr>
      </w:pPr>
    </w:p>
    <w:p>
      <w:pPr>
        <w:ind w:right="60" w:firstLine="619"/>
        <w:spacing w:after="0" w:line="256" w:lineRule="auto"/>
        <w:rPr>
          <w:sz w:val="20"/>
          <w:szCs w:val="20"/>
          <w:color w:val="auto"/>
        </w:rPr>
      </w:pPr>
      <w:r>
        <w:rPr>
          <w:rFonts w:ascii="Times New Roman" w:cs="Times New Roman" w:eastAsia="Times New Roman" w:hAnsi="Times New Roman"/>
          <w:sz w:val="17"/>
          <w:szCs w:val="17"/>
          <w:color w:val="auto"/>
        </w:rPr>
        <w:t>We sometimes provide integrated project management services outside our normal discrete business in the form of long-term, fixed price contracts. Some of these contracts are required by our customers, primarily national oil companies. These services include acting as project managers as well as service providers and may require us to assume additional risks associated with cost over-runs. These customers may provide us with inaccurate or limited information, that may result in cost over-runs, delays, and project losses. In addition, our customers often operate in countries with unsettled political conditions, war, civil unrest, or other types of community issues. These issues may also result in cost over-runs, delays, and project losses.</w:t>
      </w:r>
    </w:p>
    <w:p>
      <w:pPr>
        <w:spacing w:after="0" w:line="204" w:lineRule="exact"/>
        <w:rPr>
          <w:sz w:val="20"/>
          <w:szCs w:val="20"/>
          <w:color w:val="auto"/>
        </w:rPr>
      </w:pPr>
    </w:p>
    <w:p>
      <w:pPr>
        <w:ind w:right="100" w:firstLine="619"/>
        <w:spacing w:after="0" w:line="258" w:lineRule="auto"/>
        <w:rPr>
          <w:sz w:val="20"/>
          <w:szCs w:val="20"/>
          <w:color w:val="auto"/>
        </w:rPr>
      </w:pPr>
      <w:r>
        <w:rPr>
          <w:rFonts w:ascii="Times New Roman" w:cs="Times New Roman" w:eastAsia="Times New Roman" w:hAnsi="Times New Roman"/>
          <w:sz w:val="17"/>
          <w:szCs w:val="17"/>
          <w:color w:val="auto"/>
        </w:rPr>
        <w:t>Providing services on an integrated basis may also require us to assume additional risks associated with operating cost inflation, labor availability and productivity, supplier pricing and performance, and potential claims for liquidated damages. We rely on third-party subcontractors and equipment providers to assist us with the completion of these types of contracts. To the extent that we cannot engage subcontractors or acquire equipment or materials in a timely manner and on reasonable terms, our ability to complete a project in accordance with stated deadlines or at a profit may be impaired. If the amount we are required to pay for these goods and services exceeds the amount we have estimated in bidding for fixed-price work, we could experience losses in the performance of these contracts. These delays and additional costs may be substantial, and we may be required to compensate our customers for these delays. This may reduce the profit to be realized or result in a loss on a project.</w:t>
      </w:r>
    </w:p>
    <w:p>
      <w:pPr>
        <w:spacing w:after="0" w:line="199" w:lineRule="exact"/>
        <w:rPr>
          <w:sz w:val="20"/>
          <w:szCs w:val="20"/>
          <w:color w:val="auto"/>
        </w:rPr>
      </w:pPr>
    </w:p>
    <w:p>
      <w:pPr>
        <w:ind w:right="140" w:firstLine="6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Constraints in the supply of, prices for, and availability of transportation of raw materials and electric power could have a material adverse effect on our business and consolidated results of operations.</w:t>
      </w:r>
    </w:p>
    <w:p>
      <w:pPr>
        <w:ind w:firstLine="619"/>
        <w:spacing w:after="0" w:line="230" w:lineRule="auto"/>
        <w:rPr>
          <w:sz w:val="20"/>
          <w:szCs w:val="20"/>
          <w:color w:val="auto"/>
        </w:rPr>
      </w:pPr>
      <w:r>
        <w:rPr>
          <w:rFonts w:ascii="Times New Roman" w:cs="Times New Roman" w:eastAsia="Times New Roman" w:hAnsi="Times New Roman"/>
          <w:sz w:val="17"/>
          <w:szCs w:val="17"/>
          <w:color w:val="auto"/>
        </w:rPr>
        <w:t>Our business depends on the supply and availability of raw and essential materials. Raw materials essential to our operations and manufacturing, such as sand, chemicals, metals, gels, and electronic components (circuit boards), are normally readily available. Shortage of raw materials as a result of high levels of demand or loss of suppliers during market challenges can trigger constraints in the supply chain of those raw materials, particularly where we have a relationship with a single supplier for a particular resource. Many of the raw materials essential to our business require the use of rail, storage, and trucking services to transport the materials to our job sites. These services, particularly during times of high demand, may cause delays in the arrival of or otherwise constrain our supply of raw materials. In addition, as we increase the roll-out of our Zeus electric fracturing systems, we might face challenges to source sufficient electric power or there might not be adequate infrastructure to support the operation of our systems.</w:t>
      </w:r>
    </w:p>
    <w:p>
      <w:pPr>
        <w:spacing w:after="0" w:line="192" w:lineRule="exact"/>
        <w:rPr>
          <w:sz w:val="20"/>
          <w:szCs w:val="20"/>
          <w:color w:val="auto"/>
        </w:rPr>
      </w:pPr>
    </w:p>
    <w:p>
      <w:pPr>
        <w:ind w:right="240" w:firstLine="619"/>
        <w:spacing w:after="0" w:line="239" w:lineRule="auto"/>
        <w:rPr>
          <w:sz w:val="20"/>
          <w:szCs w:val="20"/>
          <w:color w:val="auto"/>
        </w:rPr>
      </w:pPr>
      <w:r>
        <w:rPr>
          <w:rFonts w:ascii="Times New Roman" w:cs="Times New Roman" w:eastAsia="Times New Roman" w:hAnsi="Times New Roman"/>
          <w:sz w:val="17"/>
          <w:szCs w:val="17"/>
          <w:color w:val="auto"/>
        </w:rPr>
        <w:t>These constraints on raw materials and electric power could have a material adverse effect on our business and consolidated results of operations. In addition, price increases imposed by our vendors for raw materials and transportation providers used in our business could have a material adverse effect on our business and consolidated results of operations if we are unable pass these increases through to our customers.</w:t>
      </w:r>
    </w:p>
    <w:p>
      <w:pPr>
        <w:spacing w:after="0" w:line="209" w:lineRule="exact"/>
        <w:rPr>
          <w:sz w:val="20"/>
          <w:szCs w:val="20"/>
          <w:color w:val="auto"/>
        </w:rPr>
      </w:pPr>
    </w:p>
    <w:p>
      <w:pPr>
        <w:ind w:right="40"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ability to operate and our growth potential could be materially and adversely affected if we cannot attract, employ, and retain technical personnel at a competitive cost.</w:t>
      </w:r>
    </w:p>
    <w:p>
      <w:pPr>
        <w:ind w:right="60" w:firstLine="619"/>
        <w:spacing w:after="0" w:line="256" w:lineRule="auto"/>
        <w:rPr>
          <w:sz w:val="20"/>
          <w:szCs w:val="20"/>
          <w:color w:val="auto"/>
        </w:rPr>
      </w:pPr>
      <w:r>
        <w:rPr>
          <w:rFonts w:ascii="Times New Roman" w:cs="Times New Roman" w:eastAsia="Times New Roman" w:hAnsi="Times New Roman"/>
          <w:sz w:val="17"/>
          <w:szCs w:val="17"/>
          <w:color w:val="auto"/>
        </w:rPr>
        <w:t>Many of the services that we provide and the products that we sell are complex and highly engineered and often must perform or be performed in harsh conditions. We believe that our success depends upon our ability to attract, employ, and retain technical personnel with the ability to design, utilize, and enhance these services and products. A significant increase in the wages paid by competing employers could result in a reduction of our skilled labor force, increases in the wage rates that we must pay, or both. If either of these events were to occur, our cost structure could increase, our margins could decrease, and any growth potential could be impaired.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3" w:name="page14"/>
    <w:bookmarkEnd w:id="13"/>
    <w:p>
      <w:pPr>
        <w:ind w:left="60"/>
        <w:spacing w:after="0"/>
        <w:tabs>
          <w:tab w:leader="none" w:pos="956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Item 1(a) | Risk Factors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Laws and Regulations Related</w:t>
      </w:r>
    </w:p>
    <w:p>
      <w:pPr>
        <w:spacing w:after="0" w:line="241" w:lineRule="exact"/>
        <w:rPr>
          <w:sz w:val="20"/>
          <w:szCs w:val="20"/>
          <w:color w:val="auto"/>
        </w:rPr>
      </w:pPr>
    </w:p>
    <w:p>
      <w:pPr>
        <w:ind w:right="20"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operations outside the United States require us to comply with a number of United States and international regulations, violations of which could have a material adverse effect on our business, consolidated results of operations, and consolidated financial condition.</w:t>
      </w:r>
    </w:p>
    <w:p>
      <w:pPr>
        <w:ind w:firstLine="619"/>
        <w:spacing w:after="0" w:line="254" w:lineRule="auto"/>
        <w:rPr>
          <w:sz w:val="20"/>
          <w:szCs w:val="20"/>
          <w:color w:val="auto"/>
        </w:rPr>
      </w:pPr>
      <w:r>
        <w:rPr>
          <w:rFonts w:ascii="Times New Roman" w:cs="Times New Roman" w:eastAsia="Times New Roman" w:hAnsi="Times New Roman"/>
          <w:sz w:val="17"/>
          <w:szCs w:val="17"/>
          <w:color w:val="auto"/>
        </w:rPr>
        <w:t>Our operations outside the United States require us to comply with a number of United States and international regulations. For example, our operations in countries outside the United States are subject to the United States Foreign Corrupt Practices Act (FCPA), which prohibits United States companies and their agents and employees from providing anything of value to a foreign official for the purposes of influencing any act or decision of these individuals in their official capacity to help obtain or retain business, direct business to any person or corporate entity, or obtain any unfair advantage. Our activities create the risk of unauthorized payments or offers of payments by our employees, agents, or joint venture partners that could be in violation of anti-corruption laws, even though some of these parties are not subject to our control. We have internal control policies and procedures and have implemented training and compliance programs for our employees and agents with respect to the FCPA. However, we cannot assure that our policies, procedures, and programs will always protect us from reckless or criminal acts committed by our employees or agents. We are also subject to the risks that our employees, joint venture partners, and agents outside of the United States may fail to comply with other applicable laws. Allegations of violations of applicable anti-corruption laws have resulted and may in the future result in internal, independent, or government investigations. Violations of anti-corruption laws may result in severe criminal or civil sanctions, and we may be subject to other liabilities, which could have a material adverse effect on our business, consolidated results of operations and consolidated financial condition.</w:t>
      </w:r>
    </w:p>
    <w:p>
      <w:pPr>
        <w:spacing w:after="0" w:line="208" w:lineRule="exact"/>
        <w:rPr>
          <w:sz w:val="20"/>
          <w:szCs w:val="20"/>
          <w:color w:val="auto"/>
        </w:rPr>
      </w:pPr>
    </w:p>
    <w:p>
      <w:pPr>
        <w:ind w:right="180" w:firstLine="619"/>
        <w:spacing w:after="0" w:line="260" w:lineRule="auto"/>
        <w:rPr>
          <w:sz w:val="20"/>
          <w:szCs w:val="20"/>
          <w:color w:val="auto"/>
        </w:rPr>
      </w:pPr>
      <w:r>
        <w:rPr>
          <w:rFonts w:ascii="Times New Roman" w:cs="Times New Roman" w:eastAsia="Times New Roman" w:hAnsi="Times New Roman"/>
          <w:sz w:val="17"/>
          <w:szCs w:val="17"/>
          <w:color w:val="auto"/>
        </w:rPr>
        <w:t>In addition, the shipment of goods, services, and technology across international borders subjects us to extensive trade laws and regulations. Our import activities are governed by the unique customs laws and regulations in each of the countries where we operate. Moreover, many countries, including the United States, control the export, re-export, and in-country transfer of certain goods, services, and technology and impose related export recordkeeping and reporting obligations. Governments may also impose economic sanctions against certain countries, persons, and entities that may restrict or prohibit transactions involving such countries, persons, and entities, which may limit or prevent our conduct of business in certain jurisdictions. The imposition of such sanctions on Russia in connection with Russia’s invasion of Ukraine led to our decision to dispose of our Russian operations during the third quarter of 2022.</w:t>
      </w:r>
    </w:p>
    <w:p>
      <w:pPr>
        <w:spacing w:after="0" w:line="199"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The laws and regulations concerning import activity, export recordkeeping and reporting, export control and economic sanctions are complex and constantly changing. These laws and regulations can cause delays in shipments and unscheduled operational downtime. Moreover, any failure to comply with applicable legal and regulatory trading obligations could result in government investigations of our activities, as well as criminal and civil penalties and sanctions, such as fines, imprisonment, debarment from governmental contracts, seizure of shipments, and loss of import and export privileges.</w:t>
      </w:r>
    </w:p>
    <w:p>
      <w:pPr>
        <w:spacing w:after="0" w:line="197"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Our activities outside of the United States expose us to various legal, social, economic, and political issues which could have a material adverse effect on our business, consolidated results of operations and consolidated financial condition.</w:t>
      </w:r>
    </w:p>
    <w:p>
      <w:pPr>
        <w:spacing w:after="0" w:line="171" w:lineRule="exact"/>
        <w:rPr>
          <w:sz w:val="20"/>
          <w:szCs w:val="20"/>
          <w:color w:val="auto"/>
        </w:rPr>
      </w:pPr>
    </w:p>
    <w:p>
      <w:pPr>
        <w:ind w:right="220" w:firstLine="619"/>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Changes in, compliance with, or our failure to comply with laws in the countries in which we conduct business may negatively impact our ability to provide services in, make sales to, and transfer personnel or equipment among some of those countries and could have a material adverse effect on our business and consolidated results of operations.</w:t>
      </w:r>
    </w:p>
    <w:p>
      <w:pPr>
        <w:spacing w:after="0" w:line="1" w:lineRule="exact"/>
        <w:rPr>
          <w:sz w:val="20"/>
          <w:szCs w:val="20"/>
          <w:color w:val="auto"/>
        </w:rPr>
      </w:pPr>
    </w:p>
    <w:p>
      <w:pPr>
        <w:ind w:right="20" w:firstLine="619"/>
        <w:spacing w:after="0" w:line="254" w:lineRule="auto"/>
        <w:rPr>
          <w:sz w:val="20"/>
          <w:szCs w:val="20"/>
          <w:color w:val="auto"/>
        </w:rPr>
      </w:pPr>
      <w:r>
        <w:rPr>
          <w:rFonts w:ascii="Times New Roman" w:cs="Times New Roman" w:eastAsia="Times New Roman" w:hAnsi="Times New Roman"/>
          <w:sz w:val="17"/>
          <w:szCs w:val="17"/>
          <w:color w:val="auto"/>
        </w:rPr>
        <w:t>In the countries in which we conduct business, we are subject to multiple and, at times, inconsistent regulatory regimes, including those that govern our use of radioactive materials, explosives, and chemicals in our operations. Various national and international regulatory regimes govern the shipment of these items. Many countries, but not all, impose special controls upon the export and import of radioactive materials, explosives, and chemicals. Our ability to do business is subject to maintaining required licenses and complying with these multiple regulatory requirements applicable to these special products. In addition, the various laws governing import and export of both products and technology apply to a wide range of services and products we offer. In turn, this can affect our employment practices of hiring people of different nationalities because these laws may prohibit or limit access to some products or technology by employees of various nationalities. Changes in, compliance with, or our failure to comply with these laws may negatively impact our ability to provide services in, make sales to, and transfer personnel or equipment among some of the countries in which we operate and could have a material adverse effect on our business and consolidated results of operations.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4" w:name="page15"/>
    <w:bookmarkEnd w:id="14"/>
    <w:p>
      <w:pPr>
        <w:ind w:left="60"/>
        <w:spacing w:after="0"/>
        <w:tabs>
          <w:tab w:leader="none" w:pos="956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Item 1(a) | Risk Factors</w:t>
      </w:r>
    </w:p>
    <w:p>
      <w:pPr>
        <w:spacing w:after="0" w:line="200" w:lineRule="exact"/>
        <w:rPr>
          <w:sz w:val="20"/>
          <w:szCs w:val="20"/>
          <w:color w:val="auto"/>
        </w:rPr>
      </w:pPr>
    </w:p>
    <w:p>
      <w:pPr>
        <w:spacing w:after="0" w:line="333" w:lineRule="exact"/>
        <w:rPr>
          <w:sz w:val="20"/>
          <w:szCs w:val="20"/>
          <w:color w:val="auto"/>
        </w:rPr>
      </w:pPr>
    </w:p>
    <w:p>
      <w:pPr>
        <w:ind w:right="300" w:firstLine="619"/>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The adoption of any future federal, state, or local laws or implementing regulations imposing reporting obligations on, or limiting or banning, the hydraulic fracturing process could make it more difficult to complete natural gas and oil wells and could have a material adverse effect on our business, consolidated results of operations, and consolidated financial condition.</w:t>
      </w:r>
    </w:p>
    <w:p>
      <w:pPr>
        <w:spacing w:after="0" w:line="1"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Various federal and state legislative and regulatory initiatives, as well as actions in other countries, have been or could be undertaken that could result in additional requirements or restrictions being imposed on hydraulic fracturing operations. For example, the United States may seek to adopt federal regulations or enact federal laws that would impose additional regulatory requirements on or even prohibit hydraulic fracturing in some areas. Legislation and/or regulations have been adopted by many states in the U.S. that require additional disclosure regarding chemicals used in the hydraulic fracturing process but that generally include protections for proprietary information. Legislation, regulations, and/or policies have also been adopted at the state level that impose other types of requirements on hydraulic fracturing operations (such as limits on operations in the event of certain levels of seismic activity). Additional legislation and/or regulations have been adopted or are being considered at the state and local level that could impose further chemical disclosure or other regulatory requirements (such as prohibitions on hydraulic fracturing operations in certain areas) that could affect our operations. Some states and some local jurisdictions have adopted ordinances that restrict or in certain cases prohibit the use of hydraulic fracturing, although many of these ordinances have been challenged and some have been overturned. In addition, governmental authorities in various foreign countries where we have provided or may provide hydraulic fracturing services have imposed or are considering imposing various restrictions or conditions that may affect hydraulic fracturing operations. The adoption of any future federal, state, local, or foreign laws or regulations imposing reporting obligations on, or limiting or banning, the hydraulic fracturing process could make it more difficult to complete natural gas and oil wells and could have a material adverse effect on our business, consolidated results of operations, and consolidated financial condition.</w:t>
      </w:r>
    </w:p>
    <w:p>
      <w:pPr>
        <w:spacing w:after="0" w:line="201" w:lineRule="exact"/>
        <w:rPr>
          <w:sz w:val="20"/>
          <w:szCs w:val="20"/>
          <w:color w:val="auto"/>
        </w:rPr>
      </w:pPr>
    </w:p>
    <w:p>
      <w:pPr>
        <w:ind w:right="740"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Liability for cleanup costs, natural resource damages and other damages arising as a result of environmental laws and regulations could be substantial and could have a material adverse effect on our business, consolidated results of operations, and consolidated financial condition.</w:t>
      </w:r>
    </w:p>
    <w:p>
      <w:pPr>
        <w:ind w:right="40" w:firstLine="619"/>
        <w:spacing w:after="0" w:line="254" w:lineRule="auto"/>
        <w:rPr>
          <w:sz w:val="20"/>
          <w:szCs w:val="20"/>
          <w:color w:val="auto"/>
        </w:rPr>
      </w:pPr>
      <w:r>
        <w:rPr>
          <w:rFonts w:ascii="Times New Roman" w:cs="Times New Roman" w:eastAsia="Times New Roman" w:hAnsi="Times New Roman"/>
          <w:sz w:val="17"/>
          <w:szCs w:val="17"/>
          <w:color w:val="auto"/>
        </w:rPr>
        <w:t>We are subject to numerous environmental laws and regulations in the United States and the other countries where we do business. We evaluate and address the environmental impact of our operations by assessing and remediating contaminated properties to avoid future liabilities and comply with legal and regulatory requirements. From time to time, claims have been made against us under environmental laws and regulations. In the United States, environmental laws and regulations typically impose strict liability. Strict liability means that in some situations we could be exposed to liability for cleanup costs, natural resource damages, and other damages as a result of our conduct that was lawful at the time it occurred or the conduct of prior operators or other third parties. We are periodically notified of potential liabilities at federal and state superfund sites. These potential liabilities may arise from both historical Halliburton operations and the historical operations of companies that we have acquired. Our exposure at these sites may be materially impacted by unforeseen adverse developments both in the final remediation costs and with respect to the final allocation among the various parties involved at the sites. The relevant regulatory agency may bring suit against us for amounts in excess of what we have accrued and what we believe is our proportionate share of remediation costs at any superfund site. We also could be subject to third-party claims, including punitive damages, with respect to environmental matters for which we have been named as a potentially responsible party. Liability for damages arising as a result of environmental laws or related third-party claims could be substantial and could have a material adverse effect on our business, consolidated results of operations, and consolidated financial condition.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5" w:name="page16"/>
    <w:bookmarkEnd w:id="15"/>
    <w:p>
      <w:pPr>
        <w:ind w:left="60"/>
        <w:spacing w:after="0"/>
        <w:tabs>
          <w:tab w:leader="none" w:pos="956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Item 1(a) | Risk Factors</w:t>
      </w:r>
    </w:p>
    <w:p>
      <w:pPr>
        <w:spacing w:after="0" w:line="200" w:lineRule="exact"/>
        <w:rPr>
          <w:sz w:val="20"/>
          <w:szCs w:val="20"/>
          <w:color w:val="auto"/>
        </w:rPr>
      </w:pPr>
    </w:p>
    <w:p>
      <w:pPr>
        <w:spacing w:after="0" w:line="333" w:lineRule="exact"/>
        <w:rPr>
          <w:sz w:val="20"/>
          <w:szCs w:val="20"/>
          <w:color w:val="auto"/>
        </w:rPr>
      </w:pPr>
    </w:p>
    <w:p>
      <w:pPr>
        <w:ind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Failure on our part to comply with, and the costs of compliance with, applicable health, safety, and environmental requirements could have a material adverse effect on our business, consolidated results of operations, and consolidated financial condition.</w:t>
      </w:r>
    </w:p>
    <w:p>
      <w:pPr>
        <w:ind w:right="220" w:firstLine="619"/>
        <w:spacing w:after="0" w:line="256" w:lineRule="auto"/>
        <w:rPr>
          <w:sz w:val="20"/>
          <w:szCs w:val="20"/>
          <w:color w:val="auto"/>
        </w:rPr>
      </w:pPr>
      <w:r>
        <w:rPr>
          <w:rFonts w:ascii="Times New Roman" w:cs="Times New Roman" w:eastAsia="Times New Roman" w:hAnsi="Times New Roman"/>
          <w:sz w:val="17"/>
          <w:szCs w:val="17"/>
          <w:color w:val="auto"/>
        </w:rPr>
        <w:t>In addition to the numerous environmental laws and regulations that apply to our operations, we are subject to a variety of laws and regulations in the United States and other countries relating to health and safety. Among those laws and regulations are those covering hazardous materials and requiring emission performance standards for facilities. For example, our well service operations routinely involve the handling of significant amounts of waste materials, some of which are classified as hazardous substances. We also store, transport, and use radioactive and explosive materials in certain of our operations. Applicable regulatory requirements include those concerning:</w:t>
      </w:r>
    </w:p>
    <w:p>
      <w:pPr>
        <w:spacing w:after="0" w:line="23" w:lineRule="exact"/>
        <w:rPr>
          <w:sz w:val="20"/>
          <w:szCs w:val="20"/>
          <w:color w:val="auto"/>
        </w:rPr>
      </w:pPr>
    </w:p>
    <w:p>
      <w:pPr>
        <w:ind w:left="860" w:hanging="238"/>
        <w:spacing w:after="0"/>
        <w:tabs>
          <w:tab w:leader="none" w:pos="8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containment and disposal of hazardous substances, oilfield waste, and other waste materials;</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production, storage, transportation and use of chemicals;</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production, storage, transportation and use of explosive materials;</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importation and use of radioactive materials;</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underground storage tanks;</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underground injection wells; and</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protection of worker safety both onshore and offshore.</w:t>
      </w:r>
    </w:p>
    <w:p>
      <w:pPr>
        <w:spacing w:after="0" w:line="243" w:lineRule="exact"/>
        <w:rPr>
          <w:sz w:val="20"/>
          <w:szCs w:val="20"/>
          <w:color w:val="auto"/>
        </w:rPr>
      </w:pPr>
    </w:p>
    <w:p>
      <w:pPr>
        <w:ind w:right="320" w:firstLine="619"/>
        <w:spacing w:after="0" w:line="284" w:lineRule="auto"/>
        <w:rPr>
          <w:sz w:val="20"/>
          <w:szCs w:val="20"/>
          <w:color w:val="auto"/>
        </w:rPr>
      </w:pPr>
      <w:r>
        <w:rPr>
          <w:rFonts w:ascii="Times New Roman" w:cs="Times New Roman" w:eastAsia="Times New Roman" w:hAnsi="Times New Roman"/>
          <w:sz w:val="17"/>
          <w:szCs w:val="17"/>
          <w:color w:val="auto"/>
        </w:rPr>
        <w:t>These and other requirements generally are becoming increasingly strict. The failure to comply with the requirements, many of which may be applied retroactively, may result in:</w:t>
      </w:r>
    </w:p>
    <w:p>
      <w:pPr>
        <w:spacing w:after="0" w:line="1" w:lineRule="exact"/>
        <w:rPr>
          <w:sz w:val="20"/>
          <w:szCs w:val="20"/>
          <w:color w:val="auto"/>
        </w:rPr>
      </w:pPr>
    </w:p>
    <w:p>
      <w:pPr>
        <w:ind w:left="860" w:hanging="238"/>
        <w:spacing w:after="0"/>
        <w:tabs>
          <w:tab w:leader="none" w:pos="8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administrative, civil, and criminal penalties;</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revocation of permits to conduct business; and</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corrective action orders, including orders to investigate and/or clean up contamination.</w:t>
      </w:r>
    </w:p>
    <w:p>
      <w:pPr>
        <w:spacing w:after="0" w:line="243" w:lineRule="exact"/>
        <w:rPr>
          <w:sz w:val="20"/>
          <w:szCs w:val="20"/>
          <w:color w:val="auto"/>
        </w:rPr>
      </w:pPr>
    </w:p>
    <w:p>
      <w:pPr>
        <w:ind w:right="460" w:firstLine="619"/>
        <w:spacing w:after="0" w:line="270" w:lineRule="auto"/>
        <w:rPr>
          <w:sz w:val="20"/>
          <w:szCs w:val="20"/>
          <w:color w:val="auto"/>
        </w:rPr>
      </w:pPr>
      <w:r>
        <w:rPr>
          <w:rFonts w:ascii="Times New Roman" w:cs="Times New Roman" w:eastAsia="Times New Roman" w:hAnsi="Times New Roman"/>
          <w:sz w:val="17"/>
          <w:szCs w:val="17"/>
          <w:color w:val="auto"/>
        </w:rPr>
        <w:t>Failure on our part to comply with applicable health, safety, and environmental laws and regulations or costs arising from regulatory compliance, including compliance with changes in or expansion of applicable regulatory requirements, could have a material adverse effect on our business, consolidated results of operations, and consolidated financial condition.</w:t>
      </w:r>
    </w:p>
    <w:p>
      <w:pPr>
        <w:spacing w:after="0" w:line="185" w:lineRule="exact"/>
        <w:rPr>
          <w:sz w:val="20"/>
          <w:szCs w:val="20"/>
          <w:color w:val="auto"/>
        </w:rPr>
      </w:pPr>
    </w:p>
    <w:p>
      <w:pPr>
        <w:jc w:val="both"/>
        <w:ind w:right="160" w:firstLine="619"/>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Existing or future laws, regulations, treaties, or international agreements related to greenhouse gases, climate change, or alternative energy sources could have a negative impact on our business and may result in additional compliance obligations that could have a material adverse effect on our business, consolidated results of operations, and consolidated financial condition.</w:t>
      </w:r>
    </w:p>
    <w:p>
      <w:pPr>
        <w:spacing w:after="0" w:line="1" w:lineRule="exact"/>
        <w:rPr>
          <w:sz w:val="20"/>
          <w:szCs w:val="20"/>
          <w:color w:val="auto"/>
        </w:rPr>
      </w:pPr>
    </w:p>
    <w:p>
      <w:pPr>
        <w:ind w:right="140" w:firstLine="619"/>
        <w:spacing w:after="0" w:line="256" w:lineRule="auto"/>
        <w:rPr>
          <w:sz w:val="20"/>
          <w:szCs w:val="20"/>
          <w:color w:val="auto"/>
        </w:rPr>
      </w:pPr>
      <w:r>
        <w:rPr>
          <w:rFonts w:ascii="Times New Roman" w:cs="Times New Roman" w:eastAsia="Times New Roman" w:hAnsi="Times New Roman"/>
          <w:sz w:val="17"/>
          <w:szCs w:val="17"/>
          <w:color w:val="auto"/>
        </w:rPr>
        <w:t>Changes in or the adoption or enactment of laws, regulations, treaties or international agreements related to greenhouse gases, climate change, or alternative energy sources, including changes that may make it more expensive to explore for and produce oil and natural gas, may negatively impact demand for our services and products. For example, oil and natural gas exploration and production may decline as a result of environmental requirements, including land use policies responsive to environmental concerns. State, national, and international governments and agencies in areas in which we conduct business continue to evaluate, and in some instances adopt, climate-related legislation and other regulatory initiatives that would restrict emissions of greenhouse gases.</w:t>
      </w:r>
    </w:p>
    <w:p>
      <w:pPr>
        <w:spacing w:after="0" w:line="191" w:lineRule="exact"/>
        <w:rPr>
          <w:sz w:val="20"/>
          <w:szCs w:val="20"/>
          <w:color w:val="auto"/>
        </w:rPr>
      </w:pPr>
    </w:p>
    <w:p>
      <w:pPr>
        <w:ind w:right="20" w:firstLine="619"/>
        <w:spacing w:after="0"/>
        <w:rPr>
          <w:sz w:val="20"/>
          <w:szCs w:val="20"/>
          <w:color w:val="auto"/>
        </w:rPr>
      </w:pPr>
      <w:r>
        <w:rPr>
          <w:rFonts w:ascii="Times New Roman" w:cs="Times New Roman" w:eastAsia="Times New Roman" w:hAnsi="Times New Roman"/>
          <w:sz w:val="17"/>
          <w:szCs w:val="17"/>
          <w:color w:val="auto"/>
        </w:rPr>
        <w:t>For example, The President of the United States has issued Executive Orders and other directives seeking to adopt new regulations and policies to address climate change and to suspend, revise, or rescind prior agency actions that the administration identified as conflicting with its climate policies. These include Executive Orders requiring a review of current U.S. federal lands leasing and permitting practices, as well as a temporary halt of new leasing of U.S. federal lands and offshore waters available for oil and gas exploration. Also, in January 2024, the President of the United States paused approvals for pending and future applications to export liquified natural gas from new projects. During this pause, the Department of Energy will conduct a review of the economic and environmental impacts of projects seeking approval to export LNG to Europe and Asia. Changes and uncertainties resulting from proposed regulations and its actions with respect to leasing and other actions could have a negative effect on exploration and production of oil and natural gas and, consequently, negatively impact the demand for our products and services.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6" w:name="page17"/>
    <w:bookmarkEnd w:id="16"/>
    <w:p>
      <w:pPr>
        <w:ind w:left="60"/>
        <w:spacing w:after="0"/>
        <w:tabs>
          <w:tab w:leader="none" w:pos="956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Item 1(a) | Risk Factors</w:t>
      </w:r>
    </w:p>
    <w:p>
      <w:pPr>
        <w:spacing w:after="0" w:line="200" w:lineRule="exact"/>
        <w:rPr>
          <w:sz w:val="20"/>
          <w:szCs w:val="20"/>
          <w:color w:val="auto"/>
        </w:rPr>
      </w:pPr>
    </w:p>
    <w:p>
      <w:pPr>
        <w:spacing w:after="0" w:line="339" w:lineRule="exact"/>
        <w:rPr>
          <w:sz w:val="20"/>
          <w:szCs w:val="20"/>
          <w:color w:val="auto"/>
        </w:rPr>
      </w:pPr>
    </w:p>
    <w:p>
      <w:pPr>
        <w:ind w:right="40" w:firstLine="619"/>
        <w:spacing w:after="0" w:line="256" w:lineRule="auto"/>
        <w:rPr>
          <w:sz w:val="20"/>
          <w:szCs w:val="20"/>
          <w:color w:val="auto"/>
        </w:rPr>
      </w:pPr>
      <w:r>
        <w:rPr>
          <w:rFonts w:ascii="Times New Roman" w:cs="Times New Roman" w:eastAsia="Times New Roman" w:hAnsi="Times New Roman"/>
          <w:sz w:val="17"/>
          <w:szCs w:val="17"/>
          <w:color w:val="auto"/>
        </w:rPr>
        <w:t>In February 2021, the United States formally re-joined the Paris Agreement. The Paris Agreement requires countries to review and “represent a progression” in their intended nationally determined contributions, which set greenhouse gases emission reduction goals, every five years. The United States Environmental Protection Agency has proposed strict new methane emission regulations for certain oil and gas facilities. The Inflation Reduction Act of 2022 establishes a charge on methane emissions above certain limits from the same facilities. Though we are closely following developments in this area and changes in the regulatory landscape in the United States, we cannot predict how or when those changes may ultimately impact our business. Because our business depends on the level of activity in the oil and natural gas industry, existing or future laws, regulations, treaties, or international agreements related to greenhouse gases or climate change, including incentives to conserve energy or use alternative energy sources, may reduce demand for oil and natural gas and could have a negative impact on our business. Likewise, such restrictions may result in additional compliance obligations with respect to the release, capture, sequestration, and use of carbon dioxide. The efforts we have taken, and may undertake in the future, to respond to these evolving or new regulations and to environmental initiatives of customers, investors, and others may increase our costs. These and other environmental requirements could have a material adverse effect on our business, consolidated results of operations, and consolidated financial condition.</w:t>
      </w:r>
    </w:p>
    <w:p>
      <w:pPr>
        <w:spacing w:after="0" w:line="201" w:lineRule="exact"/>
        <w:rPr>
          <w:sz w:val="20"/>
          <w:szCs w:val="20"/>
          <w:color w:val="auto"/>
        </w:rPr>
      </w:pPr>
    </w:p>
    <w:p>
      <w:pPr>
        <w:ind w:right="40"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could be subject to changes in our tax rates, the adoption of new tax legislation, tax audits, or exposure to additional tax liabilities that could have a material adverse effect on our business, consolidated results of operations, and consolidated financial condition.</w:t>
      </w:r>
    </w:p>
    <w:p>
      <w:pPr>
        <w:ind w:right="560" w:firstLine="619"/>
        <w:spacing w:after="0" w:line="257" w:lineRule="auto"/>
        <w:rPr>
          <w:sz w:val="20"/>
          <w:szCs w:val="20"/>
          <w:color w:val="auto"/>
        </w:rPr>
      </w:pPr>
      <w:r>
        <w:rPr>
          <w:rFonts w:ascii="Times New Roman" w:cs="Times New Roman" w:eastAsia="Times New Roman" w:hAnsi="Times New Roman"/>
          <w:sz w:val="17"/>
          <w:szCs w:val="17"/>
          <w:color w:val="auto"/>
        </w:rPr>
        <w:t>We are subject to taxes in the U.S. and numerous jurisdictions where we operate and our subsidiaries are organized. Due to economic and political conditions, tax rates in the U.S. and other jurisdictions may be subject to significant change. Our tax returns are subject to examination by the U.S. Internal Revenue Service (IRS) and other tax authorities and governmental bodies. We regularly assess the likelihood of an adverse outcome resulting from these examinations to determine the adequacy of our provision for taxes.</w:t>
      </w:r>
    </w:p>
    <w:p>
      <w:pPr>
        <w:spacing w:after="0" w:line="190"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Our U.S. federal income tax filings for tax years 2016 through 2022 are currently under review or remain open for review by the IRS. As of December 31, 2023, the primary unresolved issue for the IRS audit for 2016 relates to the classification of the $3.5 billion ordinary deduction that we claimed for the termination fee we paid to Baker Hughes in the second quarter of 2016 for which we received a Notice of Proposed Adjustment (NOPA) from the IRS on September 28, 2023. In December 2023, we initiated the IRS administrative appeals process and we do not expect a final resolution of the NOPA in the next 12 months. There can be no assurance as to the outcome of the NOPA or other tax examinations and audits.</w:t>
      </w:r>
    </w:p>
    <w:p>
      <w:pPr>
        <w:spacing w:after="0" w:line="214" w:lineRule="exact"/>
        <w:rPr>
          <w:sz w:val="20"/>
          <w:szCs w:val="20"/>
          <w:color w:val="auto"/>
        </w:rPr>
      </w:pPr>
    </w:p>
    <w:p>
      <w:pPr>
        <w:jc w:val="both"/>
        <w:ind w:right="540" w:firstLine="619"/>
        <w:spacing w:after="0" w:line="270" w:lineRule="auto"/>
        <w:rPr>
          <w:sz w:val="20"/>
          <w:szCs w:val="20"/>
          <w:color w:val="auto"/>
        </w:rPr>
      </w:pPr>
      <w:r>
        <w:rPr>
          <w:rFonts w:ascii="Times New Roman" w:cs="Times New Roman" w:eastAsia="Times New Roman" w:hAnsi="Times New Roman"/>
          <w:sz w:val="17"/>
          <w:szCs w:val="17"/>
          <w:color w:val="auto"/>
        </w:rPr>
        <w:t>Adverse outcomes resulting from examinations of our tax returns, including the NOPA, an increase in tax rates in a jurisdiction where we generate substantial income, particularly in the U.S., or changes in our ability to realize our deferred tax assets could have a material adverse effect on our business, consolidated results of operations, and consolidated financial condition.</w:t>
      </w:r>
    </w:p>
    <w:p>
      <w:pPr>
        <w:spacing w:after="0" w:line="185" w:lineRule="exact"/>
        <w:rPr>
          <w:sz w:val="20"/>
          <w:szCs w:val="20"/>
          <w:color w:val="auto"/>
        </w:rPr>
      </w:pPr>
    </w:p>
    <w:p>
      <w:pPr>
        <w:ind w:right="520"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operations are subject to political and economic instability and risk of government actions that could have a material adverse effect on our business, consolidated results of operations, and consolidated financial condition.</w:t>
      </w:r>
    </w:p>
    <w:p>
      <w:pPr>
        <w:ind w:right="240" w:firstLine="619"/>
        <w:spacing w:after="0" w:line="259" w:lineRule="auto"/>
        <w:rPr>
          <w:sz w:val="20"/>
          <w:szCs w:val="20"/>
          <w:color w:val="auto"/>
        </w:rPr>
      </w:pPr>
      <w:r>
        <w:rPr>
          <w:rFonts w:ascii="Times New Roman" w:cs="Times New Roman" w:eastAsia="Times New Roman" w:hAnsi="Times New Roman"/>
          <w:sz w:val="17"/>
          <w:szCs w:val="17"/>
          <w:color w:val="auto"/>
        </w:rPr>
        <w:t>We are exposed to risks inherent in doing business in each of the countries and regions in which we operate. Our operations are subject to various risks unique to each country and region that could have a material adverse effect on our business, consolidated results of operations, and consolidated financial condition. With respect to any particular country or region, these risks may include:</w:t>
      </w:r>
    </w:p>
    <w:p>
      <w:pPr>
        <w:spacing w:after="0" w:line="72" w:lineRule="exact"/>
        <w:rPr>
          <w:sz w:val="20"/>
          <w:szCs w:val="20"/>
          <w:color w:val="auto"/>
        </w:rPr>
      </w:pPr>
    </w:p>
    <w:p>
      <w:pPr>
        <w:ind w:left="860" w:hanging="238"/>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and economic instability, including:</w:t>
      </w:r>
    </w:p>
    <w:p>
      <w:pPr>
        <w:spacing w:after="0" w:line="27" w:lineRule="exact"/>
        <w:rPr>
          <w:rFonts w:ascii="Times New Roman" w:cs="Times New Roman" w:eastAsia="Times New Roman" w:hAnsi="Times New Roman"/>
          <w:sz w:val="17"/>
          <w:szCs w:val="17"/>
          <w:color w:val="auto"/>
        </w:rPr>
      </w:pPr>
    </w:p>
    <w:p>
      <w:pPr>
        <w:ind w:left="1240" w:hanging="386"/>
        <w:spacing w:after="0"/>
        <w:tabs>
          <w:tab w:leader="none" w:pos="12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civil unrest, acts of terrorism, war, and other armed conflict, such as the ongoing actions in Ukraine, Israel, and the broader Middle East;</w:t>
      </w:r>
    </w:p>
    <w:p>
      <w:pPr>
        <w:spacing w:after="0" w:line="10" w:lineRule="exact"/>
        <w:rPr>
          <w:rFonts w:ascii="Times New Roman" w:cs="Times New Roman" w:eastAsia="Times New Roman" w:hAnsi="Times New Roman"/>
          <w:sz w:val="17"/>
          <w:szCs w:val="17"/>
          <w:color w:val="auto"/>
        </w:rPr>
      </w:pPr>
    </w:p>
    <w:p>
      <w:pPr>
        <w:ind w:left="1240" w:hanging="386"/>
        <w:spacing w:after="0"/>
        <w:tabs>
          <w:tab w:leader="none" w:pos="12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inflation; and</w:t>
      </w:r>
    </w:p>
    <w:p>
      <w:pPr>
        <w:spacing w:after="0" w:line="10" w:lineRule="exact"/>
        <w:rPr>
          <w:rFonts w:ascii="Times New Roman" w:cs="Times New Roman" w:eastAsia="Times New Roman" w:hAnsi="Times New Roman"/>
          <w:sz w:val="17"/>
          <w:szCs w:val="17"/>
          <w:color w:val="auto"/>
        </w:rPr>
      </w:pPr>
    </w:p>
    <w:p>
      <w:pPr>
        <w:ind w:left="1240" w:hanging="386"/>
        <w:spacing w:after="0"/>
        <w:tabs>
          <w:tab w:leader="none" w:pos="12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currency fluctuations, devaluations, and conversion restrictions; and</w:t>
      </w:r>
    </w:p>
    <w:p>
      <w:pPr>
        <w:spacing w:after="0" w:line="45"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governmental actions that may:</w:t>
      </w:r>
    </w:p>
    <w:p>
      <w:pPr>
        <w:spacing w:after="0" w:line="27" w:lineRule="exact"/>
        <w:rPr>
          <w:rFonts w:ascii="Times New Roman" w:cs="Times New Roman" w:eastAsia="Times New Roman" w:hAnsi="Times New Roman"/>
          <w:sz w:val="17"/>
          <w:szCs w:val="17"/>
          <w:color w:val="auto"/>
        </w:rPr>
      </w:pPr>
    </w:p>
    <w:p>
      <w:pPr>
        <w:ind w:left="1240" w:hanging="386"/>
        <w:spacing w:after="0"/>
        <w:tabs>
          <w:tab w:leader="none" w:pos="12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expropriation and nationalization of our assets in that country;</w:t>
      </w:r>
    </w:p>
    <w:p>
      <w:pPr>
        <w:spacing w:after="0" w:line="10" w:lineRule="exact"/>
        <w:rPr>
          <w:rFonts w:ascii="Times New Roman" w:cs="Times New Roman" w:eastAsia="Times New Roman" w:hAnsi="Times New Roman"/>
          <w:sz w:val="17"/>
          <w:szCs w:val="17"/>
          <w:color w:val="auto"/>
        </w:rPr>
      </w:pPr>
    </w:p>
    <w:p>
      <w:pPr>
        <w:ind w:left="1240" w:hanging="386"/>
        <w:spacing w:after="0"/>
        <w:tabs>
          <w:tab w:leader="none" w:pos="12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confiscatory taxation or other adverse tax policies;</w:t>
      </w:r>
    </w:p>
    <w:p>
      <w:pPr>
        <w:spacing w:after="0" w:line="10" w:lineRule="exact"/>
        <w:rPr>
          <w:rFonts w:ascii="Times New Roman" w:cs="Times New Roman" w:eastAsia="Times New Roman" w:hAnsi="Times New Roman"/>
          <w:sz w:val="17"/>
          <w:szCs w:val="17"/>
          <w:color w:val="auto"/>
        </w:rPr>
      </w:pPr>
    </w:p>
    <w:p>
      <w:pPr>
        <w:ind w:left="1240" w:hanging="386"/>
        <w:spacing w:after="0"/>
        <w:tabs>
          <w:tab w:leader="none" w:pos="12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or disrupt markets or our customers and our operations, restrict payments, or limit the movement of funds;</w:t>
      </w:r>
    </w:p>
    <w:p>
      <w:pPr>
        <w:spacing w:after="0" w:line="10" w:lineRule="exact"/>
        <w:rPr>
          <w:rFonts w:ascii="Times New Roman" w:cs="Times New Roman" w:eastAsia="Times New Roman" w:hAnsi="Times New Roman"/>
          <w:sz w:val="17"/>
          <w:szCs w:val="17"/>
          <w:color w:val="auto"/>
        </w:rPr>
      </w:pPr>
    </w:p>
    <w:p>
      <w:pPr>
        <w:ind w:left="1240" w:hanging="386"/>
        <w:spacing w:after="0"/>
        <w:tabs>
          <w:tab w:leader="none" w:pos="12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sanctions on our ability to conduct business with certain customers or persons;</w:t>
      </w:r>
    </w:p>
    <w:p>
      <w:pPr>
        <w:spacing w:after="0" w:line="10" w:lineRule="exact"/>
        <w:rPr>
          <w:rFonts w:ascii="Times New Roman" w:cs="Times New Roman" w:eastAsia="Times New Roman" w:hAnsi="Times New Roman"/>
          <w:sz w:val="17"/>
          <w:szCs w:val="17"/>
          <w:color w:val="auto"/>
        </w:rPr>
      </w:pPr>
    </w:p>
    <w:p>
      <w:pPr>
        <w:ind w:left="1240" w:hanging="386"/>
        <w:spacing w:after="0"/>
        <w:tabs>
          <w:tab w:leader="none" w:pos="12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the deprivation of contract rights; and</w:t>
      </w:r>
    </w:p>
    <w:p>
      <w:pPr>
        <w:spacing w:after="0" w:line="10" w:lineRule="exact"/>
        <w:rPr>
          <w:rFonts w:ascii="Times New Roman" w:cs="Times New Roman" w:eastAsia="Times New Roman" w:hAnsi="Times New Roman"/>
          <w:sz w:val="17"/>
          <w:szCs w:val="17"/>
          <w:color w:val="auto"/>
        </w:rPr>
      </w:pPr>
    </w:p>
    <w:p>
      <w:pPr>
        <w:ind w:left="1240" w:hanging="386"/>
        <w:spacing w:after="0"/>
        <w:tabs>
          <w:tab w:leader="none" w:pos="12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the inability to obtain or retain licenses required for operation.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7" w:name="page18"/>
    <w:bookmarkEnd w:id="17"/>
    <w:p>
      <w:pPr>
        <w:ind w:left="60"/>
        <w:spacing w:after="0"/>
        <w:tabs>
          <w:tab w:leader="none" w:pos="956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Item 1(a) | Risk Factors</w:t>
      </w:r>
    </w:p>
    <w:p>
      <w:pPr>
        <w:spacing w:after="0" w:line="200" w:lineRule="exact"/>
        <w:rPr>
          <w:sz w:val="20"/>
          <w:szCs w:val="20"/>
          <w:color w:val="auto"/>
        </w:rPr>
      </w:pPr>
    </w:p>
    <w:p>
      <w:pPr>
        <w:spacing w:after="0" w:line="339" w:lineRule="exact"/>
        <w:rPr>
          <w:sz w:val="20"/>
          <w:szCs w:val="20"/>
          <w:color w:val="auto"/>
        </w:rPr>
      </w:pPr>
    </w:p>
    <w:p>
      <w:pPr>
        <w:ind w:right="120" w:firstLine="619"/>
        <w:spacing w:after="0" w:line="257" w:lineRule="auto"/>
        <w:rPr>
          <w:sz w:val="20"/>
          <w:szCs w:val="20"/>
          <w:color w:val="auto"/>
        </w:rPr>
      </w:pPr>
      <w:r>
        <w:rPr>
          <w:rFonts w:ascii="Times New Roman" w:cs="Times New Roman" w:eastAsia="Times New Roman" w:hAnsi="Times New Roman"/>
          <w:sz w:val="17"/>
          <w:szCs w:val="17"/>
          <w:color w:val="auto"/>
        </w:rPr>
        <w:t>For example, due to the unsettled political conditions in many oil-producing countries and regions, our operations, revenue, and profits are subject to the adverse consequences of war, terrorism, civil unrest, strikes, currency controls, and governmental actions. These, and other risks described above, could result in the loss of our personnel or assets, cause us to evacuate our personnel from certain countries, cause us to increase spending on security worldwide, cause us to cease operating in certain countries, cause disruption of shipping and supply chain operations, disrupt financial and commercial markets, including the supply of and pricing for oil and natural gas, and generate greater political and economic instability in some of the geographic areas in which we operate. Areas where we operate that have significant risk include, but are not limited to: the Middle East, North Africa, Angola, Argentina, Azerbaijan, Brazil, Indonesia, Kazakhstan, Mexico, Mozambique, Nigeria, Papua New Guinea, and Ukraine. In addition, any possible reprisals as a consequence of military or other action, such as acts of terrorism in the United States or elsewhere, could have a material adverse effect on our business, consolidated results of operations, and consolidated financial condition.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41" w:lineRule="exact"/>
        <w:rPr>
          <w:sz w:val="20"/>
          <w:szCs w:val="20"/>
          <w:color w:val="auto"/>
        </w:rPr>
      </w:pPr>
    </w:p>
    <w:p>
      <w:pPr>
        <w:ind w:right="760"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operations are subject to cyberattacks that could have a material adverse effect on our business, consolidated results of operations, and consolidated financial condition.</w:t>
      </w:r>
    </w:p>
    <w:p>
      <w:pPr>
        <w:ind w:right="60" w:firstLine="619"/>
        <w:spacing w:after="0" w:line="254" w:lineRule="auto"/>
        <w:rPr>
          <w:sz w:val="20"/>
          <w:szCs w:val="20"/>
          <w:color w:val="auto"/>
        </w:rPr>
      </w:pPr>
      <w:r>
        <w:rPr>
          <w:rFonts w:ascii="Times New Roman" w:cs="Times New Roman" w:eastAsia="Times New Roman" w:hAnsi="Times New Roman"/>
          <w:sz w:val="17"/>
          <w:szCs w:val="17"/>
          <w:color w:val="auto"/>
        </w:rPr>
        <w:t>We are increasingly dependent on digital technologies and services to conduct our business. We use these technologies for internal and operational purposes, including data storage, processing, and transmissions, as well as in our interactions with customers and suppliers. Examples of these digital technologies include analytics, automation, and cloud services. Our digital technologies and services, and those of our customers and suppliers, are subject to the risk of cybersecurity incidents and, given the nature of such incidents, some can remain undetected for a period of time despite efforts to detect and respond to them in a timely manner. We routinely monitor our systems for cybersecurity threats and have processes in place to detect and remediate vulnerabilities. Nevertheless, we have experienced occasional cybersecurity incidents and attempted breaches in the past, including attacks resulting from phishing emails and malware infections. We responded to and mitigated the impact of these attacks. Even if we successfully defend our own digital technologies and services, we also rely on our customers and suppliers, with whom we may share data and services, to protect their digital technologies and services from cybersecurity incidents. No unauthorized access to material financial, technical, or customer data occurred as a result of cybersecurity attacks against us and none of the attacks mentioned above had a material adverse effect on our business, operations, reputation, or consolidated results of operations or consolidated financial condition.</w:t>
      </w:r>
    </w:p>
    <w:p>
      <w:pPr>
        <w:spacing w:after="0" w:line="205" w:lineRule="exact"/>
        <w:rPr>
          <w:sz w:val="20"/>
          <w:szCs w:val="20"/>
          <w:color w:val="auto"/>
        </w:rPr>
      </w:pPr>
    </w:p>
    <w:p>
      <w:pPr>
        <w:ind w:right="240" w:firstLine="619"/>
        <w:spacing w:after="0" w:line="244" w:lineRule="auto"/>
        <w:rPr>
          <w:sz w:val="20"/>
          <w:szCs w:val="20"/>
          <w:color w:val="auto"/>
        </w:rPr>
      </w:pPr>
      <w:r>
        <w:rPr>
          <w:rFonts w:ascii="Times New Roman" w:cs="Times New Roman" w:eastAsia="Times New Roman" w:hAnsi="Times New Roman"/>
          <w:sz w:val="17"/>
          <w:szCs w:val="17"/>
          <w:color w:val="auto"/>
        </w:rPr>
        <w:t>If our systems, or 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or suppliers</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xml:space="preserve"> systems, for protecting against cybersecurity incidents prove not to be sufficient, we could be adversely affected by, among other things: loss of or damage to intellectual property, proprietary or confidential information, or customer, supplier, or employee data; interruption of our business operations; and increased costs required to prevent, respond to, or mitigate cybersecurity incidents. These risks could harm our reputation and our relationships with our customers, employees, suppliers and other third parties, and may result in claims against us. In addition, laws and regulations governing cybersecurity incidents, data privacy, and the unauthorized disclosure of confidential or protected information pose increasingly complex compliance challenges, and failure to comply with these laws could result in penalties and legal liability. These risks could have a material adverse effect on our business, consolidated results of operations and consolidated financial condition.</w:t>
      </w:r>
    </w:p>
    <w:p>
      <w:pPr>
        <w:spacing w:after="0" w:line="194" w:lineRule="exact"/>
        <w:rPr>
          <w:sz w:val="20"/>
          <w:szCs w:val="20"/>
          <w:color w:val="auto"/>
        </w:rPr>
      </w:pPr>
    </w:p>
    <w:p>
      <w:pPr>
        <w:jc w:val="both"/>
        <w:ind w:right="160" w:firstLine="619"/>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Our ability to declare and pay dividends and repurchase shares is subject to certain considerations and we may be unable to meet our capital return framework goal of returning at least 50% of annual free cash flow to shareholders through dividends and share repurchases, which could decrease expected returns on an investment in our stock.</w:t>
      </w:r>
    </w:p>
    <w:p>
      <w:pPr>
        <w:spacing w:after="0" w:line="1" w:lineRule="exact"/>
        <w:rPr>
          <w:sz w:val="20"/>
          <w:szCs w:val="20"/>
          <w:color w:val="auto"/>
        </w:rPr>
      </w:pPr>
    </w:p>
    <w:p>
      <w:pPr>
        <w:ind w:right="60" w:firstLine="619"/>
        <w:spacing w:after="0" w:line="255" w:lineRule="auto"/>
        <w:rPr>
          <w:sz w:val="20"/>
          <w:szCs w:val="20"/>
          <w:color w:val="auto"/>
        </w:rPr>
      </w:pPr>
      <w:r>
        <w:rPr>
          <w:rFonts w:ascii="Times New Roman" w:cs="Times New Roman" w:eastAsia="Times New Roman" w:hAnsi="Times New Roman"/>
          <w:sz w:val="17"/>
          <w:szCs w:val="17"/>
          <w:color w:val="auto"/>
        </w:rPr>
        <w:t>Our capital return framework includes a goal of returning at least 50% of annual free cash flow (cash flow from operations less capital expenditures plus proceeds from sales of property, plant, and equipment) to our shareholders through dividends and share repurchases. Dividends and share repurchases are authorized and determined by our Board of Directors at its sole discretion and depend upon a number of factors, including our financial results, cash requirements, and future prospects, as well as such other factors deemed relevant by our Board of Directors. We can provide no assurance that we will pay dividends or make share repurchases in accordance with our capital return framework goal or at all. Any elimination of, or downward revision in, our dividend payout or share repurchase program could have an adverse effect on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8" w:name="page19"/>
    <w:bookmarkEnd w:id="18"/>
    <w:p>
      <w:pPr>
        <w:ind w:left="60"/>
        <w:spacing w:after="0"/>
        <w:tabs>
          <w:tab w:leader="none" w:pos="956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Item 1(a) | Risk Factors</w:t>
      </w:r>
    </w:p>
    <w:p>
      <w:pPr>
        <w:spacing w:after="0" w:line="200" w:lineRule="exact"/>
        <w:rPr>
          <w:sz w:val="20"/>
          <w:szCs w:val="20"/>
          <w:color w:val="auto"/>
        </w:rPr>
      </w:pPr>
    </w:p>
    <w:p>
      <w:pPr>
        <w:spacing w:after="0" w:line="339" w:lineRule="exact"/>
        <w:rPr>
          <w:sz w:val="20"/>
          <w:szCs w:val="20"/>
          <w:color w:val="auto"/>
        </w:rPr>
      </w:pPr>
    </w:p>
    <w:p>
      <w:pPr>
        <w:ind w:right="60" w:firstLine="619"/>
        <w:spacing w:after="0" w:line="258" w:lineRule="auto"/>
        <w:rPr>
          <w:sz w:val="20"/>
          <w:szCs w:val="20"/>
          <w:color w:val="auto"/>
        </w:rPr>
      </w:pPr>
      <w:r>
        <w:rPr>
          <w:rFonts w:ascii="Times New Roman" w:cs="Times New Roman" w:eastAsia="Times New Roman" w:hAnsi="Times New Roman"/>
          <w:sz w:val="17"/>
          <w:szCs w:val="17"/>
          <w:color w:val="auto"/>
        </w:rPr>
        <w:t>Meeting our capital return framework goal requires us to generate consistent free cash flow and have available capital in the years ahead in an amount sufficient to enable us to continue investing in organic and inorganic growth as well as to return a significant portion of the cash generated to shareholders in the form of dividends and share repurchases. Also, our cash flow fluctuates over the course of the year, so, although our goal is to return at least 50% of annual free cash flow to shareholders, that is an average over a year and the dividends paid, the number of shares repurchased, and the amount of free cash flow returned in any quarter during the year will vary and may be more or less than 50%. We may not meet this goal if we use our available cash to satisfy other priorities, if we have insufficient funds available to pay dividends and to repurchase shares, or if our Board of Directors determines to change or discontinue dividend payments or share repurchases.</w:t>
      </w:r>
    </w:p>
    <w:p>
      <w:pPr>
        <w:spacing w:after="0" w:line="199" w:lineRule="exact"/>
        <w:rPr>
          <w:sz w:val="20"/>
          <w:szCs w:val="20"/>
          <w:color w:val="auto"/>
        </w:rPr>
      </w:pPr>
    </w:p>
    <w:p>
      <w:pPr>
        <w:ind w:right="480"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are subject to foreign currency exchange risks and limitations on our ability to reinvest earnings from operations in one country to fund the capital needs of our operations in other countries or to repatriate assets from some countries.</w:t>
      </w:r>
    </w:p>
    <w:p>
      <w:pPr>
        <w:ind w:right="60" w:firstLine="619"/>
        <w:spacing w:after="0" w:line="266" w:lineRule="auto"/>
        <w:rPr>
          <w:sz w:val="20"/>
          <w:szCs w:val="20"/>
          <w:color w:val="auto"/>
        </w:rPr>
      </w:pPr>
      <w:r>
        <w:rPr>
          <w:rFonts w:ascii="Times New Roman" w:cs="Times New Roman" w:eastAsia="Times New Roman" w:hAnsi="Times New Roman"/>
          <w:sz w:val="17"/>
          <w:szCs w:val="17"/>
          <w:color w:val="auto"/>
        </w:rPr>
        <w:t>A sizable portion of our consolidated revenue and consolidated operating expenses is in foreign currencies. As a result, we are subject to significant risks, including:</w:t>
      </w:r>
    </w:p>
    <w:p>
      <w:pPr>
        <w:spacing w:after="0" w:line="66" w:lineRule="exact"/>
        <w:rPr>
          <w:sz w:val="20"/>
          <w:szCs w:val="20"/>
          <w:color w:val="auto"/>
        </w:rPr>
      </w:pPr>
    </w:p>
    <w:p>
      <w:pPr>
        <w:ind w:left="860" w:hanging="238"/>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exchange risks resulting from changes in foreign currency exchange rates and the implementation of exchange controls; and</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our ability to reinvest earnings from operations in one country to fund the capital needs of our operations in other countries.</w:t>
      </w:r>
    </w:p>
    <w:p>
      <w:pPr>
        <w:spacing w:after="0" w:line="230"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17"/>
          <w:szCs w:val="17"/>
          <w:color w:val="auto"/>
        </w:rPr>
        <w:t>As an example, we conduct business in countries that have restricted or limited trading markets for their local currencies and restrict or limit cash repatriation. We may accumulate cash in those geographies, but we may be limited in our ability to convert our profits into United States dollars or to repatriate the profits from those countries. During 2023, we experienced these conditions in Argentina and though we have been able to develop processes to repatriate cash when we believe it is appropriate to do so, we have incurred losses from devaluation of the local currency and from repatriating cash. We expect restrictions on currency repatriation to continue in Argentina during 2024.</w:t>
      </w:r>
    </w:p>
    <w:p>
      <w:pPr>
        <w:spacing w:after="0" w:line="208" w:lineRule="exact"/>
        <w:rPr>
          <w:sz w:val="20"/>
          <w:szCs w:val="20"/>
          <w:color w:val="auto"/>
        </w:rPr>
      </w:pPr>
    </w:p>
    <w:p>
      <w:pPr>
        <w:ind w:right="860"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If we lose one or more of our significant customers or if our customers delay paying or fail to pay a significant amount of our outstanding receivables, it could have a material adverse effect on our business, consolidated results of operations, and consolidated financial condition.</w:t>
      </w:r>
    </w:p>
    <w:p>
      <w:pPr>
        <w:ind w:right="240" w:firstLine="619"/>
        <w:spacing w:after="0" w:line="266" w:lineRule="auto"/>
        <w:rPr>
          <w:sz w:val="20"/>
          <w:szCs w:val="20"/>
          <w:color w:val="auto"/>
        </w:rPr>
      </w:pPr>
      <w:r>
        <w:rPr>
          <w:rFonts w:ascii="Times New Roman" w:cs="Times New Roman" w:eastAsia="Times New Roman" w:hAnsi="Times New Roman"/>
          <w:sz w:val="17"/>
          <w:szCs w:val="17"/>
          <w:color w:val="auto"/>
        </w:rPr>
        <w:t>We have a number of significant customers. While no single customer represented more than 10% of consolidated revenue in any period presented, the loss of one or more significant customers could have a material adverse effect on our business and our consolidated results of operations.</w:t>
      </w:r>
    </w:p>
    <w:p>
      <w:pPr>
        <w:spacing w:after="0" w:line="194"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In most cases, we bill our customers for our services in arrears and are, therefore, subject to our customers delaying or failing to pay our invoices. We may experience increased delays and failures due to, among other reasons, a reduction in our customers’ cash flow from operations and their access to the credit markets, particularly in weak economic or commodity price environments. If our customers delay paying or fail to pay us a significant amount of our outstanding receivables, it could have a material adverse effect on our business, consolidated results of operations and consolidated financial condition.</w:t>
      </w:r>
    </w:p>
    <w:p>
      <w:pPr>
        <w:spacing w:after="0" w:line="191" w:lineRule="exact"/>
        <w:rPr>
          <w:sz w:val="20"/>
          <w:szCs w:val="20"/>
          <w:color w:val="auto"/>
        </w:rPr>
      </w:pPr>
    </w:p>
    <w:p>
      <w:pPr>
        <w:ind w:right="240"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acquisitions, dispositions and investments may not result in anticipated benefits and may present risks not originally contemplated, which may have a material adverse effect on our business, consolidated results of operations, and consolidated financial condition.</w:t>
      </w:r>
    </w:p>
    <w:p>
      <w:pPr>
        <w:ind w:right="80" w:firstLine="619"/>
        <w:spacing w:after="0" w:line="256" w:lineRule="auto"/>
        <w:rPr>
          <w:sz w:val="20"/>
          <w:szCs w:val="20"/>
          <w:color w:val="auto"/>
        </w:rPr>
      </w:pPr>
      <w:r>
        <w:rPr>
          <w:rFonts w:ascii="Times New Roman" w:cs="Times New Roman" w:eastAsia="Times New Roman" w:hAnsi="Times New Roman"/>
          <w:sz w:val="17"/>
          <w:szCs w:val="17"/>
          <w:color w:val="auto"/>
        </w:rPr>
        <w:t>We continually seek opportunities to maximize efficiency and value through various transactions, including purchases or sales of assets, businesses, investments, or joint venture interests. These transactions are intended to (but may not) result in the realization of savings, the creation of efficiencies, the offering of new products or services, the generation of cash or income, or the reduction of risk. Acquisition transactions may use cash on hand or be financed by additional borrowings or by the issuance of our common stock. These transactions may also adversely affect our business, consolidated results of operations, and consolidated financial condition.</w:t>
      </w:r>
    </w:p>
    <w:p>
      <w:pPr>
        <w:spacing w:after="0" w:line="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These transactions also involve risks, and we cannot ensure that:</w:t>
      </w:r>
    </w:p>
    <w:p>
      <w:pPr>
        <w:spacing w:after="0" w:line="62" w:lineRule="exact"/>
        <w:rPr>
          <w:sz w:val="20"/>
          <w:szCs w:val="20"/>
          <w:color w:val="auto"/>
        </w:rPr>
      </w:pPr>
    </w:p>
    <w:p>
      <w:pPr>
        <w:ind w:left="860" w:hanging="238"/>
        <w:spacing w:after="0"/>
        <w:tabs>
          <w:tab w:leader="none" w:pos="8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acquisitions we attempt will be completed on the terms announced, or at all;</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acquisitions would result in an increase in income or provide an adequate return of capital or other anticipated benefits;</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acquisitions would be successfully integrated into our operations and internal controls;</w:t>
      </w:r>
    </w:p>
    <w:p>
      <w:pPr>
        <w:spacing w:after="0" w:line="62" w:lineRule="exact"/>
        <w:rPr>
          <w:rFonts w:ascii="Times New Roman" w:cs="Times New Roman" w:eastAsia="Times New Roman" w:hAnsi="Times New Roman"/>
          <w:sz w:val="17"/>
          <w:szCs w:val="17"/>
          <w:color w:val="auto"/>
        </w:rPr>
      </w:pPr>
    </w:p>
    <w:p>
      <w:pPr>
        <w:ind w:left="780" w:right="20" w:hanging="158"/>
        <w:spacing w:after="0" w:line="284" w:lineRule="auto"/>
        <w:tabs>
          <w:tab w:leader="none" w:pos="85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due diligence conducted prior to an acquisition would uncover situations that could result in financial or legal exposure, including under the FCPA, or that we will appropriately quantify the exposure from known risks;</w:t>
      </w:r>
    </w:p>
    <w:p>
      <w:pPr>
        <w:spacing w:after="0" w:line="1"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disposition would not result in decreased earnings, revenue, or cash flow;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9" w:name="page20"/>
    <w:bookmarkEnd w:id="19"/>
    <w:p>
      <w:pPr>
        <w:ind w:left="60"/>
        <w:spacing w:after="0"/>
        <w:tabs>
          <w:tab w:leader="none" w:pos="956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6"/>
          <w:szCs w:val="16"/>
          <w:color w:val="auto"/>
        </w:rPr>
        <w:t>Item 1(a) | Risk Factors</w:t>
      </w:r>
    </w:p>
    <w:p>
      <w:pPr>
        <w:spacing w:after="0" w:line="200" w:lineRule="exact"/>
        <w:rPr>
          <w:sz w:val="20"/>
          <w:szCs w:val="20"/>
          <w:color w:val="auto"/>
        </w:rPr>
      </w:pPr>
    </w:p>
    <w:p>
      <w:pPr>
        <w:spacing w:after="0" w:line="339" w:lineRule="exact"/>
        <w:rPr>
          <w:sz w:val="20"/>
          <w:szCs w:val="20"/>
          <w:color w:val="auto"/>
        </w:rPr>
      </w:pPr>
    </w:p>
    <w:p>
      <w:pPr>
        <w:ind w:left="860" w:hanging="238"/>
        <w:spacing w:after="0"/>
        <w:tabs>
          <w:tab w:leader="none" w:pos="8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cash for acquisitions would not adversely affect our cash available for capital expenditures and other uses; or</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dispositions, investments, or acquisitions, including integration efforts, would not divert management resources.</w:t>
      </w:r>
    </w:p>
    <w:p>
      <w:pPr>
        <w:spacing w:after="0" w:line="237" w:lineRule="exact"/>
        <w:rPr>
          <w:sz w:val="20"/>
          <w:szCs w:val="20"/>
          <w:color w:val="auto"/>
        </w:rPr>
      </w:pPr>
    </w:p>
    <w:p>
      <w:pPr>
        <w:ind w:right="400"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Actions of and disputes with our joint venture partners could have a material adverse effect on the business and results of operations of our joint ventures and, in turn, our business and consolidated results of operations.</w:t>
      </w:r>
    </w:p>
    <w:p>
      <w:pPr>
        <w:ind w:firstLine="619"/>
        <w:spacing w:after="0" w:line="256" w:lineRule="auto"/>
        <w:rPr>
          <w:sz w:val="20"/>
          <w:szCs w:val="20"/>
          <w:color w:val="auto"/>
        </w:rPr>
      </w:pPr>
      <w:r>
        <w:rPr>
          <w:rFonts w:ascii="Times New Roman" w:cs="Times New Roman" w:eastAsia="Times New Roman" w:hAnsi="Times New Roman"/>
          <w:sz w:val="17"/>
          <w:szCs w:val="17"/>
          <w:color w:val="auto"/>
        </w:rPr>
        <w:t>We conduct some operations through joint ventures in which unaffiliated third parties may control the operations of the joint venture or we may share control. As with any joint venture arrangement, differences in views among the joint venture participants may result in delayed decisions, the joint venture operating in a manner that is contrary to our preference, or failures to agree on major issues. We also cannot control the actions of our joint venture partners, including any violation of law, nonperformance, or default by, or bankruptcy of our joint venture partners. These factors could have a material adverse effect on the business and results of operations of our joint ventures and, in turn, our business and consolidated results of operations.</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The loss or unavailability of any of our executive officers or other key employees could have a material adverse effect on our business.</w:t>
      </w:r>
    </w:p>
    <w:p>
      <w:pPr>
        <w:spacing w:after="0" w:line="34" w:lineRule="exact"/>
        <w:rPr>
          <w:sz w:val="20"/>
          <w:szCs w:val="20"/>
          <w:color w:val="auto"/>
        </w:rPr>
      </w:pPr>
    </w:p>
    <w:p>
      <w:pPr>
        <w:ind w:right="340" w:firstLine="619"/>
        <w:spacing w:after="0" w:line="266" w:lineRule="auto"/>
        <w:rPr>
          <w:sz w:val="20"/>
          <w:szCs w:val="20"/>
          <w:color w:val="auto"/>
        </w:rPr>
      </w:pPr>
      <w:r>
        <w:rPr>
          <w:rFonts w:ascii="Times New Roman" w:cs="Times New Roman" w:eastAsia="Times New Roman" w:hAnsi="Times New Roman"/>
          <w:sz w:val="17"/>
          <w:szCs w:val="17"/>
          <w:color w:val="auto"/>
        </w:rPr>
        <w:t>We depend greatly on the efforts of our executive officers and other key employees to manage our operations. The loss or unavailability of any of our executive officers or other key employees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0" w:name="page21"/>
    <w:bookmarkEnd w:id="20"/>
    <w:p>
      <w:pPr>
        <w:ind w:left="40"/>
        <w:spacing w:after="0"/>
        <w:tabs>
          <w:tab w:leader="none" w:pos="848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1(b) | Unresolved Staff Comments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0" w:lineRule="exact"/>
        <w:rPr>
          <w:sz w:val="20"/>
          <w:szCs w:val="20"/>
          <w:color w:val="auto"/>
        </w:rPr>
      </w:pPr>
    </w:p>
    <w:p>
      <w:pPr>
        <w:ind w:right="80" w:firstLine="619"/>
        <w:spacing w:after="0" w:line="239" w:lineRule="auto"/>
        <w:rPr>
          <w:sz w:val="20"/>
          <w:szCs w:val="20"/>
          <w:color w:val="auto"/>
        </w:rPr>
      </w:pPr>
      <w:r>
        <w:rPr>
          <w:rFonts w:ascii="Times New Roman" w:cs="Times New Roman" w:eastAsia="Times New Roman" w:hAnsi="Times New Roman"/>
          <w:sz w:val="17"/>
          <w:szCs w:val="17"/>
          <w:color w:val="auto"/>
        </w:rPr>
        <w:t>We maintain a cyber risk management program designed to identify, assess, manage, mitigate, and respond to cybersecurity threats. An analysis of the impact, likelihood, and management preparedness of cybersecurity threats to our strategic priorities is integrated into our enterprise risk management program and enterprise risk assessment process. This provides cross-functional and geographical visibility, as well as executive leadership oversight, to address and mitigate associated risks. We engage our internal IT audit group to audit our information security programs, and the results are reported to our executive management and the Audit Committee of our Board of Directors. We also engage third party firms to identify, assess, and manage cybersecurity risks in alignment with cybersecurity standards, including the National Institute of Standards and Technology (NIST) Cyber Security Framework, NIST 800-53, NIST 800-82, and International Electrotechnical Commission 62443.</w:t>
      </w:r>
    </w:p>
    <w:p>
      <w:pPr>
        <w:spacing w:after="0" w:line="205" w:lineRule="exact"/>
        <w:rPr>
          <w:sz w:val="20"/>
          <w:szCs w:val="20"/>
          <w:color w:val="auto"/>
        </w:rPr>
      </w:pPr>
    </w:p>
    <w:p>
      <w:pPr>
        <w:ind w:right="180" w:firstLine="619"/>
        <w:spacing w:after="0" w:line="264" w:lineRule="auto"/>
        <w:rPr>
          <w:sz w:val="20"/>
          <w:szCs w:val="20"/>
          <w:color w:val="auto"/>
        </w:rPr>
      </w:pPr>
      <w:r>
        <w:rPr>
          <w:rFonts w:ascii="Times New Roman" w:cs="Times New Roman" w:eastAsia="Times New Roman" w:hAnsi="Times New Roman"/>
          <w:sz w:val="17"/>
          <w:szCs w:val="17"/>
          <w:color w:val="auto"/>
        </w:rPr>
        <w:t>In managing material risks from cybersecurity threats, we require that a security and technical architecture review is conducted for all new software and applications, and for all changes to the underlying information technology (IT) infrastructure that manages, processes, stores, or transmits our data or data of our customers, vendors, suppliers, joint ventures, or employees. Any deviations from our IT security policies and standards are assessed by our IT Security Governance team. Any critical and high-risk levels that are identified are then documented and reported to relevant key stakeholders.</w:t>
      </w:r>
    </w:p>
    <w:p>
      <w:pPr>
        <w:spacing w:after="0" w:line="197" w:lineRule="exact"/>
        <w:rPr>
          <w:sz w:val="20"/>
          <w:szCs w:val="20"/>
          <w:color w:val="auto"/>
        </w:rPr>
      </w:pPr>
    </w:p>
    <w:p>
      <w:pPr>
        <w:jc w:val="both"/>
        <w:ind w:right="80" w:firstLine="619"/>
        <w:spacing w:after="0" w:line="270" w:lineRule="auto"/>
        <w:rPr>
          <w:sz w:val="20"/>
          <w:szCs w:val="20"/>
          <w:color w:val="auto"/>
        </w:rPr>
      </w:pPr>
      <w:r>
        <w:rPr>
          <w:rFonts w:ascii="Times New Roman" w:cs="Times New Roman" w:eastAsia="Times New Roman" w:hAnsi="Times New Roman"/>
          <w:sz w:val="17"/>
          <w:szCs w:val="17"/>
          <w:color w:val="auto"/>
        </w:rPr>
        <w:t>Our policies and procedures also address the oversight, identification, and mitigation of cybersecurity risks associated with our use of third-party service providers. Our policy requires that each third-party service provider go through a mandatory IT Security Governance review and obtain formal approval by our IT Security Governance group before it can be used.</w:t>
      </w:r>
    </w:p>
    <w:p>
      <w:pPr>
        <w:spacing w:after="0" w:line="191"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We have an Incident Response Plan that defines and documents procedures for assessing, identifying, and managing a cybersecurity incident. This plan requires an Incident Manager to determine whether a cybersecurity incident has occurred and to communicate such findings to the Incident Response Team. In the event there is a cyber security incident, the Incident Manager and the Incident Response Team will assess the cybersecurity incident’s impact as the basis for assigning a preliminary severity rating. The Incident Manager then provides the Chief Information Security Officer (CISO) with a summary and preliminary severity rating and the CISO subsequently notifies the Chief Information Officer (CIO) as appropriate. Cyber Incident Response Leadership, which is comprised of the CIO, CISO, and Incident Manager, assesses situational information and business impact to confirm the preliminary severity rating assessment. The CIO and CISO are responsible for communicating incidents to other members of management as appropriate. Were a cybersecurity incident to occur that was determined to be material by our management and Cyber Incident Response Leadership, they would notify our Board of Directors. Should any incidents occur that have a preliminary severity rating of high or critical, our Cyber Incident Response Leadership would confer with our Cybersecurity Disclosure Committee to determine whether to report the cybersecurity incident in our public filings.</w:t>
      </w:r>
    </w:p>
    <w:p>
      <w:pPr>
        <w:spacing w:after="0" w:line="189" w:lineRule="exact"/>
        <w:rPr>
          <w:sz w:val="20"/>
          <w:szCs w:val="20"/>
          <w:color w:val="auto"/>
        </w:rPr>
      </w:pPr>
    </w:p>
    <w:p>
      <w:pPr>
        <w:ind w:right="180" w:firstLine="619"/>
        <w:spacing w:after="0" w:line="248" w:lineRule="auto"/>
        <w:rPr>
          <w:sz w:val="20"/>
          <w:szCs w:val="20"/>
          <w:color w:val="auto"/>
        </w:rPr>
      </w:pPr>
      <w:r>
        <w:rPr>
          <w:rFonts w:ascii="Times New Roman" w:cs="Times New Roman" w:eastAsia="Times New Roman" w:hAnsi="Times New Roman"/>
          <w:sz w:val="17"/>
          <w:szCs w:val="17"/>
          <w:color w:val="auto"/>
        </w:rPr>
        <w:t>Aside from more immediate reporting of material incidents to our Board of Directors as described above, our CISO provides our Board of Directors an update on cybersecurity during each of its quarterly meetings. This update includes metrics on the effectiveness of technical and human security controls, cybersecurity training program compliance, internal and third-party cybersecurity incidents, and cybersecurity risks. In addition, our Audit Committee receives a detailed update annually from the CIO and CISO, which includes in-depth updates on our cybersecurity program and strategy including cybersecurity risks.</w:t>
      </w:r>
    </w:p>
    <w:p>
      <w:pPr>
        <w:spacing w:after="0" w:line="210"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7"/>
          <w:szCs w:val="17"/>
          <w:color w:val="auto"/>
        </w:rPr>
        <w:t>The CIO leads all components of our IT functions. Our CIO has over 40 years of experience with Halliburton and has had numerous global assignments across all areas of IT delivery, operations, and management. Our CISO has served in that role since 2021. Since joining Halliburton in 2010, the CISO has held various leadership roles in IT, including architecture, infrastructure management and security, and enterprise platform management.</w:t>
      </w:r>
    </w:p>
    <w:p>
      <w:pPr>
        <w:spacing w:after="0" w:line="191" w:lineRule="exact"/>
        <w:rPr>
          <w:sz w:val="20"/>
          <w:szCs w:val="20"/>
          <w:color w:val="auto"/>
        </w:rPr>
      </w:pPr>
    </w:p>
    <w:p>
      <w:pPr>
        <w:ind w:right="240" w:firstLine="619"/>
        <w:spacing w:after="0" w:line="264" w:lineRule="auto"/>
        <w:rPr>
          <w:sz w:val="20"/>
          <w:szCs w:val="20"/>
          <w:color w:val="auto"/>
        </w:rPr>
      </w:pPr>
      <w:r>
        <w:rPr>
          <w:rFonts w:ascii="Times New Roman" w:cs="Times New Roman" w:eastAsia="Times New Roman" w:hAnsi="Times New Roman"/>
          <w:sz w:val="17"/>
          <w:szCs w:val="17"/>
          <w:color w:val="auto"/>
        </w:rPr>
        <w:t>No unauthorized access to customer, vendor, supplier, joint venture, employee or our data occurred as a result of cybersecurity incidents against us that has had a material adverse effect on our business, operations, or consolidated financial condition. If our systems, or our customers' or suppliers' systems, for protecting against cybersecurity incidents prove to be insufficient, a cybersecurity incident could have a material adverse effect on our business, operations, or consolidated financial condition. See additional information about our cybersecurity risks under General Risk factors in Item1(a) Risk Factors.</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1" w:name="page22"/>
    <w:bookmarkEnd w:id="21"/>
    <w:p>
      <w:pPr>
        <w:ind w:left="20"/>
        <w:spacing w:after="0"/>
        <w:tabs>
          <w:tab w:leader="none" w:pos="99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2 | Properties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32" w:lineRule="exact"/>
        <w:rPr>
          <w:sz w:val="20"/>
          <w:szCs w:val="20"/>
          <w:color w:val="auto"/>
        </w:rPr>
      </w:pPr>
    </w:p>
    <w:p>
      <w:pPr>
        <w:ind w:right="200" w:firstLine="619"/>
        <w:spacing w:after="0" w:line="257" w:lineRule="auto"/>
        <w:rPr>
          <w:sz w:val="20"/>
          <w:szCs w:val="20"/>
          <w:color w:val="auto"/>
        </w:rPr>
      </w:pPr>
      <w:r>
        <w:rPr>
          <w:rFonts w:ascii="Times New Roman" w:cs="Times New Roman" w:eastAsia="Times New Roman" w:hAnsi="Times New Roman"/>
          <w:sz w:val="17"/>
          <w:szCs w:val="17"/>
          <w:color w:val="auto"/>
        </w:rPr>
        <w:t>We own or lease numerous properties in domestic and foreign locations. Our principal properties include manufacturing facilities, research and development laboratories, technology centers, and corporate offices. We also have numerous small facilities that include sales, project, support offices, and bulk storage facilities throughout the world. Our owned properties have no material encumbrances. We believe all properties that we currently occupy are suitable for their intended use.</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locations represent our major facilities by segment:</w:t>
      </w:r>
    </w:p>
    <w:p>
      <w:pPr>
        <w:spacing w:after="0" w:line="58" w:lineRule="exact"/>
        <w:rPr>
          <w:sz w:val="20"/>
          <w:szCs w:val="20"/>
          <w:color w:val="auto"/>
        </w:rPr>
      </w:pPr>
    </w:p>
    <w:p>
      <w:pPr>
        <w:ind w:left="780" w:right="20" w:hanging="155"/>
        <w:spacing w:after="0" w:line="284" w:lineRule="auto"/>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Completion and Production:</w:t>
      </w:r>
      <w:r>
        <w:rPr>
          <w:rFonts w:ascii="Times New Roman" w:cs="Times New Roman" w:eastAsia="Times New Roman" w:hAnsi="Times New Roman"/>
          <w:sz w:val="17"/>
          <w:szCs w:val="17"/>
          <w:color w:val="auto"/>
        </w:rPr>
        <w:t xml:space="preserve"> Arbroath, United Kingdom; Duncan, Oklahoma; Johor Bahru, Malaysia; Jubail, Saudi Arabia; Lafayette, Louisiana; Tulsa, Oklahoma; and Singapore</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Drilling and Evaluation:</w:t>
      </w:r>
      <w:r>
        <w:rPr>
          <w:rFonts w:ascii="Times New Roman" w:cs="Times New Roman" w:eastAsia="Times New Roman" w:hAnsi="Times New Roman"/>
          <w:sz w:val="17"/>
          <w:szCs w:val="17"/>
          <w:color w:val="auto"/>
        </w:rPr>
        <w:t xml:space="preserve"> Alvarado, Texas and The Woodlands, Texas</w:t>
      </w:r>
    </w:p>
    <w:p>
      <w:pPr>
        <w:spacing w:after="0" w:line="62" w:lineRule="exact"/>
        <w:rPr>
          <w:sz w:val="20"/>
          <w:szCs w:val="20"/>
          <w:color w:val="auto"/>
        </w:rPr>
      </w:pPr>
    </w:p>
    <w:p>
      <w:pPr>
        <w:jc w:val="right"/>
        <w:ind w:left="780" w:right="420" w:hanging="155"/>
        <w:spacing w:after="0" w:line="292" w:lineRule="auto"/>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Shared/corporate facilities:</w:t>
      </w:r>
      <w:r>
        <w:rPr>
          <w:rFonts w:ascii="Times New Roman" w:cs="Times New Roman" w:eastAsia="Times New Roman" w:hAnsi="Times New Roman"/>
          <w:sz w:val="17"/>
          <w:szCs w:val="17"/>
          <w:color w:val="auto"/>
        </w:rPr>
        <w:t xml:space="preserve"> Bangalore, India; Carrollton, Texas; Dhahran, Saudi Arabia; Dubai, United Arab Emirates; Houston, Texas (corporate executive offices); Kuala Lumpur, Malaysia; London, England; Panama City, Panama; Pune, India; Rio de Janeiro, Brazil; and Tananger, Norway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Information related to Item 3. Legal Proceedings is included in Note 11 to the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32" w:lineRule="exact"/>
        <w:rPr>
          <w:sz w:val="20"/>
          <w:szCs w:val="20"/>
          <w:color w:val="auto"/>
        </w:rPr>
      </w:pPr>
    </w:p>
    <w:p>
      <w:pPr>
        <w:ind w:right="120" w:firstLine="619"/>
        <w:spacing w:after="0" w:line="257" w:lineRule="auto"/>
        <w:rPr>
          <w:sz w:val="20"/>
          <w:szCs w:val="20"/>
          <w:color w:val="auto"/>
        </w:rPr>
      </w:pPr>
      <w:r>
        <w:rPr>
          <w:rFonts w:ascii="Times New Roman" w:cs="Times New Roman" w:eastAsia="Times New Roman" w:hAnsi="Times New Roman"/>
          <w:sz w:val="17"/>
          <w:szCs w:val="17"/>
          <w:color w:val="auto"/>
        </w:rPr>
        <w:t>Our barite and bentonite mining operations, in support of our fluid services business, are subject to regulation by the U.S.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(17 CFR 229.104) is included in Exhibit 95 to this annual report.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2" w:name="page23"/>
    <w:bookmarkEnd w:id="22"/>
    <w:p>
      <w:pPr>
        <w:ind w:left="20"/>
        <w:spacing w:after="0"/>
        <w:tabs>
          <w:tab w:leader="none" w:pos="296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5 | Market for Registrant's Common Equity, Related Stockholder Matters and Issuer Purchases of Equity Securities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32" w:lineRule="exact"/>
        <w:rPr>
          <w:sz w:val="20"/>
          <w:szCs w:val="20"/>
          <w:color w:val="auto"/>
        </w:rPr>
      </w:pPr>
    </w:p>
    <w:p>
      <w:pPr>
        <w:ind w:right="80" w:firstLine="619"/>
        <w:spacing w:after="0" w:line="257" w:lineRule="auto"/>
        <w:rPr>
          <w:sz w:val="20"/>
          <w:szCs w:val="20"/>
          <w:color w:val="auto"/>
        </w:rPr>
      </w:pPr>
      <w:r>
        <w:rPr>
          <w:rFonts w:ascii="Times New Roman" w:cs="Times New Roman" w:eastAsia="Times New Roman" w:hAnsi="Times New Roman"/>
          <w:sz w:val="17"/>
          <w:szCs w:val="17"/>
          <w:color w:val="auto"/>
        </w:rPr>
        <w:t>Halliburton Company’s common stock is traded on the New York Stock Exchange under the symbol "HAL." Information related to dividend payments is included in "Item 8. Financial Statements and Supplementary Data." The declaration and payment of future dividends will be at the discretion of the Board of Directors and will depend on, among other things, future earnings, general financial condition and liquidity, success in business activities, capital requirements, and general business conditions.</w:t>
      </w:r>
    </w:p>
    <w:p>
      <w:pPr>
        <w:spacing w:after="0" w:line="203"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The following graph and table compare total shareholder return on our common stock for the five-year period ended December 31, 2023, with the Philadelphia Oil Service Index (OSX) and the Standard &amp; Poor’s 500 ® Index over the same period. This comparison assumes the investment of $100 on December 31, 2018 and the reinvestment of all dividends. The shareholder return set forth is not necessarily indicative of future performance. The following graph and related information shall not be deemed “soliciting material” or to be “filed” with the SEC, nor shall such information be incorporated by reference into any future filing under the Securities Act of 1933 or the Securities Exchange Act of 1934, except to the extent that Halliburton specifically incorporates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136525</wp:posOffset>
            </wp:positionV>
            <wp:extent cx="5026660" cy="39293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26660" cy="392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4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514"/>
              <w:spacing w:after="0"/>
              <w:rPr>
                <w:sz w:val="20"/>
                <w:szCs w:val="20"/>
                <w:color w:val="auto"/>
              </w:rPr>
            </w:pPr>
            <w:r>
              <w:rPr>
                <w:rFonts w:ascii="Times New Roman" w:cs="Times New Roman" w:eastAsia="Times New Roman" w:hAnsi="Times New Roman"/>
                <w:sz w:val="17"/>
                <w:szCs w:val="17"/>
                <w:color w:val="auto"/>
              </w:rPr>
              <w:t>December 31</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12"/>
        </w:trPr>
        <w:tc>
          <w:tcPr>
            <w:tcW w:w="4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2018</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2019</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2020</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2021</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2022</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Halliburton</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95.05</w:t>
            </w:r>
          </w:p>
        </w:tc>
        <w:tc>
          <w:tcPr>
            <w:tcW w:w="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74.91</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91.38</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159.46</w:t>
            </w:r>
          </w:p>
        </w:tc>
        <w:tc>
          <w:tcPr>
            <w:tcW w:w="2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149.16</w:t>
            </w:r>
          </w:p>
        </w:tc>
      </w:tr>
      <w:tr>
        <w:trPr>
          <w:trHeight w:val="219"/>
        </w:trPr>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Philadelphia Oil Service Index (OSX)</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99.45</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69.55</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112.32</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114.47</w:t>
            </w:r>
          </w:p>
        </w:tc>
      </w:tr>
      <w:tr>
        <w:trPr>
          <w:trHeight w:val="244"/>
        </w:trPr>
        <w:tc>
          <w:tcPr>
            <w:tcW w:w="4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Standard &amp; Poor’s 500 ® Index</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131.49</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155.68</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200.37</w:t>
            </w: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164.08</w:t>
            </w: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207.21</w:t>
            </w:r>
          </w:p>
        </w:tc>
      </w:tr>
      <w:tr>
        <w:trPr>
          <w:trHeight w:val="20"/>
        </w:trPr>
        <w:tc>
          <w:tcPr>
            <w:tcW w:w="4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3" w:name="page24"/>
    <w:bookmarkEnd w:id="23"/>
    <w:p>
      <w:pPr>
        <w:ind w:left="20"/>
        <w:spacing w:after="0"/>
        <w:tabs>
          <w:tab w:leader="none" w:pos="296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5 | Market for Registrant's Common Equity, Related Stockholder Matters and Issuer Purchases of Equity Securities</w:t>
      </w:r>
    </w:p>
    <w:p>
      <w:pPr>
        <w:spacing w:after="0" w:line="200" w:lineRule="exact"/>
        <w:rPr>
          <w:sz w:val="20"/>
          <w:szCs w:val="20"/>
          <w:color w:val="auto"/>
        </w:rPr>
      </w:pPr>
    </w:p>
    <w:p>
      <w:pPr>
        <w:spacing w:after="0" w:line="339" w:lineRule="exact"/>
        <w:rPr>
          <w:sz w:val="20"/>
          <w:szCs w:val="20"/>
          <w:color w:val="auto"/>
        </w:rPr>
      </w:pPr>
    </w:p>
    <w:p>
      <w:pPr>
        <w:ind w:right="80" w:firstLine="619"/>
        <w:spacing w:after="0" w:line="287" w:lineRule="auto"/>
        <w:rPr>
          <w:sz w:val="20"/>
          <w:szCs w:val="20"/>
          <w:color w:val="auto"/>
        </w:rPr>
      </w:pPr>
      <w:r>
        <w:rPr>
          <w:rFonts w:ascii="Times New Roman" w:cs="Times New Roman" w:eastAsia="Times New Roman" w:hAnsi="Times New Roman"/>
          <w:sz w:val="17"/>
          <w:szCs w:val="17"/>
          <w:color w:val="auto"/>
        </w:rPr>
        <w:t>At January 30, 2024, we had 9,706 shareholders of record. In calculating the number of shareholders, we consider clearing agencies and security position listings as one shareholder for each agency or listing.</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is a summary of repurchases of our common stock during the three-month period ended December 31, 2023.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Total Number</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Maximum</w:t>
            </w:r>
          </w:p>
        </w:tc>
        <w:tc>
          <w:tcPr>
            <w:tcW w:w="0" w:type="dxa"/>
            <w:vAlign w:val="bottom"/>
          </w:tcPr>
          <w:p>
            <w:pPr>
              <w:spacing w:after="0"/>
              <w:rPr>
                <w:sz w:val="1"/>
                <w:szCs w:val="1"/>
                <w:color w:val="auto"/>
              </w:rPr>
            </w:pPr>
          </w:p>
        </w:tc>
      </w:tr>
      <w:tr>
        <w:trPr>
          <w:trHeight w:val="168"/>
        </w:trPr>
        <w:tc>
          <w:tcPr>
            <w:tcW w:w="35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214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rPr>
              <w:t>Number (or</w:t>
            </w:r>
          </w:p>
        </w:tc>
        <w:tc>
          <w:tcPr>
            <w:tcW w:w="0" w:type="dxa"/>
            <w:vAlign w:val="bottom"/>
          </w:tcPr>
          <w:p>
            <w:pPr>
              <w:spacing w:after="0"/>
              <w:rPr>
                <w:sz w:val="1"/>
                <w:szCs w:val="1"/>
                <w:color w:val="auto"/>
              </w:rPr>
            </w:pPr>
          </w:p>
        </w:tc>
      </w:tr>
      <w:tr>
        <w:trPr>
          <w:trHeight w:val="180"/>
        </w:trPr>
        <w:tc>
          <w:tcPr>
            <w:tcW w:w="35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6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of Shares</w:t>
            </w:r>
          </w:p>
        </w:tc>
        <w:tc>
          <w:tcPr>
            <w:tcW w:w="21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Approximate</w:t>
            </w:r>
          </w:p>
        </w:tc>
        <w:tc>
          <w:tcPr>
            <w:tcW w:w="0" w:type="dxa"/>
            <w:vAlign w:val="bottom"/>
          </w:tcPr>
          <w:p>
            <w:pPr>
              <w:spacing w:after="0"/>
              <w:rPr>
                <w:sz w:val="1"/>
                <w:szCs w:val="1"/>
                <w:color w:val="auto"/>
              </w:rPr>
            </w:pPr>
          </w:p>
        </w:tc>
      </w:tr>
      <w:tr>
        <w:trPr>
          <w:trHeight w:val="168"/>
        </w:trPr>
        <w:tc>
          <w:tcPr>
            <w:tcW w:w="3520" w:type="dxa"/>
            <w:vAlign w:val="bottom"/>
          </w:tcPr>
          <w:p>
            <w:pPr>
              <w:spacing w:after="0"/>
              <w:rPr>
                <w:sz w:val="14"/>
                <w:szCs w:val="14"/>
                <w:color w:val="auto"/>
              </w:rPr>
            </w:pPr>
          </w:p>
        </w:tc>
        <w:tc>
          <w:tcPr>
            <w:tcW w:w="256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color w:val="auto"/>
              </w:rPr>
              <w:t>Total Number</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Average</w:t>
            </w:r>
          </w:p>
        </w:tc>
        <w:tc>
          <w:tcPr>
            <w:tcW w:w="176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rPr>
              <w:t>Purchased as</w:t>
            </w:r>
          </w:p>
        </w:tc>
        <w:tc>
          <w:tcPr>
            <w:tcW w:w="214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7"/>
              </w:rPr>
              <w:t>Dollar Value) of</w:t>
            </w:r>
          </w:p>
        </w:tc>
        <w:tc>
          <w:tcPr>
            <w:tcW w:w="0" w:type="dxa"/>
            <w:vAlign w:val="bottom"/>
          </w:tcPr>
          <w:p>
            <w:pPr>
              <w:spacing w:after="0"/>
              <w:rPr>
                <w:sz w:val="1"/>
                <w:szCs w:val="1"/>
                <w:color w:val="auto"/>
              </w:rPr>
            </w:pPr>
          </w:p>
        </w:tc>
      </w:tr>
      <w:tr>
        <w:trPr>
          <w:trHeight w:val="168"/>
        </w:trPr>
        <w:tc>
          <w:tcPr>
            <w:tcW w:w="3520" w:type="dxa"/>
            <w:vAlign w:val="bottom"/>
          </w:tcPr>
          <w:p>
            <w:pPr>
              <w:spacing w:after="0"/>
              <w:rPr>
                <w:sz w:val="14"/>
                <w:szCs w:val="14"/>
                <w:color w:val="auto"/>
              </w:rPr>
            </w:pPr>
          </w:p>
        </w:tc>
        <w:tc>
          <w:tcPr>
            <w:tcW w:w="25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76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rPr>
              <w:t>Part of Publicly</w:t>
            </w:r>
          </w:p>
        </w:tc>
        <w:tc>
          <w:tcPr>
            <w:tcW w:w="214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rPr>
              <w:t>Shares that may yet</w:t>
            </w:r>
          </w:p>
        </w:tc>
        <w:tc>
          <w:tcPr>
            <w:tcW w:w="0" w:type="dxa"/>
            <w:vAlign w:val="bottom"/>
          </w:tcPr>
          <w:p>
            <w:pPr>
              <w:spacing w:after="0"/>
              <w:rPr>
                <w:sz w:val="1"/>
                <w:szCs w:val="1"/>
                <w:color w:val="auto"/>
              </w:rPr>
            </w:pPr>
          </w:p>
        </w:tc>
      </w:tr>
      <w:tr>
        <w:trPr>
          <w:trHeight w:val="180"/>
        </w:trPr>
        <w:tc>
          <w:tcPr>
            <w:tcW w:w="3520" w:type="dxa"/>
            <w:vAlign w:val="bottom"/>
            <w:vMerge w:val="restart"/>
          </w:tcPr>
          <w:p>
            <w:pPr>
              <w:ind w:left="2020"/>
              <w:spacing w:after="0"/>
              <w:rPr>
                <w:sz w:val="20"/>
                <w:szCs w:val="20"/>
                <w:color w:val="auto"/>
              </w:rPr>
            </w:pPr>
            <w:r>
              <w:rPr>
                <w:rFonts w:ascii="Times New Roman" w:cs="Times New Roman" w:eastAsia="Times New Roman" w:hAnsi="Times New Roman"/>
                <w:sz w:val="17"/>
                <w:szCs w:val="17"/>
                <w:color w:val="auto"/>
              </w:rPr>
              <w:t>Period</w:t>
            </w:r>
          </w:p>
        </w:tc>
        <w:tc>
          <w:tcPr>
            <w:tcW w:w="2560" w:type="dxa"/>
            <w:vAlign w:val="bottom"/>
          </w:tcPr>
          <w:p>
            <w:pPr>
              <w:jc w:val="right"/>
              <w:ind w:right="34"/>
              <w:spacing w:after="0" w:line="181" w:lineRule="exact"/>
              <w:rPr>
                <w:sz w:val="20"/>
                <w:szCs w:val="20"/>
                <w:color w:val="auto"/>
              </w:rPr>
            </w:pPr>
            <w:r>
              <w:rPr>
                <w:rFonts w:ascii="Times New Roman" w:cs="Times New Roman" w:eastAsia="Times New Roman" w:hAnsi="Times New Roman"/>
                <w:sz w:val="17"/>
                <w:szCs w:val="17"/>
                <w:color w:val="auto"/>
              </w:rPr>
              <w:t>of Shares Purchased</w:t>
            </w: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Price Paid per</w:t>
            </w:r>
          </w:p>
        </w:tc>
        <w:tc>
          <w:tcPr>
            <w:tcW w:w="176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Announced Plans or</w:t>
            </w:r>
          </w:p>
        </w:tc>
        <w:tc>
          <w:tcPr>
            <w:tcW w:w="21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be Purchased Under the</w:t>
            </w:r>
          </w:p>
        </w:tc>
        <w:tc>
          <w:tcPr>
            <w:tcW w:w="0" w:type="dxa"/>
            <w:vAlign w:val="bottom"/>
          </w:tcPr>
          <w:p>
            <w:pPr>
              <w:spacing w:after="0"/>
              <w:rPr>
                <w:sz w:val="1"/>
                <w:szCs w:val="1"/>
                <w:color w:val="auto"/>
              </w:rPr>
            </w:pPr>
          </w:p>
        </w:tc>
      </w:tr>
      <w:tr>
        <w:trPr>
          <w:trHeight w:val="219"/>
        </w:trPr>
        <w:tc>
          <w:tcPr>
            <w:tcW w:w="3520" w:type="dxa"/>
            <w:vAlign w:val="bottom"/>
            <w:tcBorders>
              <w:bottom w:val="single" w:sz="8" w:color="auto"/>
            </w:tcBorders>
            <w:vMerge w:val="continue"/>
          </w:tcPr>
          <w:p>
            <w:pPr>
              <w:spacing w:after="0"/>
              <w:rPr>
                <w:sz w:val="19"/>
                <w:szCs w:val="19"/>
                <w:color w:val="auto"/>
              </w:rPr>
            </w:pPr>
          </w:p>
        </w:tc>
        <w:tc>
          <w:tcPr>
            <w:tcW w:w="25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color w:val="auto"/>
              </w:rPr>
              <w:t>(a)</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Share</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Programs (b)</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Program (b)</w:t>
            </w:r>
          </w:p>
        </w:tc>
        <w:tc>
          <w:tcPr>
            <w:tcW w:w="0" w:type="dxa"/>
            <w:vAlign w:val="bottom"/>
          </w:tcPr>
          <w:p>
            <w:pPr>
              <w:spacing w:after="0"/>
              <w:rPr>
                <w:sz w:val="1"/>
                <w:szCs w:val="1"/>
                <w:color w:val="auto"/>
              </w:rPr>
            </w:pPr>
          </w:p>
        </w:tc>
      </w:tr>
      <w:tr>
        <w:trPr>
          <w:trHeight w:val="21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October 1 - 31</w:t>
            </w:r>
          </w:p>
        </w:tc>
        <w:tc>
          <w:tcPr>
            <w:tcW w:w="25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1,474,942</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$40.61</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1,431,000</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$4,241,905,197</w:t>
            </w:r>
          </w:p>
        </w:tc>
        <w:tc>
          <w:tcPr>
            <w:tcW w:w="0" w:type="dxa"/>
            <w:vAlign w:val="bottom"/>
          </w:tcPr>
          <w:p>
            <w:pPr>
              <w:spacing w:after="0"/>
              <w:rPr>
                <w:sz w:val="1"/>
                <w:szCs w:val="1"/>
                <w:color w:val="auto"/>
              </w:rPr>
            </w:pPr>
          </w:p>
        </w:tc>
      </w:tr>
      <w:tr>
        <w:trPr>
          <w:trHeight w:val="219"/>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November 1 - 30</w:t>
            </w:r>
          </w:p>
        </w:tc>
        <w:tc>
          <w:tcPr>
            <w:tcW w:w="25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2,807,954</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$38.30</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2,783,140</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$4,135,330,879</w:t>
            </w:r>
          </w:p>
        </w:tc>
        <w:tc>
          <w:tcPr>
            <w:tcW w:w="0" w:type="dxa"/>
            <w:vAlign w:val="bottom"/>
          </w:tcPr>
          <w:p>
            <w:pPr>
              <w:spacing w:after="0"/>
              <w:rPr>
                <w:sz w:val="1"/>
                <w:szCs w:val="1"/>
                <w:color w:val="auto"/>
              </w:rPr>
            </w:pPr>
          </w:p>
        </w:tc>
      </w:tr>
      <w:tr>
        <w:trPr>
          <w:trHeight w:val="219"/>
        </w:trPr>
        <w:tc>
          <w:tcPr>
            <w:tcW w:w="3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1 - 31</w:t>
            </w:r>
          </w:p>
        </w:tc>
        <w:tc>
          <w:tcPr>
            <w:tcW w:w="25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2,511,044</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$36.00</w:t>
            </w:r>
          </w:p>
        </w:tc>
        <w:tc>
          <w:tcPr>
            <w:tcW w:w="1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2,374,358</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$4,050,012,812</w:t>
            </w:r>
          </w:p>
        </w:tc>
        <w:tc>
          <w:tcPr>
            <w:tcW w:w="0" w:type="dxa"/>
            <w:vAlign w:val="bottom"/>
          </w:tcPr>
          <w:p>
            <w:pPr>
              <w:spacing w:after="0"/>
              <w:rPr>
                <w:sz w:val="1"/>
                <w:szCs w:val="1"/>
                <w:color w:val="auto"/>
              </w:rPr>
            </w:pPr>
          </w:p>
        </w:tc>
      </w:tr>
      <w:tr>
        <w:trPr>
          <w:trHeight w:val="212"/>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5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6,793,940</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$37.96</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6,588,498</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360" w:right="20" w:hanging="340"/>
        <w:spacing w:after="0" w:line="238" w:lineRule="auto"/>
        <w:tabs>
          <w:tab w:leader="none" w:pos="3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6,793,940 shares purchased during the three-month period ended December 31, 2023, 205,442 were acquired from employees in connection with the settlement of income tax and related benefit withholding obligations arising from vesting in restricted stock grants. These shares were not part of a publicly announced program to purchase common stock.</w:t>
      </w:r>
    </w:p>
    <w:p>
      <w:pPr>
        <w:spacing w:after="0" w:line="3" w:lineRule="exact"/>
        <w:rPr>
          <w:rFonts w:ascii="Times New Roman" w:cs="Times New Roman" w:eastAsia="Times New Roman" w:hAnsi="Times New Roman"/>
          <w:sz w:val="14"/>
          <w:szCs w:val="14"/>
          <w:color w:val="auto"/>
        </w:rPr>
      </w:pPr>
    </w:p>
    <w:p>
      <w:pPr>
        <w:jc w:val="both"/>
        <w:ind w:left="360" w:right="20" w:hanging="340"/>
        <w:spacing w:after="0" w:line="223" w:lineRule="auto"/>
        <w:tabs>
          <w:tab w:leader="none" w:pos="3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has authorized a plan to repurchase a specified dollar amount of our common stock from time to time. Approximately $4.1 billion remained authorized for repurchases as of December 31, 2023. From the inception of this program in February 2006 through December 31, 2023, we repurchased approximately 253 million shares of our common stock for a total cost of approximately $10.1 billion.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4" w:name="page25"/>
    <w:bookmarkEnd w:id="24"/>
    <w:p>
      <w:pPr>
        <w:ind w:left="40"/>
        <w:spacing w:after="0"/>
        <w:tabs>
          <w:tab w:leader="none" w:pos="92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Executive Overview</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32" w:lineRule="exact"/>
        <w:rPr>
          <w:sz w:val="20"/>
          <w:szCs w:val="20"/>
          <w:color w:val="auto"/>
        </w:rPr>
      </w:pPr>
    </w:p>
    <w:p>
      <w:pPr>
        <w:ind w:right="180" w:firstLine="619"/>
        <w:spacing w:after="0" w:line="266" w:lineRule="auto"/>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(MD&amp;A) should be read in conjunction with the consolidated and combined financial statements included in "Item 8. Financial Statements and Supplementary Data" contained herein.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OVERVIEW</w:t>
      </w: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Market conditions</w:t>
      </w:r>
    </w:p>
    <w:p>
      <w:pPr>
        <w:spacing w:after="0" w:line="34"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Since early 2020, world-wide oil and natural gas supply and demand imbalances and related volatility of oil and natural gas prices (including as a result of the COVID-19 pandemic) have resulted in dramatic fluctuations in oil and natural gas markets. The volatility continued in 2023 as markets were impacted by central bank rate hikes, macroeconomic uncertainty, non-OPEC supply growth, and renewed geopolitical unrest in the Middle East. In the U.S., oil and natural gas production in 2023 remained elevated, despite a generally declining rig count, as a result of the industry's focus on efficiencies, higher service intensity, and high-quality acreage. Lower commodity pricing and U.S. land rig counts generally contributed to softness in the market for energy products and services in North America, particularly in natural gas basins during the second half of 2023. Conversely, the international rig count showed steady growth in 2023 largely driven by national oil companies (NOCs) in the Middle East/Asia and Africa.</w:t>
      </w:r>
    </w:p>
    <w:p>
      <w:pPr>
        <w:spacing w:after="0" w:line="205" w:lineRule="exact"/>
        <w:rPr>
          <w:sz w:val="20"/>
          <w:szCs w:val="20"/>
          <w:color w:val="auto"/>
        </w:rPr>
      </w:pPr>
    </w:p>
    <w:p>
      <w:pPr>
        <w:ind w:right="160" w:firstLine="619"/>
        <w:spacing w:after="0" w:line="264" w:lineRule="auto"/>
        <w:rPr>
          <w:sz w:val="20"/>
          <w:szCs w:val="20"/>
          <w:color w:val="auto"/>
        </w:rPr>
      </w:pPr>
      <w:r>
        <w:rPr>
          <w:rFonts w:ascii="Times New Roman" w:cs="Times New Roman" w:eastAsia="Times New Roman" w:hAnsi="Times New Roman"/>
          <w:sz w:val="17"/>
          <w:szCs w:val="17"/>
          <w:color w:val="auto"/>
        </w:rPr>
        <w:t>Globally, we continue to be impacted by increased supply chain lead times for the supply of select raw materials. We monitor market trends and work to mitigate cost impacts through economies of scale in global procurement, technology modifications, and efficient sourcing practices. Also, while we have been impacted by inflationary cost increases, primarily related to chemicals, cement, and logistics costs, we generally try to pass much of those increases on to our customers and we believe we have effective solutions to minimize their operational impact.</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Financial results</w:t>
      </w:r>
    </w:p>
    <w:p>
      <w:pPr>
        <w:spacing w:after="0" w:line="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graph illustrates our revenue and operating margins for each operating segment over the past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6350</wp:posOffset>
            </wp:positionV>
            <wp:extent cx="4396105" cy="1964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96105" cy="196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0" w:firstLine="619"/>
        <w:spacing w:after="0" w:line="264" w:lineRule="auto"/>
        <w:rPr>
          <w:sz w:val="20"/>
          <w:szCs w:val="20"/>
          <w:color w:val="auto"/>
        </w:rPr>
      </w:pPr>
      <w:r>
        <w:rPr>
          <w:rFonts w:ascii="Times New Roman" w:cs="Times New Roman" w:eastAsia="Times New Roman" w:hAnsi="Times New Roman"/>
          <w:sz w:val="17"/>
          <w:szCs w:val="17"/>
          <w:color w:val="auto"/>
        </w:rPr>
        <w:t>During 2023, we generated total company revenue of $23.0 billion, a 13% increase from the $20.3 billion of revenue generated in 2022, with our Completion and Production (C&amp;P) segment revenue increasing by 18% and our Drilling and Evaluation (D&amp;E) segment revenue increasing by 7%. We reported total company operating income of approximately $4.1 billion in 2023, compared to operating income of $2.7 billion in 2022. These increases were driven by increased demand for our products and services in all four of our geographic regions.</w:t>
      </w:r>
    </w:p>
    <w:p>
      <w:pPr>
        <w:spacing w:after="0" w:line="184" w:lineRule="exact"/>
        <w:rPr>
          <w:sz w:val="20"/>
          <w:szCs w:val="20"/>
          <w:color w:val="auto"/>
        </w:rPr>
      </w:pPr>
    </w:p>
    <w:p>
      <w:pPr>
        <w:ind w:right="20" w:firstLine="619"/>
        <w:spacing w:after="0" w:line="254" w:lineRule="auto"/>
        <w:rPr>
          <w:sz w:val="20"/>
          <w:szCs w:val="20"/>
          <w:color w:val="auto"/>
        </w:rPr>
      </w:pPr>
      <w:r>
        <w:rPr>
          <w:rFonts w:ascii="Times New Roman" w:cs="Times New Roman" w:eastAsia="Times New Roman" w:hAnsi="Times New Roman"/>
          <w:sz w:val="17"/>
          <w:szCs w:val="17"/>
          <w:color w:val="auto"/>
        </w:rPr>
        <w:t>Our North America revenue increased 9% in 2023 compared to 2022, despite a 4% decrease in average rig count from 2022, resulting from higher pressure pumping and artificial lift activity in North America land, increased completion tool sales in the Gulf of Mexico, and improved fluid and wireline services across the region.</w:t>
      </w:r>
    </w:p>
    <w:p>
      <w:pPr>
        <w:spacing w:after="0" w:line="192" w:lineRule="exact"/>
        <w:rPr>
          <w:sz w:val="20"/>
          <w:szCs w:val="20"/>
          <w:color w:val="auto"/>
        </w:rPr>
      </w:pPr>
    </w:p>
    <w:p>
      <w:pPr>
        <w:jc w:val="both"/>
        <w:ind w:right="380" w:firstLine="619"/>
        <w:spacing w:after="0" w:line="270" w:lineRule="auto"/>
        <w:rPr>
          <w:sz w:val="20"/>
          <w:szCs w:val="20"/>
          <w:color w:val="auto"/>
        </w:rPr>
      </w:pPr>
      <w:r>
        <w:rPr>
          <w:rFonts w:ascii="Times New Roman" w:cs="Times New Roman" w:eastAsia="Times New Roman" w:hAnsi="Times New Roman"/>
          <w:sz w:val="17"/>
          <w:szCs w:val="17"/>
          <w:color w:val="auto"/>
        </w:rPr>
        <w:t>Internationally, revenue improved 17% in 2023 compared to 2022, primarily driven by higher activity for drilling and completions related services in Latin America, Africa, and the Middle East/Asia, which was partially offset by our exit from Russia in the third quarter of 2022. The international average rig count for 2023 increased 11% compared to 2022.</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5" w:name="page26"/>
    <w:bookmarkEnd w:id="25"/>
    <w:p>
      <w:pPr>
        <w:ind w:left="40"/>
        <w:spacing w:after="0"/>
        <w:tabs>
          <w:tab w:leader="none" w:pos="92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Executive Overview</w:t>
      </w:r>
    </w:p>
    <w:p>
      <w:pPr>
        <w:spacing w:after="0" w:line="200" w:lineRule="exact"/>
        <w:rPr>
          <w:sz w:val="20"/>
          <w:szCs w:val="20"/>
          <w:color w:val="auto"/>
        </w:rPr>
      </w:pPr>
    </w:p>
    <w:p>
      <w:pPr>
        <w:spacing w:after="0" w:line="339"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Our operating performance and liquidity are described in more detail in “Liquidity and Capital Resources” and “Business Environment and Results of Operations.”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Sustainability and Energy Mix Transition</w:t>
      </w:r>
    </w:p>
    <w:p>
      <w:pPr>
        <w:spacing w:after="0" w:line="34" w:lineRule="exact"/>
        <w:rPr>
          <w:sz w:val="20"/>
          <w:szCs w:val="20"/>
          <w:color w:val="auto"/>
        </w:rPr>
      </w:pPr>
    </w:p>
    <w:p>
      <w:pPr>
        <w:ind w:right="60" w:firstLine="619"/>
        <w:spacing w:after="0" w:line="255" w:lineRule="auto"/>
        <w:rPr>
          <w:sz w:val="20"/>
          <w:szCs w:val="20"/>
          <w:color w:val="auto"/>
        </w:rPr>
      </w:pPr>
      <w:r>
        <w:rPr>
          <w:rFonts w:ascii="Times New Roman" w:cs="Times New Roman" w:eastAsia="Times New Roman" w:hAnsi="Times New Roman"/>
          <w:sz w:val="17"/>
          <w:szCs w:val="17"/>
          <w:color w:val="auto"/>
        </w:rPr>
        <w:t>In the first quarter of 2021, we announced our target to achieve a 40% reduction in our Scope 1 and 2 emissions by 2035 from the 2018 baseline. During 2023, we continued to execute on priorities we set up to help us progress toward our 2035 emissions reduction target. As our customers have begun to invest more in emissions reduction, we have developed or are developing solutions intended to reduce our own carbon footprint while advancing our customers’ decarbonization efforts. As the energy mix transition unfolds, we seek to apply our expertise and products and services across different parts of the energy value chain. We have also applied our experience and resources in sectors adjacent to our traditional oilfield services space, including carbon capture, utilization, and storage, hydrogen, and geothermal. Finally, we will continue to focus on accelerating the success of clean tech start-ups via Halliburton Labs. As of December 31, 2023, Halliburton Labs had 32 participating companies and alumni. Halliburton Labs allows us to participate in the energy mix transition at relatively low risk by investing our expertise, resources, and team without a significant outlay of capital.</w:t>
      </w:r>
    </w:p>
    <w:p>
      <w:pPr>
        <w:spacing w:after="0" w:line="191" w:lineRule="exact"/>
        <w:rPr>
          <w:sz w:val="20"/>
          <w:szCs w:val="20"/>
          <w:color w:val="auto"/>
        </w:rPr>
      </w:pPr>
    </w:p>
    <w:p>
      <w:pPr>
        <w:jc w:val="both"/>
        <w:ind w:right="40" w:firstLine="619"/>
        <w:spacing w:after="0" w:line="254" w:lineRule="auto"/>
        <w:rPr>
          <w:sz w:val="20"/>
          <w:szCs w:val="20"/>
          <w:color w:val="auto"/>
        </w:rPr>
      </w:pPr>
      <w:r>
        <w:rPr>
          <w:rFonts w:ascii="Times New Roman" w:cs="Times New Roman" w:eastAsia="Times New Roman" w:hAnsi="Times New Roman"/>
          <w:sz w:val="17"/>
          <w:szCs w:val="17"/>
          <w:color w:val="auto"/>
        </w:rPr>
        <w:t>Our sustainability efforts were recognized in 2023 as we were named to the Dow Jones Sustainability North America Index for the third consecutive year. The DJSI assesses the sustainability performances of companies using a transparent, rules-based process based on the annual S&amp;P Global Corporate Sustainability Assessment (CSA), among its industry peers.</w:t>
      </w:r>
    </w:p>
    <w:p>
      <w:pPr>
        <w:spacing w:after="0" w:line="204"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Additionally, we published our 2022 Annual and Sustainability Report (ASR) in April of 2023, which details our strategy and progress on sustainability issues, as well as our efforts on increased environmental reporting transparency, including conducting a climate-risk scenario analysis. Information on our website, including the ASR, is not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6" w:name="page27"/>
    <w:bookmarkEnd w:id="26"/>
    <w:p>
      <w:pPr>
        <w:ind w:left="40"/>
        <w:spacing w:after="0"/>
        <w:tabs>
          <w:tab w:leader="none" w:pos="84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Liquidity and Capital Resources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had $2.3 billion of cash and equivalents as of December 31, 2023 and December 31, 2022, respectively.</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Significant sources and uses of cash in 2023</w:t>
      </w:r>
    </w:p>
    <w:p>
      <w:pPr>
        <w:spacing w:after="0" w:line="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Sources of cash:</w:t>
      </w:r>
    </w:p>
    <w:p>
      <w:pPr>
        <w:spacing w:after="0" w:line="46" w:lineRule="exact"/>
        <w:rPr>
          <w:sz w:val="20"/>
          <w:szCs w:val="20"/>
          <w:color w:val="auto"/>
        </w:rPr>
      </w:pPr>
    </w:p>
    <w:p>
      <w:pPr>
        <w:ind w:left="780" w:right="180" w:hanging="158"/>
        <w:spacing w:after="0" w:line="282" w:lineRule="auto"/>
        <w:tabs>
          <w:tab w:leader="none" w:pos="77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flows from operating activities were $3.5 billion. Working capital, which consists of r</w:t>
      </w:r>
      <w:r>
        <w:rPr>
          <w:rFonts w:ascii="Times New Roman" w:cs="Times New Roman" w:eastAsia="Times New Roman" w:hAnsi="Times New Roman"/>
          <w:sz w:val="17"/>
          <w:szCs w:val="17"/>
          <w:color w:val="212529"/>
        </w:rPr>
        <w:t>eceivables, inventories, and accounts payable, collectively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 xml:space="preserve">had a negative impact of </w:t>
      </w:r>
      <w:r>
        <w:rPr>
          <w:rFonts w:ascii="Times New Roman" w:cs="Times New Roman" w:eastAsia="Times New Roman" w:hAnsi="Times New Roman"/>
          <w:sz w:val="17"/>
          <w:szCs w:val="17"/>
          <w:color w:val="000000"/>
        </w:rPr>
        <w:t>$511 million, primarily due to increased</w:t>
      </w:r>
      <w:r>
        <w:rPr>
          <w:rFonts w:ascii="Times New Roman" w:cs="Times New Roman" w:eastAsia="Times New Roman" w:hAnsi="Times New Roman"/>
          <w:sz w:val="17"/>
          <w:szCs w:val="17"/>
          <w:color w:val="212529"/>
        </w:rPr>
        <w:t xml:space="preserve"> receivables and inventory.</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Uses of cash:</w:t>
      </w:r>
    </w:p>
    <w:p>
      <w:pPr>
        <w:spacing w:after="0" w:line="66" w:lineRule="exact"/>
        <w:rPr>
          <w:sz w:val="20"/>
          <w:szCs w:val="20"/>
          <w:color w:val="auto"/>
        </w:rPr>
      </w:pPr>
    </w:p>
    <w:p>
      <w:pPr>
        <w:ind w:left="780" w:hanging="158"/>
        <w:spacing w:after="0"/>
        <w:tabs>
          <w:tab w:leader="none" w:pos="7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expenditures were $1.4 billion.</w:t>
      </w:r>
    </w:p>
    <w:p>
      <w:pPr>
        <w:spacing w:after="0" w:line="62" w:lineRule="exact"/>
        <w:rPr>
          <w:rFonts w:ascii="Times New Roman" w:cs="Times New Roman" w:eastAsia="Times New Roman" w:hAnsi="Times New Roman"/>
          <w:sz w:val="17"/>
          <w:szCs w:val="17"/>
          <w:color w:val="auto"/>
        </w:rPr>
      </w:pPr>
    </w:p>
    <w:p>
      <w:pPr>
        <w:ind w:left="780" w:hanging="158"/>
        <w:spacing w:after="0"/>
        <w:tabs>
          <w:tab w:leader="none" w:pos="7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repurchased 22.7 million shares of our common stock for $800 million.</w:t>
      </w:r>
    </w:p>
    <w:p>
      <w:pPr>
        <w:spacing w:after="0" w:line="62" w:lineRule="exact"/>
        <w:rPr>
          <w:rFonts w:ascii="Times New Roman" w:cs="Times New Roman" w:eastAsia="Times New Roman" w:hAnsi="Times New Roman"/>
          <w:sz w:val="17"/>
          <w:szCs w:val="17"/>
          <w:color w:val="auto"/>
        </w:rPr>
      </w:pPr>
    </w:p>
    <w:p>
      <w:pPr>
        <w:ind w:left="780" w:hanging="158"/>
        <w:spacing w:after="0"/>
        <w:tabs>
          <w:tab w:leader="none" w:pos="7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paid $576 million of dividends to our shareholders.</w:t>
      </w:r>
    </w:p>
    <w:p>
      <w:pPr>
        <w:spacing w:after="0" w:line="62" w:lineRule="exact"/>
        <w:rPr>
          <w:rFonts w:ascii="Times New Roman" w:cs="Times New Roman" w:eastAsia="Times New Roman" w:hAnsi="Times New Roman"/>
          <w:sz w:val="17"/>
          <w:szCs w:val="17"/>
          <w:color w:val="auto"/>
        </w:rPr>
      </w:pPr>
    </w:p>
    <w:p>
      <w:pPr>
        <w:ind w:left="780" w:hanging="158"/>
        <w:spacing w:after="0"/>
        <w:tabs>
          <w:tab w:leader="none" w:pos="780"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We repurchased $300 million aggregate principal amounts of various series of our outstanding debt.</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Future sources and uses of cash</w:t>
      </w:r>
    </w:p>
    <w:p>
      <w:pPr>
        <w:spacing w:after="0" w:line="22" w:lineRule="exact"/>
        <w:rPr>
          <w:sz w:val="20"/>
          <w:szCs w:val="20"/>
          <w:color w:val="auto"/>
        </w:rPr>
      </w:pPr>
    </w:p>
    <w:p>
      <w:pPr>
        <w:ind w:right="240" w:firstLine="619"/>
        <w:spacing w:after="0"/>
        <w:rPr>
          <w:sz w:val="20"/>
          <w:szCs w:val="20"/>
          <w:color w:val="auto"/>
        </w:rPr>
      </w:pPr>
      <w:r>
        <w:rPr>
          <w:rFonts w:ascii="Times New Roman" w:cs="Times New Roman" w:eastAsia="Times New Roman" w:hAnsi="Times New Roman"/>
          <w:sz w:val="17"/>
          <w:szCs w:val="17"/>
          <w:color w:val="auto"/>
        </w:rPr>
        <w:t>We manufacture most of our own equipment, which provides us with some flexibility to increase or decrease our capital expenditures based on market conditions. We currently expect capital spending for 2024 to be approximately 6% of revenue. We believe this level of spend will allow us to invest in our key strategic technologies, including the construction and deployment of our Zeus electric fracturing systems in North America, our iStar Intelligent Drilling and Logging Platform, and our iCruise Intelligent Rotary Steerable System. We will continue to maintain capital discipline and monitor the rapidly changing market dynamics, and we may adjust our capital spend accordingly.</w:t>
      </w:r>
    </w:p>
    <w:p>
      <w:pPr>
        <w:spacing w:after="0" w:line="216"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In 2024, we expect to pay approximately $518 million for contractual purchase obligations (with another $211 million due through 2026), $397 million of interest on debt, and $391 million under our leasing arrangements. Payments for interest on our debt arrangements are expected to remain relatively flat for the foreseeable future. See Note 6 and Note 10 to the consolidated financial statements for additional information on expected future payments under our leasing arrangements and debt maturities.</w:t>
      </w:r>
    </w:p>
    <w:p>
      <w:pPr>
        <w:spacing w:after="0" w:line="197"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We are not able to reasonably estimate the timing of cash outflows associated with our uncertain tax positions, in part because we are unable to predict the timing of potential tax settlements with applicable taxing authorities. As of December 31, 2023, we had $268 million of gross unrecognized tax benefits, excluding penalties and interest, of which we estimate $235 million may require us to make a cash payment. We estimate that approximately $158 million of the cash payment will not be settled within the next 12 months.</w:t>
      </w:r>
    </w:p>
    <w:p>
      <w:pPr>
        <w:spacing w:after="0" w:line="197" w:lineRule="exact"/>
        <w:rPr>
          <w:sz w:val="20"/>
          <w:szCs w:val="20"/>
          <w:color w:val="auto"/>
        </w:rPr>
      </w:pPr>
    </w:p>
    <w:p>
      <w:pPr>
        <w:ind w:right="180" w:firstLine="619"/>
        <w:spacing w:after="0" w:line="261" w:lineRule="auto"/>
        <w:rPr>
          <w:sz w:val="20"/>
          <w:szCs w:val="20"/>
          <w:color w:val="auto"/>
        </w:rPr>
      </w:pPr>
      <w:r>
        <w:rPr>
          <w:rFonts w:ascii="Times New Roman" w:cs="Times New Roman" w:eastAsia="Times New Roman" w:hAnsi="Times New Roman"/>
          <w:sz w:val="17"/>
          <w:szCs w:val="17"/>
          <w:color w:val="auto"/>
        </w:rPr>
        <w:t>While we maintain focus on liquidity and debt reduction, we are also focused on providing cash returns to our shareholders. In January of 2023, our Board approved a capital return framework with a goal of returning at least 50% of our annual free cash flow to shareholders through dividends and share repurchases. We returned $1.4 billion of capital to shareholders in 2023 through buybacks and dividends. During 2023, our quarterly dividend rate was $0.16 per common share, or approximately $144 million in the aggregate. In January 2024, we announced that our Board of Directors declared a dividend of $0.17 per common share for the first quarter of 2024, or approximately $152 million in the aggregate.</w:t>
      </w:r>
    </w:p>
    <w:p>
      <w:pPr>
        <w:spacing w:after="0" w:line="200" w:lineRule="exact"/>
        <w:rPr>
          <w:sz w:val="20"/>
          <w:szCs w:val="20"/>
          <w:color w:val="auto"/>
        </w:rPr>
      </w:pPr>
    </w:p>
    <w:p>
      <w:pPr>
        <w:jc w:val="both"/>
        <w:ind w:right="260" w:firstLine="619"/>
        <w:spacing w:after="0" w:line="270" w:lineRule="auto"/>
        <w:rPr>
          <w:sz w:val="20"/>
          <w:szCs w:val="20"/>
          <w:color w:val="auto"/>
        </w:rPr>
      </w:pPr>
      <w:r>
        <w:rPr>
          <w:rFonts w:ascii="Times New Roman" w:cs="Times New Roman" w:eastAsia="Times New Roman" w:hAnsi="Times New Roman"/>
          <w:sz w:val="17"/>
          <w:szCs w:val="17"/>
          <w:color w:val="auto"/>
        </w:rPr>
        <w:t>We may utilize share repurchases as part of our capital return framework. Our Board of Directors has authorized a program to repurchase our common stock from time to time. We repurchased 22.7 million shares of common stock during the year ended December 31, 2023. Approximately $4.1 billion remained authorized for repurchases under our program as of December 31, 2023 and may be used for open market and other share purchases.</w:t>
      </w:r>
    </w:p>
    <w:p>
      <w:pPr>
        <w:spacing w:after="0" w:line="191" w:lineRule="exact"/>
        <w:rPr>
          <w:sz w:val="20"/>
          <w:szCs w:val="20"/>
          <w:color w:val="auto"/>
        </w:rPr>
      </w:pPr>
    </w:p>
    <w:p>
      <w:pPr>
        <w:ind w:right="160" w:firstLine="619"/>
        <w:spacing w:after="0" w:line="264" w:lineRule="auto"/>
        <w:rPr>
          <w:sz w:val="20"/>
          <w:szCs w:val="20"/>
          <w:color w:val="auto"/>
        </w:rPr>
      </w:pPr>
      <w:r>
        <w:rPr>
          <w:rFonts w:ascii="Times New Roman" w:cs="Times New Roman" w:eastAsia="Times New Roman" w:hAnsi="Times New Roman"/>
          <w:sz w:val="17"/>
          <w:szCs w:val="17"/>
          <w:color w:val="auto"/>
        </w:rPr>
        <w:t>During the second quarter of 2023, we began our migration to SAP S4 which we expect to complete by the end of 2025. The migration is estimated to cost approximately $250 million, of which we have incurred $51 million through December 31, 2023. For 2024, we expect to spend approximately $120 million. We believe the new system will enhance visibility to our operations and provide important efficiency benefits, cost savings, and advanced analytics that will benefit us and our customers.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do not intend to incur additional debt in 2024, as we believe our cash on hand and earnings from operations are sufficient to cover our obligations for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year.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7" w:name="page28"/>
    <w:bookmarkEnd w:id="27"/>
    <w:p>
      <w:pPr>
        <w:ind w:left="40"/>
        <w:spacing w:after="0"/>
        <w:tabs>
          <w:tab w:leader="none" w:pos="84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Liquidity and Capital Resources</w:t>
      </w:r>
    </w:p>
    <w:p>
      <w:pPr>
        <w:spacing w:after="0" w:line="200" w:lineRule="exact"/>
        <w:rPr>
          <w:sz w:val="20"/>
          <w:szCs w:val="20"/>
          <w:color w:val="auto"/>
        </w:rPr>
      </w:pPr>
    </w:p>
    <w:p>
      <w:pPr>
        <w:spacing w:after="0" w:line="3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factors affecting liquidity</w:t>
      </w:r>
    </w:p>
    <w:p>
      <w:pPr>
        <w:spacing w:after="0" w:line="34" w:lineRule="exact"/>
        <w:rPr>
          <w:sz w:val="20"/>
          <w:szCs w:val="20"/>
          <w:color w:val="auto"/>
        </w:rPr>
      </w:pPr>
    </w:p>
    <w:p>
      <w:pPr>
        <w:ind w:right="40" w:firstLine="619"/>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Financial position in current market. </w:t>
      </w:r>
      <w:r>
        <w:rPr>
          <w:rFonts w:ascii="Times New Roman" w:cs="Times New Roman" w:eastAsia="Times New Roman" w:hAnsi="Times New Roman"/>
          <w:sz w:val="17"/>
          <w:szCs w:val="17"/>
          <w:color w:val="auto"/>
        </w:rPr>
        <w:t>As of December 31, 2023, we had $2.3 billion of cash and equivalents and $3.5 billion of available committed bank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credit under a revolving credit facility with an expiration date of April 27, 2027. We believe we have a manageable debt maturity profile, with approximately $472 million coming due beginning in 2025 through 2027. Furthermore, we have no financial covenants or material adverse change provisions in our bank agreements, and our debt maturities extend over a long period of time. We believe our cash on hand, cash flows generated from operations, and our available credit facility provide sufficient liquidity to address </w:t>
      </w:r>
      <w:r>
        <w:rPr>
          <w:rFonts w:ascii="Times New Roman" w:cs="Times New Roman" w:eastAsia="Times New Roman" w:hAnsi="Times New Roman"/>
          <w:sz w:val="17"/>
          <w:szCs w:val="17"/>
          <w:color w:val="212529"/>
        </w:rPr>
        <w:t>the challenges and opportunities of the current market and</w:t>
      </w:r>
      <w:r>
        <w:rPr>
          <w:rFonts w:ascii="Times New Roman" w:cs="Times New Roman" w:eastAsia="Times New Roman" w:hAnsi="Times New Roman"/>
          <w:sz w:val="17"/>
          <w:szCs w:val="17"/>
          <w:color w:val="auto"/>
        </w:rPr>
        <w:t xml:space="preserve"> our expected global cash needs for 2024, including capital expenditures, working capital investments, shareholder returns, if any, and debt repurchases, if any, and scheduled interest and principal payments.</w:t>
      </w:r>
    </w:p>
    <w:p>
      <w:pPr>
        <w:spacing w:after="0" w:line="203" w:lineRule="exact"/>
        <w:rPr>
          <w:sz w:val="20"/>
          <w:szCs w:val="20"/>
          <w:color w:val="auto"/>
        </w:rPr>
      </w:pPr>
    </w:p>
    <w:p>
      <w:pPr>
        <w:ind w:right="40"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Guarantee agreements. </w:t>
      </w:r>
      <w:r>
        <w:rPr>
          <w:rFonts w:ascii="Times New Roman" w:cs="Times New Roman" w:eastAsia="Times New Roman" w:hAnsi="Times New Roman"/>
          <w:sz w:val="17"/>
          <w:szCs w:val="17"/>
          <w:color w:val="auto"/>
        </w:rPr>
        <w:t>In the normal course of business, we have agreements with financial institutions under which approximately $2.6 billion letters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credit, bank guarantees, or surety bonds were outstanding as of December 31, 2023. Some of the outstanding letters of credit have triggering events that would entitle a bank to require cash collateralization, however, none of these triggering events have occurred. As of December 31, 2023, we had no material off-balance sheet liabilities and were not required to make any material cash distributions to our unconsolidated subsidiaries.</w:t>
      </w:r>
    </w:p>
    <w:p>
      <w:pPr>
        <w:spacing w:after="0" w:line="194"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During the fourth quarter of 2023, we entered into a credit default swap (“CDS”) with a third-party financial institution. The notional amount of the CDS, which was $300 million at the end of January 2024, will reduce on a monthly basis over its 26-month term. The CDS relates to a borrowing provided by the financial institution to one of our primary customers in Mexico, a portion of the proceeds of which was utilized by this customer to pay certain of our outstanding receivables.</w:t>
      </w:r>
    </w:p>
    <w:p>
      <w:pPr>
        <w:spacing w:after="0" w:line="193" w:lineRule="exact"/>
        <w:rPr>
          <w:sz w:val="20"/>
          <w:szCs w:val="20"/>
          <w:color w:val="auto"/>
        </w:rPr>
      </w:pPr>
    </w:p>
    <w:p>
      <w:pPr>
        <w:ind w:right="60"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Credit ratings. </w:t>
      </w:r>
      <w:r>
        <w:rPr>
          <w:rFonts w:ascii="Times New Roman" w:cs="Times New Roman" w:eastAsia="Times New Roman" w:hAnsi="Times New Roman"/>
          <w:sz w:val="17"/>
          <w:szCs w:val="17"/>
          <w:color w:val="auto"/>
        </w:rPr>
        <w:t>Our credit ratings with Standard &amp; Poor’s (S&amp;P) remained BBB+ for our long-term debt and A-2 for our short-term debt, with an upgrade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positive outlook from stable outlook in November 2023. During the third quarter of 2023, our long-term debt rating with Moody's Investors Service (Moody's) was upgraded to A3 from Baa1 and the short-term debt rating remained P-2, with a stable outlook. As of the end of the year our long-term debt rating with Moody's remained A3 and short-term debt rating remained P-2, with a stable outlook.</w:t>
      </w:r>
    </w:p>
    <w:p>
      <w:pPr>
        <w:spacing w:after="0" w:line="190"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Customer receivables</w:t>
      </w:r>
      <w:r>
        <w:rPr>
          <w:rFonts w:ascii="Times New Roman" w:cs="Times New Roman" w:eastAsia="Times New Roman" w:hAnsi="Times New Roman"/>
          <w:sz w:val="17"/>
          <w:szCs w:val="17"/>
          <w:color w:val="auto"/>
        </w:rPr>
        <w:t>. In line with industry practice, we bill our customers for our services in arrears and are, therefore, subject to our customers delaying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failing to pay our invoices. In weak economic environments, we may experience increased delays and failures to pay our invoices due to, among other reasons, a reduction in our customers’ cash flow from operations and their access to the credit markets, as well as unsettled political conditions.</w:t>
      </w:r>
    </w:p>
    <w:p>
      <w:pPr>
        <w:spacing w:after="0" w:line="190" w:lineRule="exact"/>
        <w:rPr>
          <w:sz w:val="20"/>
          <w:szCs w:val="20"/>
          <w:color w:val="auto"/>
        </w:rPr>
      </w:pPr>
    </w:p>
    <w:p>
      <w:pPr>
        <w:jc w:val="both"/>
        <w:ind w:right="340" w:firstLine="619"/>
        <w:spacing w:after="0" w:line="270" w:lineRule="auto"/>
        <w:rPr>
          <w:sz w:val="20"/>
          <w:szCs w:val="20"/>
          <w:color w:val="auto"/>
        </w:rPr>
      </w:pPr>
      <w:r>
        <w:rPr>
          <w:rFonts w:ascii="Times New Roman" w:cs="Times New Roman" w:eastAsia="Times New Roman" w:hAnsi="Times New Roman"/>
          <w:sz w:val="17"/>
          <w:szCs w:val="17"/>
          <w:color w:val="auto"/>
        </w:rPr>
        <w:t>Receivables from our primary customer in Mexico accounted for approximately 6% of our total receivables as of December 31, 2023. While we have experienced payment delays from our primary customer in Mexico, these amounts are not in dispute and we have not historically had, and we do not expect to have, any material write-offs due to collectability of receivables from this customer.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8" w:name="page29"/>
    <w:bookmarkEnd w:id="28"/>
    <w:p>
      <w:pPr>
        <w:ind w:left="40"/>
        <w:spacing w:after="0"/>
        <w:tabs>
          <w:tab w:leader="none" w:pos="726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Business Environment and Results of Operations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ENVIRONMENT AND RESULTS OF OPERATIONS</w:t>
      </w:r>
    </w:p>
    <w:p>
      <w:pPr>
        <w:spacing w:after="0" w:line="247"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We operate in more than 70 countries throughout the world to provide a comprehensive range of services and products to the energy industry. Our revenue is generated from the sale of services and products to major, national, and independent oil and natural gas companies worldwide. The industry we serve is highly competitive with many substantial competitors in each segment of our business. In 2023, 2022, and 2021, based on the location of services provided and products sold, 44%, 45%, and 40%, respectively, of our consolidated revenue was from the United States. No other country accounted for more than 10% of our revenue.</w:t>
      </w:r>
    </w:p>
    <w:p>
      <w:pPr>
        <w:spacing w:after="0" w:line="197" w:lineRule="exact"/>
        <w:rPr>
          <w:sz w:val="20"/>
          <w:szCs w:val="20"/>
          <w:color w:val="auto"/>
        </w:rPr>
      </w:pPr>
    </w:p>
    <w:p>
      <w:pPr>
        <w:ind w:right="400" w:firstLine="619"/>
        <w:spacing w:after="0" w:line="287" w:lineRule="auto"/>
        <w:rPr>
          <w:sz w:val="20"/>
          <w:szCs w:val="20"/>
          <w:color w:val="auto"/>
        </w:rPr>
      </w:pPr>
      <w:r>
        <w:rPr>
          <w:rFonts w:ascii="Times New Roman" w:cs="Times New Roman" w:eastAsia="Times New Roman" w:hAnsi="Times New Roman"/>
          <w:sz w:val="17"/>
          <w:szCs w:val="17"/>
          <w:color w:val="auto"/>
        </w:rPr>
        <w:t>Activity within our business segments is significantly impacted by spending on upstream exploration, development, and production programs by our customers. Also impacting our activity is the status of the global economy, which impacts oil and natural gas consumption.</w:t>
      </w:r>
    </w:p>
    <w:p>
      <w:pPr>
        <w:spacing w:after="0" w:line="177"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Some of the more significant determinants of current and future spending levels of our customers are oil and natural gas prices and our customers' expectations about future prices, global oil supply and demand, completions intensity, the world economy, the availability of capital, government regulation, and global stability, which together drive worldwide drilling and completions activity. Lower oil and natural gas prices usually translate into lower exploration and production budgets and lower rig count, while the opposite is usually true for higher oil and natural gas prices. Our financial performance is therefore significantly affected by oil and natural gas prices and worldwide rig activity, which are summarized in the tables below.</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shows the average prices for West Texas Intermediate (WTI) crude oil, United Kingdom Brent crude oil, and Henry Hub natural gas.</w:t>
      </w:r>
    </w:p>
    <w:p>
      <w:pPr>
        <w:spacing w:after="0" w:line="49"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37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2022</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Oil price - WTI </w:t>
            </w:r>
            <w:r>
              <w:rPr>
                <w:rFonts w:ascii="Times New Roman" w:cs="Times New Roman" w:eastAsia="Times New Roman" w:hAnsi="Times New Roman"/>
                <w:sz w:val="12"/>
                <w:szCs w:val="12"/>
                <w:color w:val="auto"/>
              </w:rPr>
              <w:t>(1)</w:t>
            </w:r>
          </w:p>
        </w:tc>
        <w:tc>
          <w:tcPr>
            <w:tcW w:w="17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77.64</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96.04</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67.99</w:t>
            </w:r>
          </w:p>
        </w:tc>
      </w:tr>
      <w:tr>
        <w:trPr>
          <w:trHeight w:val="219"/>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Oil price - Brent </w:t>
            </w:r>
            <w:r>
              <w:rPr>
                <w:rFonts w:ascii="Times New Roman" w:cs="Times New Roman" w:eastAsia="Times New Roman" w:hAnsi="Times New Roman"/>
                <w:sz w:val="12"/>
                <w:szCs w:val="12"/>
                <w:color w:val="auto"/>
              </w:rPr>
              <w:t>(1)</w:t>
            </w:r>
          </w:p>
        </w:tc>
        <w:tc>
          <w:tcPr>
            <w:tcW w:w="1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100.78</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70.68</w:t>
            </w:r>
          </w:p>
        </w:tc>
      </w:tr>
      <w:tr>
        <w:trPr>
          <w:trHeight w:val="244"/>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Natural gas price - Henry Hub </w:t>
            </w:r>
            <w:r>
              <w:rPr>
                <w:rFonts w:ascii="Times New Roman" w:cs="Times New Roman" w:eastAsia="Times New Roman" w:hAnsi="Times New Roman"/>
                <w:sz w:val="12"/>
                <w:szCs w:val="12"/>
                <w:color w:val="auto"/>
              </w:rPr>
              <w:t>(2)</w:t>
            </w:r>
          </w:p>
        </w:tc>
        <w:tc>
          <w:tcPr>
            <w:tcW w:w="17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r>
      <w:tr>
        <w:trPr>
          <w:trHeight w:val="20"/>
        </w:trPr>
        <w:tc>
          <w:tcPr>
            <w:tcW w:w="37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960" w:hanging="321"/>
        <w:spacing w:after="0"/>
        <w:tabs>
          <w:tab w:leader="none" w:pos="96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Oil price measured in dollars per barrel.</w:t>
      </w:r>
    </w:p>
    <w:p>
      <w:pPr>
        <w:spacing w:after="0" w:line="32" w:lineRule="exact"/>
        <w:rPr>
          <w:rFonts w:ascii="Times New Roman" w:cs="Times New Roman" w:eastAsia="Times New Roman" w:hAnsi="Times New Roman"/>
          <w:sz w:val="12"/>
          <w:szCs w:val="12"/>
          <w:color w:val="auto"/>
        </w:rPr>
      </w:pPr>
    </w:p>
    <w:p>
      <w:pPr>
        <w:ind w:left="960" w:hanging="321"/>
        <w:spacing w:after="0"/>
        <w:tabs>
          <w:tab w:leader="none" w:pos="96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Natural gas price measured in dollars per million British thermal units (Btu), or MMBtu.</w:t>
      </w:r>
    </w:p>
    <w:p>
      <w:pPr>
        <w:spacing w:after="0" w:line="346"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76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historical average rig counts based on the weekly Baker Hughes rig count data were as follows:</w:t>
            </w:r>
          </w:p>
        </w:tc>
        <w:tc>
          <w:tcPr>
            <w:tcW w:w="960" w:type="dxa"/>
            <w:vAlign w:val="bottom"/>
          </w:tcPr>
          <w:p>
            <w:pPr>
              <w:spacing w:after="0"/>
              <w:rPr>
                <w:sz w:val="19"/>
                <w:szCs w:val="19"/>
                <w:color w:val="auto"/>
              </w:rPr>
            </w:pPr>
          </w:p>
        </w:tc>
      </w:tr>
      <w:tr>
        <w:trPr>
          <w:trHeight w:val="245"/>
        </w:trPr>
        <w:tc>
          <w:tcPr>
            <w:tcW w:w="342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2023</w:t>
            </w: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2022</w:t>
            </w:r>
          </w:p>
        </w:tc>
        <w:tc>
          <w:tcPr>
            <w:tcW w:w="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Land</w:t>
            </w:r>
          </w:p>
        </w:tc>
        <w:tc>
          <w:tcPr>
            <w:tcW w:w="31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669</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708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r>
      <w:tr>
        <w:trPr>
          <w:trHeight w:val="219"/>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Offshore</w:t>
            </w:r>
          </w:p>
        </w:tc>
        <w:tc>
          <w:tcPr>
            <w:tcW w:w="31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18</w:t>
            </w: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9"/>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31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177</w:t>
            </w:r>
          </w:p>
        </w:tc>
        <w:tc>
          <w:tcPr>
            <w:tcW w:w="11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12"/>
        </w:trPr>
        <w:tc>
          <w:tcPr>
            <w:tcW w:w="3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North America</w:t>
            </w:r>
          </w:p>
        </w:tc>
        <w:tc>
          <w:tcPr>
            <w:tcW w:w="31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864</w:t>
            </w:r>
          </w:p>
        </w:tc>
        <w:tc>
          <w:tcPr>
            <w:tcW w:w="11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898</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w:t>
            </w:r>
          </w:p>
        </w:tc>
      </w:tr>
      <w:tr>
        <w:trPr>
          <w:trHeight w:val="212"/>
        </w:trPr>
        <w:tc>
          <w:tcPr>
            <w:tcW w:w="3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International</w:t>
            </w:r>
          </w:p>
        </w:tc>
        <w:tc>
          <w:tcPr>
            <w:tcW w:w="31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948</w:t>
            </w:r>
          </w:p>
        </w:tc>
        <w:tc>
          <w:tcPr>
            <w:tcW w:w="11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851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w:t>
            </w:r>
          </w:p>
        </w:tc>
      </w:tr>
      <w:tr>
        <w:trPr>
          <w:trHeight w:val="212"/>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Worldwide total</w:t>
            </w:r>
          </w:p>
        </w:tc>
        <w:tc>
          <w:tcPr>
            <w:tcW w:w="31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1,812</w:t>
            </w:r>
          </w:p>
        </w:tc>
        <w:tc>
          <w:tcPr>
            <w:tcW w:w="11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1,749</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w:t>
            </w: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9" w:name="page30"/>
    <w:bookmarkEnd w:id="29"/>
    <w:p>
      <w:pPr>
        <w:ind w:left="40"/>
        <w:spacing w:after="0"/>
        <w:tabs>
          <w:tab w:leader="none" w:pos="726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Business Environment and Results of Operations</w:t>
      </w:r>
    </w:p>
    <w:p>
      <w:pPr>
        <w:spacing w:after="0" w:line="200" w:lineRule="exact"/>
        <w:rPr>
          <w:sz w:val="20"/>
          <w:szCs w:val="20"/>
          <w:color w:val="auto"/>
        </w:rPr>
      </w:pPr>
    </w:p>
    <w:p>
      <w:pPr>
        <w:spacing w:after="0" w:line="3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Business outlook</w:t>
      </w:r>
    </w:p>
    <w:p>
      <w:pPr>
        <w:spacing w:after="0" w:line="34"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Looking ahead, we expect oil and natural gas demand to continue to grow over the next several years as easing inflationary pressures across the Organization for Economic Co-operation and Development (OECD) countries increase the likelihood for central bank rate cuts, abating fears of a macroeconomic slowdown. We believe long-term expansion of the global economy will continue to increase demands on all forms of energy. We expect oil and natural gas remains a critical component of the global energy mix. The International Energy Agency's December 2023 "Oil Market Report" forecasts 2024 global oil demand to reach 102.7 million barrels per day, an increase of 1% from 2023.</w:t>
      </w:r>
    </w:p>
    <w:p>
      <w:pPr>
        <w:spacing w:after="0" w:line="204" w:lineRule="exact"/>
        <w:rPr>
          <w:sz w:val="20"/>
          <w:szCs w:val="20"/>
          <w:color w:val="auto"/>
        </w:rPr>
      </w:pPr>
    </w:p>
    <w:p>
      <w:pPr>
        <w:ind w:right="120" w:firstLine="619"/>
        <w:spacing w:after="0" w:line="260" w:lineRule="auto"/>
        <w:rPr>
          <w:sz w:val="20"/>
          <w:szCs w:val="20"/>
          <w:color w:val="auto"/>
        </w:rPr>
      </w:pPr>
      <w:r>
        <w:rPr>
          <w:rFonts w:ascii="Times New Roman" w:cs="Times New Roman" w:eastAsia="Times New Roman" w:hAnsi="Times New Roman"/>
          <w:sz w:val="17"/>
          <w:szCs w:val="17"/>
          <w:color w:val="auto"/>
        </w:rPr>
        <w:t>We believe that oil demand growth will be driven by resilient global economic growth and increases in transportation activity. In addition, we think oil supply dynamics have fundamentally changed due to, among other things, investor return requirements, and regulatory initiatives adverse to oil and natural gas exploration and production and that promote alternative energy, any of which could limit supply growth. We believe that despite the changes in oil supply dynamics, increased investment in existing and new sources of production is the only solution to increase supply and that production will be needed from conventional and unconventional, deep-water and shallow-water, and short and long-cycle projects. We expect that increased production requirements will in turn create demand for our products and services.</w:t>
      </w:r>
    </w:p>
    <w:p>
      <w:pPr>
        <w:spacing w:after="0" w:line="186" w:lineRule="exact"/>
        <w:rPr>
          <w:sz w:val="20"/>
          <w:szCs w:val="20"/>
          <w:color w:val="auto"/>
        </w:rPr>
      </w:pPr>
    </w:p>
    <w:p>
      <w:pPr>
        <w:ind w:right="320" w:firstLine="619"/>
        <w:spacing w:after="0" w:line="245" w:lineRule="auto"/>
        <w:rPr>
          <w:sz w:val="20"/>
          <w:szCs w:val="20"/>
          <w:color w:val="auto"/>
        </w:rPr>
      </w:pPr>
      <w:r>
        <w:rPr>
          <w:rFonts w:ascii="Times New Roman" w:cs="Times New Roman" w:eastAsia="Times New Roman" w:hAnsi="Times New Roman"/>
          <w:sz w:val="17"/>
          <w:szCs w:val="17"/>
          <w:color w:val="auto"/>
        </w:rPr>
        <w:t>Internationally, we expect oil and natural gas exploration and production activity to grow during 2024. Although we anticipate regional differences in growth rates for 2024, we believe the Middle East/Asia regions will likely experience the greatest increases in activity, with other regions closely behind. We expect growth in both onshore and offshore markets, as well as services related to carbon capture, utilization, and storage. The “Short Term Energy Outlook” published by the United States Energy Information Administration (EIA) predicts that U.S. oil production will average 13.1 million barrels per day in 2024, an increase of 1% as compared to 2023. As a result, we expect stable exploration and production activity levels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7"/>
                <w:szCs w:val="17"/>
                <w:color w:val="auto"/>
              </w:rPr>
            </w:pPr>
          </w:p>
        </w:tc>
        <w:tc>
          <w:tcPr>
            <w:tcW w:w="1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3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740" w:type="dxa"/>
            <w:vAlign w:val="bottom"/>
            <w:gridSpan w:val="5"/>
          </w:tcPr>
          <w:p>
            <w:pPr>
              <w:ind w:left="800"/>
              <w:spacing w:after="0"/>
              <w:rPr>
                <w:sz w:val="20"/>
                <w:szCs w:val="20"/>
                <w:color w:val="auto"/>
              </w:rPr>
            </w:pPr>
            <w:r>
              <w:rPr>
                <w:rFonts w:ascii="Times New Roman" w:cs="Times New Roman" w:eastAsia="Times New Roman" w:hAnsi="Times New Roman"/>
                <w:sz w:val="17"/>
                <w:szCs w:val="17"/>
                <w:color w:val="auto"/>
              </w:rPr>
              <w:t>Item 7 | Results of Operations in 2023 Compared to 2022</w:t>
            </w:r>
          </w:p>
        </w:tc>
        <w:tc>
          <w:tcPr>
            <w:tcW w:w="0" w:type="dxa"/>
            <w:vAlign w:val="bottom"/>
          </w:tcPr>
          <w:p>
            <w:pPr>
              <w:spacing w:after="0"/>
              <w:rPr>
                <w:sz w:val="1"/>
                <w:szCs w:val="1"/>
                <w:color w:val="auto"/>
              </w:rPr>
            </w:pPr>
          </w:p>
        </w:tc>
      </w:tr>
      <w:tr>
        <w:trPr>
          <w:trHeight w:val="754"/>
        </w:trPr>
        <w:tc>
          <w:tcPr>
            <w:tcW w:w="46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RESULTS OF OPERATIONS IN 2023 COMPARED TO 2022</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Favorable</w:t>
            </w:r>
          </w:p>
        </w:tc>
        <w:tc>
          <w:tcPr>
            <w:tcW w:w="2040" w:type="dxa"/>
            <w:vAlign w:val="bottom"/>
            <w:gridSpan w:val="2"/>
          </w:tcPr>
          <w:p>
            <w:pPr>
              <w:jc w:val="center"/>
              <w:ind w:right="840"/>
              <w:spacing w:after="0"/>
              <w:rPr>
                <w:sz w:val="20"/>
                <w:szCs w:val="20"/>
                <w:color w:val="auto"/>
              </w:rPr>
            </w:pPr>
            <w:r>
              <w:rPr>
                <w:rFonts w:ascii="Times New Roman" w:cs="Times New Roman" w:eastAsia="Times New Roman" w:hAnsi="Times New Roman"/>
                <w:sz w:val="17"/>
                <w:szCs w:val="17"/>
                <w:color w:val="auto"/>
              </w:rPr>
              <w:t>Percentage</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9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2023</w:t>
            </w:r>
          </w:p>
        </w:tc>
        <w:tc>
          <w:tcPr>
            <w:tcW w:w="340" w:type="dxa"/>
            <w:vAlign w:val="bottom"/>
          </w:tcPr>
          <w:p>
            <w:pPr>
              <w:spacing w:after="0"/>
              <w:rPr>
                <w:sz w:val="19"/>
                <w:szCs w:val="19"/>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2022</w:t>
            </w:r>
          </w:p>
        </w:tc>
        <w:tc>
          <w:tcPr>
            <w:tcW w:w="180" w:type="dxa"/>
            <w:vAlign w:val="bottom"/>
          </w:tcPr>
          <w:p>
            <w:pPr>
              <w:spacing w:after="0"/>
              <w:rPr>
                <w:sz w:val="19"/>
                <w:szCs w:val="19"/>
                <w:color w:val="auto"/>
              </w:rPr>
            </w:pPr>
          </w:p>
        </w:tc>
        <w:tc>
          <w:tcPr>
            <w:tcW w:w="144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(Unfavorable)</w:t>
            </w:r>
          </w:p>
        </w:tc>
        <w:tc>
          <w:tcPr>
            <w:tcW w:w="2040" w:type="dxa"/>
            <w:vAlign w:val="bottom"/>
            <w:gridSpan w:val="2"/>
          </w:tcPr>
          <w:p>
            <w:pPr>
              <w:jc w:val="center"/>
              <w:ind w:right="840"/>
              <w:spacing w:after="0"/>
              <w:rPr>
                <w:sz w:val="20"/>
                <w:szCs w:val="20"/>
                <w:color w:val="auto"/>
              </w:rPr>
            </w:pPr>
            <w:r>
              <w:rPr>
                <w:rFonts w:ascii="Times New Roman" w:cs="Times New Roman" w:eastAsia="Times New Roman" w:hAnsi="Times New Roman"/>
                <w:sz w:val="17"/>
                <w:szCs w:val="17"/>
                <w:color w:val="auto"/>
              </w:rPr>
              <w:t>Change</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tc>
        <w:tc>
          <w:tcPr>
            <w:tcW w:w="4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By operating segment:</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Completion and Production</w:t>
            </w:r>
          </w:p>
        </w:tc>
        <w:tc>
          <w:tcPr>
            <w:tcW w:w="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13,689</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2,107</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Drilling and Evaluation</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9,329</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8,715</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614</w:t>
            </w: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9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4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23,018</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20,297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2,721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Borders>
              <w:top w:val="single" w:sz="8" w:color="CCEEFF"/>
              <w:bottom w:val="single" w:sz="8" w:color="auto"/>
            </w:tcBorders>
            <w:gridSpan w:val="2"/>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60" w:type="dxa"/>
            <w:vAlign w:val="bottom"/>
            <w:tcBorders>
              <w:bottom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7"/>
                <w:szCs w:val="17"/>
                <w:i w:val="1"/>
                <w:iCs w:val="1"/>
                <w:color w:val="auto"/>
              </w:rPr>
              <w:t>By geographic region:</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North America</w:t>
            </w:r>
          </w:p>
        </w:tc>
        <w:tc>
          <w:tcPr>
            <w:tcW w:w="4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10,492</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895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Latin America</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3,987</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3,197</w:t>
            </w:r>
          </w:p>
        </w:tc>
        <w:tc>
          <w:tcPr>
            <w:tcW w:w="180" w:type="dxa"/>
            <w:vAlign w:val="bottom"/>
          </w:tcPr>
          <w:p>
            <w:pPr>
              <w:spacing w:after="0"/>
              <w:rPr>
                <w:sz w:val="19"/>
                <w:szCs w:val="19"/>
                <w:color w:val="auto"/>
              </w:rPr>
            </w:pPr>
          </w:p>
        </w:tc>
        <w:tc>
          <w:tcPr>
            <w:tcW w:w="14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790</w:t>
            </w: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25</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Europe/Africa/CIS</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2,691</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170</w:t>
            </w: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Middle East/Asia</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5,678</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4,812</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866</w:t>
            </w: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18</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9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4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23,018</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20,297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2,721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Borders>
              <w:top w:val="single" w:sz="8" w:color="CCEEFF"/>
              <w:bottom w:val="single" w:sz="8" w:color="auto"/>
            </w:tcBorders>
            <w:gridSpan w:val="2"/>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96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Operating income:</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By operating segment:</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Completion and Production</w:t>
            </w:r>
          </w:p>
        </w:tc>
        <w:tc>
          <w:tcPr>
            <w:tcW w:w="4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2,835</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798</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Drilling and Evaluation</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1,292</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251</w:t>
            </w:r>
          </w:p>
        </w:tc>
        <w:tc>
          <w:tcPr>
            <w:tcW w:w="13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19</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operations</w:t>
            </w: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4,378</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3,329</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1,049</w:t>
            </w:r>
          </w:p>
        </w:tc>
        <w:tc>
          <w:tcPr>
            <w:tcW w:w="13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32</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80" w:type="dxa"/>
            <w:vAlign w:val="bottom"/>
          </w:tcPr>
          <w:p>
            <w:pPr>
              <w:spacing w:after="0"/>
              <w:rPr>
                <w:sz w:val="18"/>
                <w:szCs w:val="18"/>
                <w:color w:val="auto"/>
              </w:rPr>
            </w:pPr>
          </w:p>
        </w:tc>
        <w:tc>
          <w:tcPr>
            <w:tcW w:w="144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12</w:t>
            </w:r>
          </w:p>
        </w:tc>
        <w:tc>
          <w:tcPr>
            <w:tcW w:w="13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5</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SAP S4 upgrade expense</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Impairments and other charges</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366</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9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income</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4,083</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1,376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960" w:type="dxa"/>
            <w:vAlign w:val="bottom"/>
            <w:tcBorders>
              <w:top w:val="single" w:sz="8" w:color="CCEEFF"/>
              <w:bottom w:val="single" w:sz="8" w:color="auto"/>
            </w:tcBorders>
            <w:gridSpan w:val="2"/>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n/m = not meaningful</w:t>
            </w: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Segments</w:t>
      </w: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Completion and Production</w:t>
      </w:r>
    </w:p>
    <w:p>
      <w:pPr>
        <w:spacing w:after="0" w:line="32" w:lineRule="exact"/>
        <w:rPr>
          <w:sz w:val="20"/>
          <w:szCs w:val="20"/>
          <w:color w:val="auto"/>
        </w:rPr>
      </w:pPr>
    </w:p>
    <w:p>
      <w:pPr>
        <w:ind w:right="80" w:firstLine="619"/>
        <w:spacing w:after="0" w:line="259" w:lineRule="auto"/>
        <w:rPr>
          <w:sz w:val="20"/>
          <w:szCs w:val="20"/>
          <w:color w:val="auto"/>
        </w:rPr>
      </w:pPr>
      <w:r>
        <w:rPr>
          <w:rFonts w:ascii="Times New Roman" w:cs="Times New Roman" w:eastAsia="Times New Roman" w:hAnsi="Times New Roman"/>
          <w:sz w:val="17"/>
          <w:szCs w:val="17"/>
          <w:color w:val="auto"/>
        </w:rPr>
        <w:t>Completion and Production revenue was $13.7 billion in 2023, an increase of $2.1 billion, or 18%, compared to 2022. Operating income was $2.8 billion in 2023, a 39% increase from $2.0 billion in 2022. These results were primarily driven by higher pressure pumping activity in North America land, as well as improved completion tool sales globally. Partially offsetting these increases was decreased activity in Russia due to our exit from the country.</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Drilling and Evaluation</w:t>
      </w:r>
    </w:p>
    <w:p>
      <w:pPr>
        <w:spacing w:after="0" w:line="32"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Drilling and Evaluation revenue was $9.3 billion in 2023, an increase of $614 million, or 7%, from 2022. Operating income was $1.5 billion in 2023, an increase of $251 million, or 19%, compared to 2022. These results were primarily attributable to increased fluid services and drilling activity globally and higher wireline activity in the Western Hemisphere, Africa, and the Middle East/Asia. Partially offsetting these increases were decreased activity in Russia due to our exit from the country and lower project management activity in Saudi Arabia.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Geographic Regions</w:t>
      </w: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North America</w:t>
      </w:r>
    </w:p>
    <w:p>
      <w:pPr>
        <w:spacing w:after="0" w:line="32" w:lineRule="exact"/>
        <w:rPr>
          <w:sz w:val="20"/>
          <w:szCs w:val="20"/>
          <w:color w:val="auto"/>
        </w:rPr>
      </w:pPr>
    </w:p>
    <w:p>
      <w:pPr>
        <w:ind w:right="120" w:firstLine="619"/>
        <w:spacing w:after="0" w:line="259" w:lineRule="auto"/>
        <w:rPr>
          <w:sz w:val="20"/>
          <w:szCs w:val="20"/>
          <w:color w:val="auto"/>
        </w:rPr>
      </w:pPr>
      <w:r>
        <w:rPr>
          <w:rFonts w:ascii="Times New Roman" w:cs="Times New Roman" w:eastAsia="Times New Roman" w:hAnsi="Times New Roman"/>
          <w:sz w:val="17"/>
          <w:szCs w:val="17"/>
          <w:color w:val="auto"/>
        </w:rPr>
        <w:t>North America revenue was $10.5 billion in 2023, a 9% increase compared to 2022, resulting from improved pressure pumping and artificial lift activity in North America land, increased fluid and wireline services across the region, and higher completion tool sales in the Gulf of Mexico. Partially offsetting these increases were lower drilling-related activity and decreased well intervention services in North America 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31" w:name="page32"/>
    <w:bookmarkEnd w:id="31"/>
    <w:p>
      <w:pPr>
        <w:ind w:left="40"/>
        <w:spacing w:after="0"/>
        <w:tabs>
          <w:tab w:leader="none" w:pos="726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Results of Operations in 2023 Compared to 2022</w:t>
      </w:r>
    </w:p>
    <w:p>
      <w:pPr>
        <w:spacing w:after="0" w:line="200" w:lineRule="exact"/>
        <w:rPr>
          <w:sz w:val="20"/>
          <w:szCs w:val="20"/>
          <w:color w:val="auto"/>
        </w:rPr>
      </w:pPr>
    </w:p>
    <w:p>
      <w:pPr>
        <w:spacing w:after="0" w:line="3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Latin America</w:t>
      </w:r>
    </w:p>
    <w:p>
      <w:pPr>
        <w:spacing w:after="0" w:line="32" w:lineRule="exact"/>
        <w:rPr>
          <w:sz w:val="20"/>
          <w:szCs w:val="20"/>
          <w:color w:val="auto"/>
        </w:rPr>
      </w:pPr>
    </w:p>
    <w:p>
      <w:pPr>
        <w:ind w:right="100" w:firstLine="619"/>
        <w:spacing w:after="0" w:line="266" w:lineRule="auto"/>
        <w:rPr>
          <w:sz w:val="20"/>
          <w:szCs w:val="20"/>
          <w:color w:val="auto"/>
        </w:rPr>
      </w:pPr>
      <w:r>
        <w:rPr>
          <w:rFonts w:ascii="Times New Roman" w:cs="Times New Roman" w:eastAsia="Times New Roman" w:hAnsi="Times New Roman"/>
          <w:sz w:val="17"/>
          <w:szCs w:val="17"/>
          <w:color w:val="auto"/>
        </w:rPr>
        <w:t>Latin America revenue was $4.0 billion in 2023, a 25% increase compared to 2022, resulting from improvements across multiple product service lines in Brazil, Mexico, and Argentina. Partly offsetting these increases was lower project management activity in the Caribbean, Ecuador, and Colombia.</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Europe/Africa/CIS</w:t>
      </w:r>
    </w:p>
    <w:p>
      <w:pPr>
        <w:spacing w:after="0" w:line="32"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Europe/Africa/CIS revenue was $2.9 billion in 2023, a 6% increase compared to 2022, resulting from increased activity across multiple product service lines in Africa and higher drilling-related services in Norway. Partially offsetting these increases were the sale of our Russian operations during the third quarter of 2022, as well as decreased wireline activity, lower completion tool sales and decreased testing services in Norway, and lower drilling-related activity and decreased testing services in Algeria.</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Middle East/Asia</w:t>
      </w:r>
    </w:p>
    <w:p>
      <w:pPr>
        <w:spacing w:after="0" w:line="32" w:lineRule="exact"/>
        <w:rPr>
          <w:sz w:val="20"/>
          <w:szCs w:val="20"/>
          <w:color w:val="auto"/>
        </w:rPr>
      </w:pPr>
    </w:p>
    <w:p>
      <w:pPr>
        <w:jc w:val="both"/>
        <w:ind w:right="100" w:firstLine="619"/>
        <w:spacing w:after="0" w:line="257" w:lineRule="auto"/>
        <w:rPr>
          <w:sz w:val="20"/>
          <w:szCs w:val="20"/>
          <w:color w:val="auto"/>
        </w:rPr>
      </w:pPr>
      <w:r>
        <w:rPr>
          <w:rFonts w:ascii="Times New Roman" w:cs="Times New Roman" w:eastAsia="Times New Roman" w:hAnsi="Times New Roman"/>
          <w:sz w:val="17"/>
          <w:szCs w:val="17"/>
          <w:color w:val="auto"/>
        </w:rPr>
        <w:t>Middle East/Asia revenue was $5.7 billion in 2023, an 18% increase compared to 2022, resulting from increased activity across multiple product service lines in Saudi Arabia, the United Arab Emirates, Qatar, Indonesia, and Malaysia, and higher drilling services and improved wireline activity in Thailand. Partially offsetting these improvements were lower project management activity in Saudi Arabia and lower stimulation activity and decreased well intervention services in Kuwait.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Items</w:t>
      </w:r>
    </w:p>
    <w:p>
      <w:pPr>
        <w:spacing w:after="0" w:line="245" w:lineRule="exact"/>
        <w:rPr>
          <w:sz w:val="20"/>
          <w:szCs w:val="20"/>
          <w:color w:val="auto"/>
        </w:rPr>
      </w:pPr>
    </w:p>
    <w:p>
      <w:pPr>
        <w:ind w:right="140"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Impairments and other charges. </w:t>
      </w:r>
      <w:r>
        <w:rPr>
          <w:rFonts w:ascii="Times New Roman" w:cs="Times New Roman" w:eastAsia="Times New Roman" w:hAnsi="Times New Roman"/>
          <w:sz w:val="17"/>
          <w:szCs w:val="17"/>
          <w:color w:val="auto"/>
        </w:rPr>
        <w:t>During 2023, there were no amounts recorded in impairment and other charges. During 2022, we recognized $366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of charges, primarily related to a $344 million write down of all our net assets in Russia as a result of our decision to sell our Russia operations due to the sanctions enacted against Russia arising from the conflict in Ukraine. See Note 2 to the consolidated financial statements for further discussion on these charges.</w:t>
      </w:r>
    </w:p>
    <w:p>
      <w:pPr>
        <w:spacing w:after="0" w:line="186" w:lineRule="exact"/>
        <w:rPr>
          <w:sz w:val="20"/>
          <w:szCs w:val="20"/>
          <w:color w:val="auto"/>
        </w:rPr>
      </w:pPr>
    </w:p>
    <w:p>
      <w:pPr>
        <w:ind w:right="180"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SAP S4 Upgrade Expense. </w:t>
      </w:r>
      <w:r>
        <w:rPr>
          <w:rFonts w:ascii="Times New Roman" w:cs="Times New Roman" w:eastAsia="Times New Roman" w:hAnsi="Times New Roman"/>
          <w:sz w:val="17"/>
          <w:szCs w:val="17"/>
          <w:color w:val="auto"/>
        </w:rPr>
        <w:t>As previously mentioned, in the second quarter of 2023 we began our migration to SAP S4, which we expect to complete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end of 2025. In 2023, we recognized $51 million of expense on our SAP S4 migration.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Nonoperating Items</w:t>
      </w:r>
    </w:p>
    <w:p>
      <w:pPr>
        <w:spacing w:after="0" w:line="245" w:lineRule="exact"/>
        <w:rPr>
          <w:sz w:val="20"/>
          <w:szCs w:val="20"/>
          <w:color w:val="auto"/>
        </w:rPr>
      </w:pPr>
    </w:p>
    <w:p>
      <w:pPr>
        <w:ind w:right="80"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Argentina Blue Chip Swap</w:t>
      </w:r>
      <w:r>
        <w:rPr>
          <w:rFonts w:ascii="Times New Roman" w:cs="Times New Roman" w:eastAsia="Times New Roman" w:hAnsi="Times New Roman"/>
          <w:sz w:val="17"/>
          <w:szCs w:val="17"/>
          <w:color w:val="auto"/>
        </w:rPr>
        <w:t>. The Central Bank of Argentina maintains currency controls that limit our ability to access U.S. dollars in Argentina and remit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cash from our Argentine operations. The execution of certain trades known as Blue Chip Swaps, effectively results in a parallel U.S. dollar exchange rate. This parallel rate, which cannot be used as the basis to remeasure our net monetary assets in U.S. dollars under U.S. GAAP, was 20% higher than Argentina's official exchange rate at December 31, 2023. For the year ended December 31, 2023, we entered into Blue Chip Swap transactions, which resulted in a $110 million pre-tax loss on investment.</w:t>
      </w:r>
    </w:p>
    <w:p>
      <w:pPr>
        <w:spacing w:after="0" w:line="196" w:lineRule="exact"/>
        <w:rPr>
          <w:sz w:val="20"/>
          <w:szCs w:val="20"/>
          <w:color w:val="auto"/>
        </w:rPr>
      </w:pPr>
    </w:p>
    <w:p>
      <w:pPr>
        <w:ind w:right="100"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Argentina Currency Impact</w:t>
      </w:r>
      <w:r>
        <w:rPr>
          <w:rFonts w:ascii="Times New Roman" w:cs="Times New Roman" w:eastAsia="Times New Roman" w:hAnsi="Times New Roman"/>
          <w:sz w:val="17"/>
          <w:szCs w:val="17"/>
          <w:color w:val="auto"/>
        </w:rPr>
        <w:t>. Argentina devalued its peso by more than 50% during December 2023. Consequently, we incurred a loss of $131 million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year ended December 31, 2023 due to the devaluation of the currency in Argentina.</w:t>
      </w:r>
    </w:p>
    <w:p>
      <w:pPr>
        <w:spacing w:after="0" w:line="169" w:lineRule="exact"/>
        <w:rPr>
          <w:sz w:val="20"/>
          <w:szCs w:val="20"/>
          <w:color w:val="auto"/>
        </w:rPr>
      </w:pPr>
    </w:p>
    <w:p>
      <w:pPr>
        <w:ind w:right="100"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Loss on early extinguishment of debt. </w:t>
      </w:r>
      <w:r>
        <w:rPr>
          <w:rFonts w:ascii="Times New Roman" w:cs="Times New Roman" w:eastAsia="Times New Roman" w:hAnsi="Times New Roman"/>
          <w:sz w:val="17"/>
          <w:szCs w:val="17"/>
          <w:color w:val="auto"/>
        </w:rPr>
        <w:t>During the year ended December 31, 2022, we recorded a $42 million loss on the early redemption of $600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aggregate principal amount of our 3.8% senior notes due November 2025, which included premiums and unamortized expenses. See Note 10 to the consolidated financial statements for further information.</w:t>
      </w:r>
    </w:p>
    <w:p>
      <w:pPr>
        <w:spacing w:after="0" w:line="186" w:lineRule="exact"/>
        <w:rPr>
          <w:sz w:val="20"/>
          <w:szCs w:val="20"/>
          <w:color w:val="auto"/>
        </w:rPr>
      </w:pPr>
    </w:p>
    <w:p>
      <w:pPr>
        <w:ind w:right="340"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Income tax provision. </w:t>
      </w:r>
      <w:r>
        <w:rPr>
          <w:rFonts w:ascii="Times New Roman" w:cs="Times New Roman" w:eastAsia="Times New Roman" w:hAnsi="Times New Roman"/>
          <w:sz w:val="17"/>
          <w:szCs w:val="17"/>
          <w:color w:val="auto"/>
        </w:rPr>
        <w:t>During the year ended December 31, 2023, we recorded a total income tax provision of $701 million on pre-tax income of $3.4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billion, resulting in an effective tax rate of 20.8%. The effective tax rate for 2023 was primarily impacted by our geographic mix of earnings, tax adjustments related to the reassessment of prior year tax accruals, and changes of valuation allowance on some of our deferred tax assets. During 2022, we recorded a total income tax provision of $515 million on pre-tax income of $2.1 billion, resulting in an effective tax rate of 24.4%. See Note 12 to the consolidated financial statements for significant drivers of these tax provisions.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2" w:name="page33"/>
    <w:bookmarkEnd w:id="32"/>
    <w:p>
      <w:pPr>
        <w:ind w:left="40"/>
        <w:spacing w:after="0"/>
        <w:tabs>
          <w:tab w:leader="none" w:pos="726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Results of Operations in 2023 Compared to 2022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20"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Pillar Two. </w:t>
      </w:r>
      <w:r>
        <w:rPr>
          <w:rFonts w:ascii="Times New Roman" w:cs="Times New Roman" w:eastAsia="Times New Roman" w:hAnsi="Times New Roman"/>
          <w:sz w:val="17"/>
          <w:szCs w:val="17"/>
          <w:color w:val="auto"/>
        </w:rPr>
        <w:t>The OECD recently enacted model rules for a new global minimum tax framework, also known as Pillar Two, and certain governments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globally have enacted, or are in the process of enacting, legislation considering these model rules. We have considered the possible implication of the legislation passed or in consideration of being passed, and we do not believe these rules will have a material impact on our taxes in the near future.</w:t>
      </w:r>
    </w:p>
    <w:p>
      <w:pPr>
        <w:spacing w:after="0" w:line="186" w:lineRule="exact"/>
        <w:rPr>
          <w:sz w:val="20"/>
          <w:szCs w:val="20"/>
          <w:color w:val="auto"/>
        </w:rPr>
      </w:pPr>
    </w:p>
    <w:p>
      <w:pPr>
        <w:ind w:right="20"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Internal Revenue Service Notice of Proposed Adjustment. </w:t>
      </w:r>
      <w:r>
        <w:rPr>
          <w:rFonts w:ascii="Times New Roman" w:cs="Times New Roman" w:eastAsia="Times New Roman" w:hAnsi="Times New Roman"/>
          <w:sz w:val="17"/>
          <w:szCs w:val="17"/>
          <w:color w:val="auto"/>
        </w:rPr>
        <w:t>We are subject to taxes in the United States and in numerous jurisdictions where we operate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where our subsidiaries are organized. Our tax returns are routinely subject to examination by the taxing authorities in the jurisdictions where we file tax returns. In most cases we are no longer subject to examination by tax authorities for years before 2012. The only significant operating jurisdiction that has tax filings under review or subject to examination by the tax authorities is the United States. Our United States federal income tax filings for tax years 2016 through 2022, including carry back of 2016 net operating losses to 2014, are currently under review or remain open for review by the Internal Revenue Service (the IRS).</w:t>
      </w:r>
    </w:p>
    <w:p>
      <w:pPr>
        <w:spacing w:after="0" w:line="200"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7"/>
          <w:szCs w:val="17"/>
          <w:color w:val="auto"/>
        </w:rPr>
        <w:t>On September 28, 2023, we received a Notice of Proposed Adjustment (NOPA) from the IRS covering our 2016 US tax return. The NOPA proposed an adjustment to reclassify approximately 95% of the $3.5 billion termination fee paid to Baker Hughes in 2016 from an ordinary expense deduction to a capital loss. The termination fee was paid to Baker Hughes under the merger agreement after antitrust regulators in multiple jurisdictions failed to approve our proposed merger. It is common commercial practice to include a termination fee in a merger agreement to compensate the target for damages incurred when the acquisition does not go forward. The IRS’s long-understood position at the time of the payment had been to treat such payments as an ordinary and necessary business expense. We strongly disagree with the proposed adjustment on both a factual and legal basis, and we plan to vigorously contest it.</w:t>
      </w:r>
    </w:p>
    <w:p>
      <w:pPr>
        <w:spacing w:after="0" w:line="199"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We expect that resolving this dispute will take substantial time. In December 2023, we initiated the IRS administrative appeals process, which may take more than 12 months to complete. Failing a resolution through that process, the matter would ultimately be resolved by the United States federal courts.</w:t>
      </w:r>
    </w:p>
    <w:p>
      <w:pPr>
        <w:spacing w:after="0" w:line="177"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We regularly assess the likelihood of adverse outcomes resulting from tax examinations to determine the adequacy of our tax reserves, and we believe our income tax reserves are appropriately provided for all open tax years. We cannot assure you that the matter will be determined in our favor or against us, and if the matter is ultimately determined unfavorably to us, it could have a material adverse impact on our results of operations and cash flows. Based on tax attributes currently available, we estimate that, should the IRS's position prevail through its appellate process and subsequent litigation, the proposed adjustment could result in cash taxes due of approximately $650 million (plus interest thereon in the case of amounts due for previous tax years). Our estimates are calculated under current tax law and on the bases of our assumptions regarding taxable income and loss and other tax attributes over the relevant period, which law could change and which assumptions could and likely will differ materially from actual results. In any event, no payment of any additional tax is currently required, nor do we anticipate that the proposed adjustment would materially and adversely impact our ability to meet our expected uses of cash, including future capital expenditures, working capital investments, and scheduled debt repayments, or our ability to return cash to shareholders, even if a final determination of the matter is reached that is adverse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3" w:name="page34"/>
    <w:bookmarkEnd w:id="33"/>
    <w:p>
      <w:pPr>
        <w:ind w:left="40"/>
        <w:spacing w:after="0"/>
        <w:tabs>
          <w:tab w:leader="none" w:pos="726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Results of Operations in 2022 Compared to 2021</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 IN 2022 COMPARED TO 2021</w:t>
      </w:r>
    </w:p>
    <w:p>
      <w:pPr>
        <w:spacing w:after="0" w:line="247" w:lineRule="exact"/>
        <w:rPr>
          <w:sz w:val="20"/>
          <w:szCs w:val="20"/>
          <w:color w:val="auto"/>
        </w:rPr>
      </w:pPr>
    </w:p>
    <w:p>
      <w:pPr>
        <w:ind w:right="140" w:firstLine="619"/>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Information related to the comparison of our operating results between the years 2022 and 2021 is included in "Item 7. Management's Discussion and Analysis of Financial Condition and Results of Operations" of our </w:t>
      </w:r>
      <w:hyperlink r:id="rId49">
        <w:r>
          <w:rPr>
            <w:rFonts w:ascii="Times New Roman" w:cs="Times New Roman" w:eastAsia="Times New Roman" w:hAnsi="Times New Roman"/>
            <w:sz w:val="17"/>
            <w:szCs w:val="17"/>
            <w:u w:val="single" w:color="auto"/>
            <w:color w:val="0000FF"/>
          </w:rPr>
          <w:t>2022 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filed with the SEC and is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4" w:name="page35"/>
    <w:bookmarkEnd w:id="34"/>
    <w:p>
      <w:pPr>
        <w:ind w:left="40"/>
        <w:spacing w:after="0"/>
        <w:tabs>
          <w:tab w:leader="none" w:pos="856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Critical Accounting Estimates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47" w:lineRule="exact"/>
        <w:rPr>
          <w:sz w:val="20"/>
          <w:szCs w:val="20"/>
          <w:color w:val="auto"/>
        </w:rPr>
      </w:pPr>
    </w:p>
    <w:p>
      <w:pPr>
        <w:ind w:right="360" w:firstLine="619"/>
        <w:spacing w:after="0" w:line="264" w:lineRule="auto"/>
        <w:rPr>
          <w:sz w:val="20"/>
          <w:szCs w:val="20"/>
          <w:color w:val="auto"/>
        </w:rPr>
      </w:pPr>
      <w:r>
        <w:rPr>
          <w:rFonts w:ascii="Times New Roman" w:cs="Times New Roman" w:eastAsia="Times New Roman" w:hAnsi="Times New Roman"/>
          <w:sz w:val="17"/>
          <w:szCs w:val="17"/>
          <w:color w:val="auto"/>
        </w:rPr>
        <w:t>The preparation of financial statements requires the use of judgments and estimates. Our critical accounting policies are described below to provide a better understanding of how we develop our assumptions and judgments about future events and related estimates and how they can impact our financial statements. A critical accounting estimate is one that requires our most difficult, subjective, or complex judgments and assessments and is fundamental to our results of operations. We identified our most critical accounting estimates to be:</w:t>
      </w:r>
    </w:p>
    <w:p>
      <w:pPr>
        <w:spacing w:after="0" w:line="17" w:lineRule="exact"/>
        <w:rPr>
          <w:sz w:val="20"/>
          <w:szCs w:val="20"/>
          <w:color w:val="auto"/>
        </w:rPr>
      </w:pPr>
    </w:p>
    <w:p>
      <w:pPr>
        <w:ind w:left="780" w:right="440" w:hanging="158"/>
        <w:spacing w:after="0" w:line="284" w:lineRule="auto"/>
        <w:tabs>
          <w:tab w:leader="none" w:pos="85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forecasting our income tax (provision) benefit, including our future ability to utilize foreign tax credits and the realizability of deferred tax assets (including net operating loss carryforwards), and providing for uncertain tax positions;</w:t>
      </w:r>
    </w:p>
    <w:p>
      <w:pPr>
        <w:spacing w:after="0" w:line="1"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and investigation matters;</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valuations of long-lived assets, including intangible assets and goodwill; and</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allowance for credit losses.</w:t>
      </w:r>
    </w:p>
    <w:p>
      <w:pPr>
        <w:spacing w:after="0" w:line="294" w:lineRule="exact"/>
        <w:rPr>
          <w:sz w:val="20"/>
          <w:szCs w:val="20"/>
          <w:color w:val="auto"/>
        </w:rPr>
      </w:pPr>
    </w:p>
    <w:p>
      <w:pPr>
        <w:ind w:right="120" w:firstLine="619"/>
        <w:spacing w:after="0" w:line="261" w:lineRule="auto"/>
        <w:rPr>
          <w:sz w:val="20"/>
          <w:szCs w:val="20"/>
          <w:color w:val="auto"/>
        </w:rPr>
      </w:pPr>
      <w:r>
        <w:rPr>
          <w:rFonts w:ascii="Times New Roman" w:cs="Times New Roman" w:eastAsia="Times New Roman" w:hAnsi="Times New Roman"/>
          <w:sz w:val="17"/>
          <w:szCs w:val="17"/>
          <w:color w:val="auto"/>
        </w:rPr>
        <w:t>We base our estimates on historical experience and on various other assumptions we believe to be reasonable according to the current facts and circumstances, the results of which form the basis for making judgments about the carrying values of assets and liabilities that are not readily apparent from other sources. We believe the following are the critical accounting policies used in the preparation of our consolidated financial statements, as well as the significant estimates and judgments affecting the application of these policies. This discussion and analysis should be read in conjunction with our consolidated financial statements and related notes included in this report.</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Income tax accounting</w:t>
      </w:r>
    </w:p>
    <w:p>
      <w:pPr>
        <w:spacing w:after="0" w:line="34"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We recognize the amount of taxes payable or refundable for the current year and use an asset and liability approach in recognizing the amount of deferred tax liabilities and assets for the future tax consequences of events that have been recognized in our financial statements or tax returns. We apply the following basic principles in accounting for our income taxes:</w:t>
      </w:r>
    </w:p>
    <w:p>
      <w:pPr>
        <w:spacing w:after="0" w:line="21" w:lineRule="exact"/>
        <w:rPr>
          <w:sz w:val="20"/>
          <w:szCs w:val="20"/>
          <w:color w:val="auto"/>
        </w:rPr>
      </w:pPr>
    </w:p>
    <w:p>
      <w:pPr>
        <w:ind w:left="860" w:hanging="238"/>
        <w:spacing w:after="0"/>
        <w:tabs>
          <w:tab w:leader="none" w:pos="8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current tax liability or asset is recognized for the estimated taxes payable or refundable on tax returns for the current year;</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deferred tax liability or asset is recognized for the estimated future tax effects attributable to temporary differences and carryforwards;</w:t>
      </w:r>
    </w:p>
    <w:p>
      <w:pPr>
        <w:spacing w:after="0" w:line="62" w:lineRule="exact"/>
        <w:rPr>
          <w:rFonts w:ascii="Times New Roman" w:cs="Times New Roman" w:eastAsia="Times New Roman" w:hAnsi="Times New Roman"/>
          <w:sz w:val="17"/>
          <w:szCs w:val="17"/>
          <w:color w:val="auto"/>
        </w:rPr>
      </w:pPr>
    </w:p>
    <w:p>
      <w:pPr>
        <w:ind w:left="780" w:right="460" w:hanging="158"/>
        <w:spacing w:after="0" w:line="284" w:lineRule="auto"/>
        <w:tabs>
          <w:tab w:leader="none" w:pos="85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measurement of current and deferred tax liabilities and assets is based on provisions of the enacted tax law, and the effects of potential future changes in tax laws or rates are not considered; and</w:t>
      </w:r>
    </w:p>
    <w:p>
      <w:pPr>
        <w:spacing w:after="0" w:line="1" w:lineRule="exact"/>
        <w:rPr>
          <w:rFonts w:ascii="Times New Roman" w:cs="Times New Roman" w:eastAsia="Times New Roman" w:hAnsi="Times New Roman"/>
          <w:sz w:val="17"/>
          <w:szCs w:val="17"/>
          <w:color w:val="auto"/>
        </w:rPr>
      </w:pPr>
    </w:p>
    <w:p>
      <w:pPr>
        <w:ind w:left="780" w:right="340" w:hanging="158"/>
        <w:spacing w:after="0" w:line="287" w:lineRule="auto"/>
        <w:tabs>
          <w:tab w:leader="none" w:pos="85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deferred tax assets is reduced, if necessary, by the amount of any tax benefits that, based on available evidence, are not expected to be realized.</w:t>
      </w:r>
    </w:p>
    <w:p>
      <w:pPr>
        <w:spacing w:after="0" w:line="177" w:lineRule="exact"/>
        <w:rPr>
          <w:sz w:val="20"/>
          <w:szCs w:val="20"/>
          <w:color w:val="auto"/>
        </w:rPr>
      </w:pPr>
    </w:p>
    <w:p>
      <w:pPr>
        <w:ind w:right="200" w:firstLine="619"/>
        <w:spacing w:after="0" w:line="284" w:lineRule="auto"/>
        <w:rPr>
          <w:sz w:val="20"/>
          <w:szCs w:val="20"/>
          <w:color w:val="auto"/>
        </w:rPr>
      </w:pPr>
      <w:r>
        <w:rPr>
          <w:rFonts w:ascii="Times New Roman" w:cs="Times New Roman" w:eastAsia="Times New Roman" w:hAnsi="Times New Roman"/>
          <w:sz w:val="17"/>
          <w:szCs w:val="17"/>
          <w:color w:val="auto"/>
        </w:rPr>
        <w:t>We determine deferred taxes separately for each tax-paying component (an entity or a group of entities that is consolidated for tax purposes) in each tax jurisdiction. That determination includes the following procedures:</w:t>
      </w:r>
    </w:p>
    <w:p>
      <w:pPr>
        <w:spacing w:after="0" w:line="1" w:lineRule="exact"/>
        <w:rPr>
          <w:sz w:val="20"/>
          <w:szCs w:val="20"/>
          <w:color w:val="auto"/>
        </w:rPr>
      </w:pPr>
    </w:p>
    <w:p>
      <w:pPr>
        <w:ind w:left="860" w:hanging="238"/>
        <w:spacing w:after="0"/>
        <w:tabs>
          <w:tab w:leader="none" w:pos="8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the types and amounts of existing temporary differences;</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measuring the total deferred tax liability for taxable temporary differences using the applicable tax rate;</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measuring the total deferred tax asset for deductible temporary differences and operating loss carryforwards using the applicable tax rate;</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measuring the deferred tax assets for each type of tax credit carryforward; and</w:t>
      </w:r>
    </w:p>
    <w:p>
      <w:pPr>
        <w:spacing w:after="0" w:line="62" w:lineRule="exact"/>
        <w:rPr>
          <w:rFonts w:ascii="Times New Roman" w:cs="Times New Roman" w:eastAsia="Times New Roman" w:hAnsi="Times New Roman"/>
          <w:sz w:val="17"/>
          <w:szCs w:val="17"/>
          <w:color w:val="auto"/>
        </w:rPr>
      </w:pPr>
    </w:p>
    <w:p>
      <w:pPr>
        <w:ind w:left="780" w:right="460" w:hanging="158"/>
        <w:spacing w:after="0" w:line="287" w:lineRule="auto"/>
        <w:tabs>
          <w:tab w:leader="none" w:pos="85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reducing the deferred tax assets by a valuation allowance if, based on available evidence, it is more likely than not that some portion or all of the deferred tax assets will not be realized.</w:t>
      </w:r>
    </w:p>
    <w:p>
      <w:pPr>
        <w:spacing w:after="0" w:line="177" w:lineRule="exact"/>
        <w:rPr>
          <w:sz w:val="20"/>
          <w:szCs w:val="20"/>
          <w:color w:val="auto"/>
        </w:rPr>
      </w:pPr>
    </w:p>
    <w:p>
      <w:pPr>
        <w:ind w:right="220" w:firstLine="619"/>
        <w:spacing w:after="0" w:line="264" w:lineRule="auto"/>
        <w:rPr>
          <w:sz w:val="20"/>
          <w:szCs w:val="20"/>
          <w:color w:val="auto"/>
        </w:rPr>
      </w:pPr>
      <w:r>
        <w:rPr>
          <w:rFonts w:ascii="Times New Roman" w:cs="Times New Roman" w:eastAsia="Times New Roman" w:hAnsi="Times New Roman"/>
          <w:sz w:val="17"/>
          <w:szCs w:val="17"/>
          <w:color w:val="auto"/>
        </w:rPr>
        <w:t>Our methodology for recording income taxes requires a significant amount of judgment and the use of assumptions and estimates. Additionally, we use forecasts of certain tax elements, such as taxable income and foreign tax credit utilization, as well as evaluate the feasibility of implementing tax planning strategies. Given the inherent uncertainty involved with the use of such variables, there can be significant variation between anticipated and actual results that could have a material impact on our income tax accounts related to continuing operations.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5" w:name="page36"/>
    <w:bookmarkEnd w:id="35"/>
    <w:p>
      <w:pPr>
        <w:ind w:left="40"/>
        <w:spacing w:after="0"/>
        <w:tabs>
          <w:tab w:leader="none" w:pos="856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Critical Accounting Estimates</w:t>
      </w:r>
    </w:p>
    <w:p>
      <w:pPr>
        <w:spacing w:after="0" w:line="200" w:lineRule="exact"/>
        <w:rPr>
          <w:sz w:val="20"/>
          <w:szCs w:val="20"/>
          <w:color w:val="auto"/>
        </w:rPr>
      </w:pPr>
    </w:p>
    <w:p>
      <w:pPr>
        <w:spacing w:after="0" w:line="339" w:lineRule="exact"/>
        <w:rPr>
          <w:sz w:val="20"/>
          <w:szCs w:val="20"/>
          <w:color w:val="auto"/>
        </w:rPr>
      </w:pPr>
    </w:p>
    <w:p>
      <w:pPr>
        <w:ind w:right="100" w:firstLine="619"/>
        <w:spacing w:after="0" w:line="257" w:lineRule="auto"/>
        <w:rPr>
          <w:sz w:val="20"/>
          <w:szCs w:val="20"/>
          <w:color w:val="auto"/>
        </w:rPr>
      </w:pPr>
      <w:r>
        <w:rPr>
          <w:rFonts w:ascii="Times New Roman" w:cs="Times New Roman" w:eastAsia="Times New Roman" w:hAnsi="Times New Roman"/>
          <w:sz w:val="17"/>
          <w:szCs w:val="17"/>
          <w:color w:val="auto"/>
        </w:rPr>
        <w:t>We have operations in more than 70 countries. Consequently, we are subject to the jurisdiction of a significant number of taxing authorities. The income earned in these various jurisdictions is taxed on differing bases, including net income actually earned, net income deemed earned, and revenue-based tax withholding. Our tax filings are routinely examined in the normal course of business by tax authorities. The final determination of our income tax liabilities involves the interpretation of local tax laws, tax treaties and related authorities in each jurisdiction, as well as the significant use of estimates and assumptions regarding the scope of future operations and results achieved, the timing and nature of income earned and expenditures incurred. The final determination of tax audits or changes in the operating environment, including changes in tax law and currency/repatriation controls, could impact the determination of our income tax liabilities for a tax year and have an adverse effect on our financial statements. For example, we received a NOPA from the IRS on September 28, 2023. See "Managements's Discussion and Analysis of Financial Condition and Results of Operations - Nonoperating Items, Internal Revenue Service Notice of Proposed Adjustment" and Note 12 to the consolidated financial statements for further information.</w:t>
      </w:r>
    </w:p>
    <w:p>
      <w:pPr>
        <w:spacing w:after="0" w:line="205"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Tax filings of our subsidiaries, unconsolidated affiliates and related entities are routinely examined in the normal course of business by tax authorities. These examinations may result in assessments of additional taxes, which we work to resolve with the tax authorities and through the judicial process. Predicting the outcome of disputed assessments involves some uncertainty. Factors such as the availability of settlement procedures, willingness of tax authorities to negotiate, and the operation and impartiality of judicial systems vary across the different tax jurisdictions and may significantly influence the ultimate outcome. We review the facts for each assessment, and then utilize assumptions and estimates to determine the most likely outcome and provide taxes, interest, and penalties, as needed based on this outcome. We provide for uncertain tax positions pursuant to current accounting standards, which prescribe a minimum recognition threshold and measurement methodology that a tax position taken or expected to be taken in a tax return is required to meet before being recognized in the financial statements. The standards also provide guidance for derecognition classification, interest and penalties, accounting in interim periods, disclosure, and transition.</w:t>
      </w:r>
    </w:p>
    <w:p>
      <w:pPr>
        <w:spacing w:after="0" w:line="200" w:lineRule="exact"/>
        <w:rPr>
          <w:sz w:val="20"/>
          <w:szCs w:val="20"/>
          <w:color w:val="auto"/>
        </w:rPr>
      </w:pP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Legal and investigation matters</w:t>
      </w:r>
    </w:p>
    <w:p>
      <w:pPr>
        <w:spacing w:after="0" w:line="34"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As discussed in Note 11 of our consolidated financial statements, we are subject to various legal and investigation matters arising in the ordinary course of business. As of December 31, 2023, we have accrued an estimate of the probable and estimable costs for the resolution of some of our legal and investigation matters, which is not material to our consolidated financial statements. For other matters for which the liability is not probable and reasonably estimable, we have not accrued any amounts. Attorneys in our legal department monitor and manage all claims filed against us and review all pending investigations. Generally, the estimate of probable costs related to these matters is developed in consultation with internal and outside legal counsel representing us. Our estimates are based upon an analysis of potential results, assuming a combination of litigation and settlement strategies. The accuracy of these estimates is impacted by, among other things, the complexity of the issues and the amount of due diligence we have been able to perform. We attempt to resolve these matters through settlements, mediation, and arbitration proceedings when possible. If the actual settlement costs, final judgments, or fines, after appeals, differ from our estimates, there may be a material adverse effect on our future financial results. We have in the past recorded significant adjustments to our initial estimates of these types of contingencies.</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Value of long-lived assets, including intangible assets and goodwill</w:t>
      </w:r>
    </w:p>
    <w:p>
      <w:pPr>
        <w:spacing w:after="0" w:line="34" w:lineRule="exact"/>
        <w:rPr>
          <w:sz w:val="20"/>
          <w:szCs w:val="20"/>
          <w:color w:val="auto"/>
        </w:rPr>
      </w:pPr>
    </w:p>
    <w:p>
      <w:pPr>
        <w:ind w:firstLine="619"/>
        <w:spacing w:after="0" w:line="256" w:lineRule="auto"/>
        <w:rPr>
          <w:sz w:val="20"/>
          <w:szCs w:val="20"/>
          <w:color w:val="auto"/>
        </w:rPr>
      </w:pPr>
      <w:r>
        <w:rPr>
          <w:rFonts w:ascii="Times New Roman" w:cs="Times New Roman" w:eastAsia="Times New Roman" w:hAnsi="Times New Roman"/>
          <w:sz w:val="17"/>
          <w:szCs w:val="17"/>
          <w:color w:val="auto"/>
        </w:rPr>
        <w:t>We carry a variety of long-lived assets on our balance sheet including property, plant, and equipment, goodwill, and other intangibles. Impairment is the condition that exists when the carrying amount of a long-lived asset exceeds its fair value, and any impairment charge that we record reduces our operating income. Goodwill is the excess of the cost of an acquired entity over the net of the amounts assigned to assets acquired and liabilities assumed. We conduct impairment tests on goodwill annually, during the third quarter, or more frequently whenever events or changes in circumstances indicate an impairment may exist. We conduct impairment tests on long-lived assets, other than goodwill, whenever events or changes in circumstances indicate that the carrying value may not be recoverable.</w:t>
      </w:r>
    </w:p>
    <w:p>
      <w:pPr>
        <w:spacing w:after="0" w:line="200" w:lineRule="exact"/>
        <w:rPr>
          <w:sz w:val="20"/>
          <w:szCs w:val="20"/>
          <w:color w:val="auto"/>
        </w:rPr>
      </w:pPr>
    </w:p>
    <w:p>
      <w:pPr>
        <w:spacing w:after="0" w:line="210"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When conducting an impairment test on long-lived assets, other than goodwill, we first group individual assets based on the lowest level for which identifiable cash flows are largely independent of the cash flows from other assets. This requires some judgment. We then compare estimated future undiscounted cash flows expected to result from the use and eventual disposition of the asset group to its carrying amount. If the undiscounted cash flows are less than the asset group’s carrying amount, we then determine the asset group's fair value by using a discounted cash flow analysis. This analysis is based on estimates such as management’s short-term and long-term forecast of operating performance, including revenue growth rates and expected profitability margins, estimates of the remaining useful life and service potential of the assets within the asset group, and a discount rate based on our weighted average cost of capital. An impairment loss is measured and recorded as the amount by which the asset group's carrying amount exceeds its fair value. See Note 2 to the consolidated financial statements for further discussion of impairments and other charges.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6" w:name="page37"/>
    <w:bookmarkEnd w:id="36"/>
    <w:p>
      <w:pPr>
        <w:ind w:left="40"/>
        <w:spacing w:after="0"/>
        <w:tabs>
          <w:tab w:leader="none" w:pos="856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Critical Accounting Estimates</w:t>
      </w:r>
    </w:p>
    <w:p>
      <w:pPr>
        <w:spacing w:after="0" w:line="200" w:lineRule="exact"/>
        <w:rPr>
          <w:sz w:val="20"/>
          <w:szCs w:val="20"/>
          <w:color w:val="auto"/>
        </w:rPr>
      </w:pPr>
    </w:p>
    <w:p>
      <w:pPr>
        <w:spacing w:after="0" w:line="339"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We perform our goodwill impairment assessment for each reporting unit, which is the same as our reportable segments, the Completion and Production division and the Drilling and Evaluation division, comparing the estimated fair value of each reporting unit to the reporting unit’s carrying value, including goodwill. We estimate the fair value for each reporting unit using a discounted cash flow analysis based on management’s short-term and long-term forecast of operating performance. This analysis includes significant assumptions regarding discount rates, revenue growth rates, expected profitability margins, forecasted capital expenditures, and the timing of expected future cash flows based on market conditions. If the estimated fair value of a reporting unit exceeds its carrying amount, goodwill of the reporting unit is not considered impaired. If the carrying amount of a reporting unit exceeds its estimated fair value, an impairment loss is measured and recorded.</w:t>
      </w:r>
    </w:p>
    <w:p>
      <w:pPr>
        <w:spacing w:after="0" w:line="205" w:lineRule="exact"/>
        <w:rPr>
          <w:sz w:val="20"/>
          <w:szCs w:val="20"/>
          <w:color w:val="auto"/>
        </w:rPr>
      </w:pPr>
    </w:p>
    <w:p>
      <w:pPr>
        <w:ind w:right="100" w:firstLine="619"/>
        <w:spacing w:after="0" w:line="260" w:lineRule="auto"/>
        <w:rPr>
          <w:sz w:val="20"/>
          <w:szCs w:val="20"/>
          <w:color w:val="auto"/>
        </w:rPr>
      </w:pPr>
      <w:r>
        <w:rPr>
          <w:rFonts w:ascii="Times New Roman" w:cs="Times New Roman" w:eastAsia="Times New Roman" w:hAnsi="Times New Roman"/>
          <w:sz w:val="17"/>
          <w:szCs w:val="17"/>
          <w:color w:val="auto"/>
        </w:rPr>
        <w:t>The impairment assessments discussed above incorporate inherent uncertainties, including projected commodity pricing, supply and demand for our services, and future market conditions, which are difficult to predict in volatile economic environments and could result in impairment charges in future periods if actual results materially differ from the estimated assumptions utilized in our forecasts. If market conditions deteriorate, including crude oil prices significantly declining and remaining at low levels for a sustained period of time, we could be required to record additional impairments of the carrying value of our long-lived assets in the future which could have a material adverse impact on our operating results. See Note 1 to the consolidated financial statements for our accounting policies related to long-lived assets.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Allowance for credit losses</w:t>
      </w:r>
    </w:p>
    <w:p>
      <w:pPr>
        <w:spacing w:after="0" w:line="34" w:lineRule="exact"/>
        <w:rPr>
          <w:sz w:val="20"/>
          <w:szCs w:val="20"/>
          <w:color w:val="auto"/>
        </w:rPr>
      </w:pPr>
    </w:p>
    <w:p>
      <w:pPr>
        <w:ind w:right="80" w:firstLine="619"/>
        <w:spacing w:after="0" w:line="255" w:lineRule="auto"/>
        <w:rPr>
          <w:sz w:val="20"/>
          <w:szCs w:val="20"/>
          <w:color w:val="auto"/>
        </w:rPr>
      </w:pPr>
      <w:r>
        <w:rPr>
          <w:rFonts w:ascii="Times New Roman" w:cs="Times New Roman" w:eastAsia="Times New Roman" w:hAnsi="Times New Roman"/>
          <w:sz w:val="17"/>
          <w:szCs w:val="17"/>
          <w:color w:val="auto"/>
        </w:rPr>
        <w:t>We evaluate our global accounts receivable through a continuous process of assessing our portfolio on an individual customer and overall basis. This process consists of a thorough review of historical collection experience, current aging status of the customer accounts, financial condition of our customers, and whether the receivables involve retainages. We also consider the economic environment of our customers, both from a marketplace and geographic perspective, in evaluating the need for an allowance. Based on our review of these factors, we establish or adjust allowances for specific customers. This process involves judgment and estimation, and frequently involves significant dollar amounts. Accordingly, our results of operations can be affected by adjustments to the allowance due to actual write-offs that differ from estimated amounts.</w:t>
      </w:r>
    </w:p>
    <w:p>
      <w:pPr>
        <w:spacing w:after="0" w:line="207"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color w:val="auto"/>
        </w:rPr>
        <w:t>At December 31, 2023, our allowance for credit losses totaled $742 million, or 13.9% of notes and accounts receivable before the allowance. At December 31, 2022, our allowance for credit losses totaled $731 million, or 14.7% of notes and accounts receivable before the allowance. The allowance for credit losses in both years is primarily comprised of accounts receivable from our primary customer in Venezuela. A hypothetical 100 basis point change in our estimate of the collectability of our notes and accounts receivable balance as of December 31, 2023 would have resulted in a $54 million adjustment to 2023 total operating costs and expenses. See Note 5 to the consolidated financial statements for further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INSTRUMENT MARKET RISK</w:t>
      </w:r>
    </w:p>
    <w:p>
      <w:pPr>
        <w:spacing w:after="0" w:line="247"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We are exposed to market risk from changes in foreign currency exchange rates and interest rates. We selectively manage these exposures through the use of derivative instruments, including forward foreign exchange contracts, foreign exchange options, and interest rate swaps. The objective of our risk management strategy is to minimize the volatility from fluctuations in foreign currency and interest rates. We do not use derivative instruments for trading purposes. The counterparties to our forward contracts, options, and interest rate swaps are global commercial and investment banks.</w:t>
      </w:r>
    </w:p>
    <w:p>
      <w:pPr>
        <w:spacing w:after="0" w:line="197"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We use a sensitivity analysis model to measure the impact of potential adverse movements in foreign currency exchange rates and interest rates. With respect to foreign exchange sensitivity, after consideration of the impact from our forward foreign exchange contracts and options, a hypothetical 10% adverse change in the value of all our foreign currency positions relative to the United States dollar as of December 31, 2023 would result in a $85 million, pre-tax loss for our net monetary assets denominated in currencies other than United States dollars. As of December 31, 2023, we did not have any interest rate swaps outstanding and our outstanding debt has fixed interest rates.</w:t>
      </w:r>
    </w:p>
    <w:p>
      <w:pPr>
        <w:spacing w:after="0" w:line="200" w:lineRule="exact"/>
        <w:rPr>
          <w:sz w:val="20"/>
          <w:szCs w:val="20"/>
          <w:color w:val="auto"/>
        </w:rPr>
      </w:pPr>
    </w:p>
    <w:p>
      <w:pPr>
        <w:ind w:right="220" w:firstLine="619"/>
        <w:spacing w:after="0" w:line="270" w:lineRule="auto"/>
        <w:rPr>
          <w:sz w:val="20"/>
          <w:szCs w:val="20"/>
          <w:color w:val="auto"/>
        </w:rPr>
      </w:pPr>
      <w:r>
        <w:rPr>
          <w:rFonts w:ascii="Times New Roman" w:cs="Times New Roman" w:eastAsia="Times New Roman" w:hAnsi="Times New Roman"/>
          <w:sz w:val="17"/>
          <w:szCs w:val="17"/>
          <w:color w:val="auto"/>
        </w:rPr>
        <w:t>There are certain limitations inherent in the sensitivity analysis presented, primarily due to the assumption that exchange rates and interest rates change instantaneously in an equally adverse fashion. In addition, the analyses are unable to reflect the complex market reactions that normally would arise from the market shifts modeled. While this is our best estimate of the impact of the various scenarios, these estimates should not be viewed as forecasts.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further information regarding foreign currency exchange risk, interest rate risk, and credit risk, see Note 16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7" w:name="page38"/>
    <w:bookmarkEnd w:id="37"/>
    <w:p>
      <w:pPr>
        <w:ind w:left="40"/>
        <w:spacing w:after="0"/>
        <w:tabs>
          <w:tab w:leader="none" w:pos="904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 | Environmental Matters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MATTERS</w:t>
      </w:r>
    </w:p>
    <w:p>
      <w:pPr>
        <w:spacing w:after="0" w:line="247" w:lineRule="exact"/>
        <w:rPr>
          <w:sz w:val="20"/>
          <w:szCs w:val="20"/>
          <w:color w:val="auto"/>
        </w:rPr>
      </w:pPr>
    </w:p>
    <w:p>
      <w:pPr>
        <w:ind w:right="880" w:firstLine="619"/>
        <w:spacing w:after="0" w:line="287" w:lineRule="auto"/>
        <w:rPr>
          <w:sz w:val="20"/>
          <w:szCs w:val="20"/>
          <w:color w:val="auto"/>
        </w:rPr>
      </w:pPr>
      <w:r>
        <w:rPr>
          <w:rFonts w:ascii="Times New Roman" w:cs="Times New Roman" w:eastAsia="Times New Roman" w:hAnsi="Times New Roman"/>
          <w:sz w:val="17"/>
          <w:szCs w:val="17"/>
          <w:color w:val="auto"/>
        </w:rPr>
        <w:t>We are subject to numerous environmental, legal, and regulatory requirements related to our operations worldwide. For information related to environmental matters, see Note 11 to the consolidated financial statements and "Part I, Item 1(a). “Risk Factors.”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INFORMATION</w:t>
      </w:r>
    </w:p>
    <w:p>
      <w:pPr>
        <w:spacing w:after="0" w:line="247"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The Private Securities Litigation Reform Act of 1995 provides safe harbor provisions for forward-looking information. Forward-looking information is based on projections and estimates, not historical information. Some statements in this Form 10-K are forward-looking and use words like “may,” “may not,” “believe,” “do not believe,” “plan,” “estimate,” “intend,” “expect,” “do not expect,” “anticipate,” “do not anticipate,” “should,” “likely,” and other expressions. We may also provide oral or written forward-looking information in our statements and other materials we release to the public. Forward-looking information involves risk and uncertainties and reflects our best judgment based on current information. Our results of operations can be affected by inaccurate assumptions we make or by known or unknown risks and uncertainties. In addition, other factors may affect the accuracy of our forward-looking information. As a result, no forward-looking information can be guaranteed. Actual events and the results of our operations may vary materially.</w:t>
      </w:r>
    </w:p>
    <w:p>
      <w:pPr>
        <w:spacing w:after="0" w:line="205" w:lineRule="exact"/>
        <w:rPr>
          <w:sz w:val="20"/>
          <w:szCs w:val="20"/>
          <w:color w:val="auto"/>
        </w:rPr>
      </w:pPr>
    </w:p>
    <w:p>
      <w:pPr>
        <w:jc w:val="both"/>
        <w:ind w:right="300" w:firstLine="619"/>
        <w:spacing w:after="0" w:line="270" w:lineRule="auto"/>
        <w:rPr>
          <w:sz w:val="20"/>
          <w:szCs w:val="20"/>
          <w:color w:val="auto"/>
        </w:rPr>
      </w:pPr>
      <w:r>
        <w:rPr>
          <w:rFonts w:ascii="Times New Roman" w:cs="Times New Roman" w:eastAsia="Times New Roman" w:hAnsi="Times New Roman"/>
          <w:sz w:val="17"/>
          <w:szCs w:val="17"/>
          <w:color w:val="auto"/>
        </w:rPr>
        <w:t>We do not assume any responsibility to publicly update any of our forward-looking statements regardless of whether factors change as a result of new information, future events or for any other reason. You should review any additional disclosures we make in our press releases and Forms 10-K, 10-Q, and 8-K filed with or furnished to the SEC. We also suggest that you listen to our quarterly earnings release conference calls with financial analysts.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8" w:name="page39"/>
    <w:bookmarkEnd w:id="38"/>
    <w:p>
      <w:pPr>
        <w:ind w:left="40"/>
        <w:spacing w:after="0"/>
        <w:tabs>
          <w:tab w:leader="none" w:pos="628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7(a) | Quantitative and Qualitative Disclosures About Market Risk</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32" w:lineRule="exact"/>
        <w:rPr>
          <w:sz w:val="20"/>
          <w:szCs w:val="20"/>
          <w:color w:val="auto"/>
        </w:rPr>
      </w:pPr>
    </w:p>
    <w:p>
      <w:pPr>
        <w:ind w:right="380" w:firstLine="619"/>
        <w:spacing w:after="0" w:line="266" w:lineRule="auto"/>
        <w:rPr>
          <w:sz w:val="20"/>
          <w:szCs w:val="20"/>
          <w:color w:val="auto"/>
        </w:rPr>
      </w:pPr>
      <w:r>
        <w:rPr>
          <w:rFonts w:ascii="Times New Roman" w:cs="Times New Roman" w:eastAsia="Times New Roman" w:hAnsi="Times New Roman"/>
          <w:sz w:val="17"/>
          <w:szCs w:val="17"/>
          <w:color w:val="auto"/>
        </w:rPr>
        <w:t>Information related to market risk is included in "Item 7. Management’s Discussion and Analysis of Financial Condition and Results of Operations – Financial Instrument Market Risk” and Note 16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7"/>
        </w:trPr>
        <w:tc>
          <w:tcPr>
            <w:tcW w:w="8900" w:type="dxa"/>
            <w:vAlign w:val="bottom"/>
            <w:gridSpan w:val="26"/>
          </w:tcPr>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80" w:type="dxa"/>
            <w:vAlign w:val="bottom"/>
            <w:gridSpan w:val="25"/>
            <w:vMerge w:val="restart"/>
          </w:tcPr>
          <w:p>
            <w:pPr>
              <w:spacing w:after="0"/>
              <w:rPr>
                <w:sz w:val="20"/>
                <w:szCs w:val="20"/>
                <w:color w:val="auto"/>
              </w:rPr>
            </w:pPr>
            <w:r>
              <w:rPr>
                <w:rFonts w:ascii="Times New Roman" w:cs="Times New Roman" w:eastAsia="Times New Roman" w:hAnsi="Times New Roman"/>
                <w:sz w:val="17"/>
                <w:szCs w:val="17"/>
                <w:b w:val="1"/>
                <w:bCs w:val="1"/>
                <w:color w:val="auto"/>
              </w:rPr>
              <w:t>Financial Statements</w:t>
            </w:r>
          </w:p>
        </w:tc>
        <w:tc>
          <w:tcPr>
            <w:tcW w:w="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880" w:type="dxa"/>
            <w:vAlign w:val="bottom"/>
            <w:gridSpan w:val="25"/>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76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Management’s Report on Internal Control Over Financial Reporting</w:t>
            </w:r>
          </w:p>
        </w:tc>
        <w:tc>
          <w:tcPr>
            <w:tcW w:w="4120" w:type="dxa"/>
            <w:vAlign w:val="bottom"/>
            <w:gridSpan w:val="5"/>
          </w:tcPr>
          <w:p>
            <w:pPr>
              <w:spacing w:after="0"/>
              <w:rPr>
                <w:sz w:val="17"/>
                <w:szCs w:val="17"/>
                <w:color w:val="auto"/>
              </w:rPr>
            </w:pP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39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2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Reports of Independent Registered Public Accounting Firm</w:t>
            </w:r>
          </w:p>
        </w:tc>
        <w:tc>
          <w:tcPr>
            <w:tcW w:w="520" w:type="dxa"/>
            <w:vAlign w:val="bottom"/>
            <w:gridSpan w:val="2"/>
          </w:tcPr>
          <w:p>
            <w:pPr>
              <w:spacing w:after="0"/>
              <w:rPr>
                <w:sz w:val="17"/>
                <w:szCs w:val="17"/>
                <w:color w:val="auto"/>
              </w:rPr>
            </w:pPr>
          </w:p>
        </w:tc>
        <w:tc>
          <w:tcPr>
            <w:tcW w:w="4120" w:type="dxa"/>
            <w:vAlign w:val="bottom"/>
            <w:gridSpan w:val="5"/>
          </w:tcPr>
          <w:p>
            <w:pPr>
              <w:spacing w:after="0"/>
              <w:rPr>
                <w:sz w:val="17"/>
                <w:szCs w:val="17"/>
                <w:color w:val="auto"/>
              </w:rPr>
            </w:pP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40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88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years ended December 31, 2023, 2022 and 2021</w:t>
            </w: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43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88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 for the years ended December 31, 2023, 2022 and 2021</w:t>
            </w: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44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24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Consolidated Balance Sheets at December 31, 2023 and 2022</w:t>
            </w:r>
          </w:p>
        </w:tc>
        <w:tc>
          <w:tcPr>
            <w:tcW w:w="3180" w:type="dxa"/>
            <w:vAlign w:val="bottom"/>
            <w:gridSpan w:val="6"/>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45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2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December 31, 2023, 2022 and 2021</w:t>
            </w:r>
          </w:p>
        </w:tc>
        <w:tc>
          <w:tcPr>
            <w:tcW w:w="1640" w:type="dxa"/>
            <w:vAlign w:val="bottom"/>
            <w:gridSpan w:val="2"/>
          </w:tcPr>
          <w:p>
            <w:pPr>
              <w:spacing w:after="0"/>
              <w:rPr>
                <w:sz w:val="17"/>
                <w:szCs w:val="17"/>
                <w:color w:val="auto"/>
              </w:rPr>
            </w:pP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888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Consolidated Statements of Shareholders’ Equity for the years ended December 31, 2023, 2022 and 2021</w:t>
            </w: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4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tc>
        <w:tc>
          <w:tcPr>
            <w:tcW w:w="164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88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Note 1. Description of Company and Significant Accounting Policies</w:t>
            </w: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48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80" w:type="dxa"/>
            <w:vAlign w:val="bottom"/>
            <w:gridSpan w:val="9"/>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92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Note 2. Impairments and Other Charges</w:t>
            </w:r>
          </w:p>
        </w:tc>
        <w:tc>
          <w:tcPr>
            <w:tcW w:w="5960" w:type="dxa"/>
            <w:vAlign w:val="bottom"/>
            <w:gridSpan w:val="13"/>
          </w:tcPr>
          <w:p>
            <w:pPr>
              <w:spacing w:after="0"/>
              <w:rPr>
                <w:sz w:val="17"/>
                <w:szCs w:val="17"/>
                <w:color w:val="auto"/>
              </w:rPr>
            </w:pP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51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8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88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Note 3. Business Segment and Geographic Information</w:t>
            </w: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51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8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Note 4. Revenue</w:t>
            </w:r>
          </w:p>
        </w:tc>
        <w:tc>
          <w:tcPr>
            <w:tcW w:w="2640" w:type="dxa"/>
            <w:vAlign w:val="bottom"/>
            <w:gridSpan w:val="14"/>
          </w:tcPr>
          <w:p>
            <w:pPr>
              <w:spacing w:after="0"/>
              <w:rPr>
                <w:sz w:val="17"/>
                <w:szCs w:val="17"/>
                <w:color w:val="auto"/>
              </w:rPr>
            </w:pPr>
          </w:p>
        </w:tc>
        <w:tc>
          <w:tcPr>
            <w:tcW w:w="5080" w:type="dxa"/>
            <w:vAlign w:val="bottom"/>
            <w:gridSpan w:val="9"/>
          </w:tcPr>
          <w:p>
            <w:pPr>
              <w:spacing w:after="0"/>
              <w:rPr>
                <w:sz w:val="17"/>
                <w:szCs w:val="17"/>
                <w:color w:val="auto"/>
              </w:rPr>
            </w:pP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53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3"/>
              </w:rPr>
              <w:t>Note 5. Receivables</w:t>
            </w:r>
          </w:p>
        </w:tc>
        <w:tc>
          <w:tcPr>
            <w:tcW w:w="7560" w:type="dxa"/>
            <w:vAlign w:val="bottom"/>
            <w:gridSpan w:val="22"/>
          </w:tcPr>
          <w:p>
            <w:pPr>
              <w:spacing w:after="0"/>
              <w:rPr>
                <w:sz w:val="17"/>
                <w:szCs w:val="17"/>
                <w:color w:val="auto"/>
              </w:rPr>
            </w:pP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w w:val="91"/>
              </w:rPr>
              <w:t>Note 6. Leases</w:t>
            </w:r>
          </w:p>
        </w:tc>
        <w:tc>
          <w:tcPr>
            <w:tcW w:w="360" w:type="dxa"/>
            <w:vAlign w:val="bottom"/>
            <w:gridSpan w:val="2"/>
          </w:tcPr>
          <w:p>
            <w:pPr>
              <w:spacing w:after="0"/>
              <w:rPr>
                <w:sz w:val="17"/>
                <w:szCs w:val="17"/>
                <w:color w:val="auto"/>
              </w:rPr>
            </w:pPr>
          </w:p>
        </w:tc>
        <w:tc>
          <w:tcPr>
            <w:tcW w:w="7560" w:type="dxa"/>
            <w:vAlign w:val="bottom"/>
            <w:gridSpan w:val="22"/>
          </w:tcPr>
          <w:p>
            <w:pPr>
              <w:spacing w:after="0"/>
              <w:rPr>
                <w:sz w:val="17"/>
                <w:szCs w:val="17"/>
                <w:color w:val="auto"/>
              </w:rPr>
            </w:pP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55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88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Note 7. Inventories</w:t>
            </w: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8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Note 8. Accounts Payable</w:t>
            </w:r>
          </w:p>
        </w:tc>
        <w:tc>
          <w:tcPr>
            <w:tcW w:w="7060" w:type="dxa"/>
            <w:vAlign w:val="bottom"/>
            <w:gridSpan w:val="18"/>
          </w:tcPr>
          <w:p>
            <w:pPr>
              <w:spacing w:after="0"/>
              <w:rPr>
                <w:sz w:val="17"/>
                <w:szCs w:val="17"/>
                <w:color w:val="auto"/>
              </w:rPr>
            </w:pP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6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w w:val="99"/>
              </w:rPr>
              <w:t>Note 9. Property, Plant and Equipment</w:t>
            </w:r>
          </w:p>
        </w:tc>
        <w:tc>
          <w:tcPr>
            <w:tcW w:w="6220" w:type="dxa"/>
            <w:vAlign w:val="bottom"/>
            <w:gridSpan w:val="15"/>
          </w:tcPr>
          <w:p>
            <w:pPr>
              <w:spacing w:after="0"/>
              <w:rPr>
                <w:sz w:val="17"/>
                <w:szCs w:val="17"/>
                <w:color w:val="auto"/>
              </w:rPr>
            </w:pP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66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Note 10. Debt</w:t>
            </w:r>
          </w:p>
        </w:tc>
        <w:tc>
          <w:tcPr>
            <w:tcW w:w="6220" w:type="dxa"/>
            <w:vAlign w:val="bottom"/>
            <w:gridSpan w:val="15"/>
          </w:tcPr>
          <w:p>
            <w:pPr>
              <w:spacing w:after="0"/>
              <w:rPr>
                <w:sz w:val="17"/>
                <w:szCs w:val="17"/>
                <w:color w:val="auto"/>
              </w:rPr>
            </w:pP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58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88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Note 11. Commitments and Contingencies</w:t>
            </w: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59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9"/>
              </w:rPr>
              <w:t>Note 12. Income Taxes</w:t>
            </w:r>
          </w:p>
        </w:tc>
        <w:tc>
          <w:tcPr>
            <w:tcW w:w="1320" w:type="dxa"/>
            <w:vAlign w:val="bottom"/>
            <w:gridSpan w:val="7"/>
          </w:tcPr>
          <w:p>
            <w:pPr>
              <w:spacing w:after="0"/>
              <w:rPr>
                <w:sz w:val="17"/>
                <w:szCs w:val="17"/>
                <w:color w:val="auto"/>
              </w:rPr>
            </w:pPr>
          </w:p>
        </w:tc>
        <w:tc>
          <w:tcPr>
            <w:tcW w:w="5960" w:type="dxa"/>
            <w:vAlign w:val="bottom"/>
            <w:gridSpan w:val="13"/>
          </w:tcPr>
          <w:p>
            <w:pPr>
              <w:spacing w:after="0"/>
              <w:rPr>
                <w:sz w:val="17"/>
                <w:szCs w:val="17"/>
                <w:color w:val="auto"/>
              </w:rPr>
            </w:pP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59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5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Note 13. Shareholders’ Equity</w:t>
            </w:r>
          </w:p>
        </w:tc>
        <w:tc>
          <w:tcPr>
            <w:tcW w:w="6360" w:type="dxa"/>
            <w:vAlign w:val="bottom"/>
            <w:gridSpan w:val="16"/>
          </w:tcPr>
          <w:p>
            <w:pPr>
              <w:spacing w:after="0"/>
              <w:rPr>
                <w:sz w:val="17"/>
                <w:szCs w:val="17"/>
                <w:color w:val="auto"/>
              </w:rPr>
            </w:pP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62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5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Note 14. Stock-based Compensation</w:t>
            </w:r>
          </w:p>
        </w:tc>
        <w:tc>
          <w:tcPr>
            <w:tcW w:w="6360" w:type="dxa"/>
            <w:vAlign w:val="bottom"/>
            <w:gridSpan w:val="16"/>
          </w:tcPr>
          <w:p>
            <w:pPr>
              <w:spacing w:after="0"/>
              <w:rPr>
                <w:sz w:val="17"/>
                <w:szCs w:val="17"/>
                <w:color w:val="auto"/>
              </w:rPr>
            </w:pP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52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Note 15. Income per Share</w:t>
            </w:r>
          </w:p>
        </w:tc>
        <w:tc>
          <w:tcPr>
            <w:tcW w:w="6360" w:type="dxa"/>
            <w:vAlign w:val="bottom"/>
            <w:gridSpan w:val="16"/>
          </w:tcPr>
          <w:p>
            <w:pPr>
              <w:spacing w:after="0"/>
              <w:rPr>
                <w:sz w:val="17"/>
                <w:szCs w:val="17"/>
                <w:color w:val="auto"/>
              </w:rPr>
            </w:pP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65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1180" w:type="dxa"/>
            <w:vAlign w:val="bottom"/>
            <w:tcBorders>
              <w:left w:val="single" w:sz="8" w:color="0000FF"/>
            </w:tcBorders>
            <w:gridSpan w:val="6"/>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72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Note 16. Financial Instruments and Risk Management</w:t>
            </w:r>
          </w:p>
        </w:tc>
        <w:tc>
          <w:tcPr>
            <w:tcW w:w="5160" w:type="dxa"/>
            <w:vAlign w:val="bottom"/>
            <w:gridSpan w:val="10"/>
          </w:tcPr>
          <w:p>
            <w:pPr>
              <w:spacing w:after="0"/>
              <w:rPr>
                <w:sz w:val="17"/>
                <w:szCs w:val="17"/>
                <w:color w:val="auto"/>
              </w:rPr>
            </w:pP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66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1180" w:type="dxa"/>
            <w:vAlign w:val="bottom"/>
            <w:tcBorders>
              <w:left w:val="single" w:sz="8" w:color="0000FF"/>
            </w:tcBorders>
            <w:gridSpan w:val="6"/>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8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w w:val="99"/>
              </w:rPr>
              <w:t>Note 17. Retirement Plans</w:t>
            </w:r>
          </w:p>
        </w:tc>
        <w:tc>
          <w:tcPr>
            <w:tcW w:w="1900" w:type="dxa"/>
            <w:vAlign w:val="bottom"/>
            <w:gridSpan w:val="8"/>
          </w:tcPr>
          <w:p>
            <w:pPr>
              <w:spacing w:after="0"/>
              <w:rPr>
                <w:sz w:val="17"/>
                <w:szCs w:val="17"/>
                <w:color w:val="auto"/>
              </w:rPr>
            </w:pPr>
          </w:p>
        </w:tc>
        <w:tc>
          <w:tcPr>
            <w:tcW w:w="5160" w:type="dxa"/>
            <w:vAlign w:val="bottom"/>
            <w:gridSpan w:val="10"/>
          </w:tcPr>
          <w:p>
            <w:pPr>
              <w:spacing w:after="0"/>
              <w:rPr>
                <w:sz w:val="17"/>
                <w:szCs w:val="17"/>
                <w:color w:val="auto"/>
              </w:rPr>
            </w:pP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588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00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Note 18. New Accounting Pronouncements</w:t>
            </w:r>
          </w:p>
        </w:tc>
        <w:tc>
          <w:tcPr>
            <w:tcW w:w="5880" w:type="dxa"/>
            <w:vAlign w:val="bottom"/>
            <w:gridSpan w:val="12"/>
          </w:tcPr>
          <w:p>
            <w:pPr>
              <w:spacing w:after="0"/>
              <w:rPr>
                <w:sz w:val="17"/>
                <w:szCs w:val="17"/>
                <w:color w:val="auto"/>
              </w:rPr>
            </w:pPr>
          </w:p>
        </w:tc>
        <w:tc>
          <w:tcPr>
            <w:tcW w:w="32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0000FF"/>
                <w:w w:val="93"/>
              </w:rPr>
              <w:t>69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47" w:lineRule="exact"/>
        <w:rPr>
          <w:sz w:val="20"/>
          <w:szCs w:val="20"/>
          <w:color w:val="auto"/>
        </w:rPr>
      </w:pPr>
    </w:p>
    <w:p>
      <w:pPr>
        <w:ind w:right="120" w:firstLine="619"/>
        <w:spacing w:after="0" w:line="287" w:lineRule="auto"/>
        <w:rPr>
          <w:sz w:val="20"/>
          <w:szCs w:val="20"/>
          <w:color w:val="auto"/>
        </w:rPr>
      </w:pPr>
      <w:r>
        <w:rPr>
          <w:rFonts w:ascii="Times New Roman" w:cs="Times New Roman" w:eastAsia="Times New Roman" w:hAnsi="Times New Roman"/>
          <w:sz w:val="17"/>
          <w:szCs w:val="17"/>
          <w:color w:val="auto"/>
        </w:rPr>
        <w:t>The management of Halliburton Company is responsible for establishing and maintaining adequate internal control over financial reporting as defined in the Securities Exchange Act Rule 13a-15(f).</w:t>
      </w:r>
    </w:p>
    <w:p>
      <w:pPr>
        <w:spacing w:after="0" w:line="177" w:lineRule="exact"/>
        <w:rPr>
          <w:sz w:val="20"/>
          <w:szCs w:val="20"/>
          <w:color w:val="auto"/>
        </w:rPr>
      </w:pPr>
    </w:p>
    <w:p>
      <w:pPr>
        <w:jc w:val="both"/>
        <w:ind w:right="20" w:firstLine="619"/>
        <w:spacing w:after="0" w:line="270" w:lineRule="auto"/>
        <w:rPr>
          <w:sz w:val="20"/>
          <w:szCs w:val="20"/>
          <w:color w:val="auto"/>
        </w:rPr>
      </w:pPr>
      <w:r>
        <w:rPr>
          <w:rFonts w:ascii="Times New Roman" w:cs="Times New Roman" w:eastAsia="Times New Roman" w:hAnsi="Times New Roman"/>
          <w:sz w:val="17"/>
          <w:szCs w:val="17"/>
          <w:color w:val="auto"/>
        </w:rPr>
        <w:t>Internal control over financial reporting, no matter how well designed, has inherent limitations. Therefore, even those systems determined to be effective can provide only reasonable assurance with respect to financial statement preparation and presentation. Further, because of changes in conditions, the effectiveness of internal control over financial reporting may vary over time.</w:t>
      </w:r>
    </w:p>
    <w:p>
      <w:pPr>
        <w:spacing w:after="0" w:line="191"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 xml:space="preserve">Under the supervision and with the participation of our management, including our chief executive officer and chief financial officer, we conducted an evaluation to assess the effectiveness of our internal control over financial reporting as of December 31, 2023 based upon criteria set forth in the </w:t>
      </w:r>
      <w:r>
        <w:rPr>
          <w:rFonts w:ascii="Times New Roman" w:cs="Times New Roman" w:eastAsia="Times New Roman" w:hAnsi="Times New Roman"/>
          <w:sz w:val="17"/>
          <w:szCs w:val="17"/>
          <w:i w:val="1"/>
          <w:iCs w:val="1"/>
          <w:color w:val="auto"/>
        </w:rPr>
        <w:t>Internal Control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Integrated Framework (2013) </w:t>
      </w:r>
      <w:r>
        <w:rPr>
          <w:rFonts w:ascii="Times New Roman" w:cs="Times New Roman" w:eastAsia="Times New Roman" w:hAnsi="Times New Roman"/>
          <w:sz w:val="17"/>
          <w:szCs w:val="17"/>
          <w:color w:val="auto"/>
        </w:rPr>
        <w:t>issued by the Committee of Sponsoring Organizations of the Treadway Commission.</w:t>
      </w:r>
    </w:p>
    <w:p>
      <w:pPr>
        <w:spacing w:after="0" w:line="191"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Based on our assessment, we believe that, as of December 31, 2023, our internal control over financial reporting is effective. The effectiveness of Halliburton’s internal control over financial reporting as of December 31, 2023 has been audited by KPMG LLP, an independent registered public accounting firm, as stated in their report that is included herein.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HALLIBURTON COMPANY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920" w:type="dxa"/>
        <w:tblCellMar>
          <w:top w:w="0" w:type="dxa"/>
          <w:left w:w="0" w:type="dxa"/>
          <w:bottom w:w="0" w:type="dxa"/>
          <w:right w:w="0" w:type="dxa"/>
        </w:tblCellMar>
      </w:tblPr>
      <w:tr>
        <w:trPr>
          <w:trHeight w:val="223"/>
        </w:trPr>
        <w:tc>
          <w:tcPr>
            <w:tcW w:w="5780" w:type="dxa"/>
            <w:vAlign w:val="bottom"/>
            <w:gridSpan w:val="2"/>
          </w:tcPr>
          <w:p>
            <w:pPr>
              <w:jc w:val="center"/>
              <w:ind w:right="2180"/>
              <w:spacing w:after="0"/>
              <w:rPr>
                <w:sz w:val="20"/>
                <w:szCs w:val="20"/>
                <w:color w:val="auto"/>
              </w:rPr>
            </w:pPr>
            <w:r>
              <w:rPr>
                <w:rFonts w:ascii="Times New Roman" w:cs="Times New Roman" w:eastAsia="Times New Roman" w:hAnsi="Times New Roman"/>
                <w:sz w:val="17"/>
                <w:szCs w:val="17"/>
                <w:color w:val="auto"/>
              </w:rPr>
              <w:t>/s/ Jeffrey A. Miller</w:t>
            </w:r>
          </w:p>
        </w:tc>
        <w:tc>
          <w:tcPr>
            <w:tcW w:w="3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Eric J. Carre</w:t>
            </w:r>
          </w:p>
        </w:tc>
      </w:tr>
      <w:tr>
        <w:trPr>
          <w:trHeight w:val="209"/>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Jeffrey A. Miller</w:t>
            </w:r>
          </w:p>
        </w:tc>
        <w:tc>
          <w:tcPr>
            <w:tcW w:w="2180" w:type="dxa"/>
            <w:vAlign w:val="bottom"/>
          </w:tcPr>
          <w:p>
            <w:pPr>
              <w:spacing w:after="0"/>
              <w:rPr>
                <w:sz w:val="18"/>
                <w:szCs w:val="18"/>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Eric J. Carre</w:t>
            </w:r>
          </w:p>
        </w:tc>
      </w:tr>
      <w:tr>
        <w:trPr>
          <w:trHeight w:val="219"/>
        </w:trPr>
        <w:tc>
          <w:tcPr>
            <w:tcW w:w="5780" w:type="dxa"/>
            <w:vAlign w:val="bottom"/>
            <w:gridSpan w:val="2"/>
          </w:tcPr>
          <w:p>
            <w:pPr>
              <w:jc w:val="center"/>
              <w:ind w:right="2180"/>
              <w:spacing w:after="0"/>
              <w:rPr>
                <w:sz w:val="20"/>
                <w:szCs w:val="20"/>
                <w:color w:val="auto"/>
              </w:rPr>
            </w:pPr>
            <w:r>
              <w:rPr>
                <w:rFonts w:ascii="Times New Roman" w:cs="Times New Roman" w:eastAsia="Times New Roman" w:hAnsi="Times New Roman"/>
                <w:sz w:val="17"/>
                <w:szCs w:val="17"/>
                <w:color w:val="auto"/>
              </w:rPr>
              <w:t>Chairman of the Board, President and</w:t>
            </w:r>
          </w:p>
        </w:tc>
        <w:tc>
          <w:tcPr>
            <w:tcW w:w="3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Executive Vice President and</w:t>
            </w:r>
          </w:p>
        </w:tc>
      </w:tr>
      <w:tr>
        <w:trPr>
          <w:trHeight w:val="223"/>
        </w:trPr>
        <w:tc>
          <w:tcPr>
            <w:tcW w:w="5780" w:type="dxa"/>
            <w:vAlign w:val="bottom"/>
            <w:gridSpan w:val="2"/>
          </w:tcPr>
          <w:p>
            <w:pPr>
              <w:jc w:val="center"/>
              <w:ind w:right="2180"/>
              <w:spacing w:after="0"/>
              <w:rPr>
                <w:sz w:val="20"/>
                <w:szCs w:val="20"/>
                <w:color w:val="auto"/>
              </w:rPr>
            </w:pPr>
            <w:r>
              <w:rPr>
                <w:rFonts w:ascii="Times New Roman" w:cs="Times New Roman" w:eastAsia="Times New Roman" w:hAnsi="Times New Roman"/>
                <w:sz w:val="17"/>
                <w:szCs w:val="17"/>
                <w:color w:val="auto"/>
              </w:rPr>
              <w:t>Chief Executive Officer</w:t>
            </w:r>
          </w:p>
        </w:tc>
        <w:tc>
          <w:tcPr>
            <w:tcW w:w="3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Halliburton Company: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Opinion on the Consolidated Financial Statements</w:t>
      </w:r>
    </w:p>
    <w:p>
      <w:pPr>
        <w:spacing w:after="0" w:line="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Halliburton Company and subsidiaries (the Company) as of December 31, 2023 and 2022, the related consolidated statements of operations, comprehensive income, cash flows and shareholders' equity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13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and our report dated February 6, 2024 expressed an unqualified opinion on the effectiveness of the Company’s internal control over financial reporting.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for Opinion</w:t>
      </w:r>
    </w:p>
    <w:p>
      <w:pPr>
        <w:spacing w:after="0" w:line="6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w:t>
      </w:r>
    </w:p>
    <w:p>
      <w:pPr>
        <w:spacing w:after="0" w:line="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Evaluation of the Realizability of Deferred Tax Assets</w:t>
      </w:r>
    </w:p>
    <w:p>
      <w:pPr>
        <w:spacing w:after="0" w:line="144" w:lineRule="exact"/>
        <w:rPr>
          <w:sz w:val="20"/>
          <w:szCs w:val="20"/>
          <w:color w:val="auto"/>
        </w:rPr>
      </w:pPr>
    </w:p>
    <w:p>
      <w:pPr>
        <w:ind w:left="620" w:right="40"/>
        <w:spacing w:after="0" w:line="264" w:lineRule="auto"/>
        <w:rPr>
          <w:sz w:val="20"/>
          <w:szCs w:val="20"/>
          <w:color w:val="auto"/>
        </w:rPr>
      </w:pPr>
      <w:r>
        <w:rPr>
          <w:rFonts w:ascii="Times New Roman" w:cs="Times New Roman" w:eastAsia="Times New Roman" w:hAnsi="Times New Roman"/>
          <w:sz w:val="17"/>
          <w:szCs w:val="17"/>
          <w:color w:val="auto"/>
        </w:rPr>
        <w:t>As discussed in Notes 1 and 12 to the consolidated financial statements, the Company recognizes deferred tax assets and liabilities for the expected future tax consequences of events that have been recognized in the financial statements. A valuation allowance is provided for deferred tax assets if it is more likely than not that these items will not be realized, which is dependent upon the generation of future taxable income. As of December 31, 2023, the Company had gross deferred tax assets of $3.6 billion and a related valuation allowance of $0.8 billion.</w:t>
      </w:r>
    </w:p>
    <w:p>
      <w:pPr>
        <w:spacing w:after="0" w:line="133"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7"/>
          <w:szCs w:val="17"/>
          <w:color w:val="auto"/>
        </w:rPr>
        <w:t>We identified the evaluation of the realizability of domestic deferred tax assets as a critical audit matter. The evaluation of the realizability of domestic deferred tax assets, specifically related to foreign tax credits, required subjective auditor judgment to assess the forecasts of future taxable income over the periods in which those temporary differences become deductible. Changes in assumptions regarding forecasted taxable income, specifically revenue growth rates, could have an impact on the Company’s evaluation of the realizability of the domestic deferred tax assets.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20" w:right="40"/>
        <w:spacing w:after="0" w:line="261"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evaluated the design and tested the operating effectiveness of certain internal controls related to the critical audit matter. This included controls related to the development of forecasts of future taxable income. We evaluated the assumptions used in the development of forecasts of future taxable income, specifically revenue growth rates, by comparing to historical actuals while considering current and anticipated future commodity prices or market events. We also evaluated the Company’s history of realizing domestic deferred tax assets by evaluating the expiration of foreign tax credits.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2002.</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6, 2024</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Halliburton Company: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Opinion on Internal Control Over Financial Reporting</w:t>
      </w:r>
    </w:p>
    <w:p>
      <w:pPr>
        <w:spacing w:after="0" w:line="6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 xml:space="preserve">We have audited Halliburton Company and subsidiaries' (the Company)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 Control</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Integrated Framework (2013)</w:t>
      </w:r>
      <w:r>
        <w:rPr>
          <w:rFonts w:ascii="Times New Roman" w:cs="Times New Roman" w:eastAsia="Times New Roman" w:hAnsi="Times New Roman"/>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 Control</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13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cash flows and shareholders' equity for each of the years in the three-year period ended December 31, 2023, and the related notes (collectively, the consolidated financial statements), and our report dated February 6, 2024 expressed an unqualified opinion on those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for Opinion</w:t>
      </w:r>
    </w:p>
    <w:p>
      <w:pPr>
        <w:spacing w:after="0" w:line="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Definition and Limitations of Internal Control Over Financial Reporting</w:t>
      </w:r>
    </w:p>
    <w:p>
      <w:pPr>
        <w:spacing w:after="0" w:line="6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6, 2024</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HALLIBURTON COMPANY</w:t>
      </w:r>
    </w:p>
    <w:p>
      <w:pPr>
        <w:ind w:left="430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9" w:lineRule="exact"/>
        <w:rPr>
          <w:sz w:val="20"/>
          <w:szCs w:val="20"/>
          <w:color w:val="auto"/>
        </w:rPr>
      </w:pPr>
    </w:p>
    <w:tbl>
      <w:tblPr>
        <w:tblLayout w:type="fixed"/>
        <w:tblInd w:w="720" w:type="dxa"/>
        <w:tblCellMar>
          <w:top w:w="0" w:type="dxa"/>
          <w:left w:w="0" w:type="dxa"/>
          <w:bottom w:w="0" w:type="dxa"/>
          <w:right w:w="0" w:type="dxa"/>
        </w:tblCellMar>
      </w:tblPr>
      <w:tr>
        <w:trPr>
          <w:trHeight w:val="223"/>
        </w:trPr>
        <w:tc>
          <w:tcPr>
            <w:tcW w:w="57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7"/>
                <w:szCs w:val="17"/>
                <w:color w:val="auto"/>
              </w:rPr>
              <w:t>Year Ended December 31</w:t>
            </w:r>
          </w:p>
        </w:tc>
        <w:tc>
          <w:tcPr>
            <w:tcW w:w="980" w:type="dxa"/>
            <w:vAlign w:val="bottom"/>
            <w:tcBorders>
              <w:bottom w:val="single" w:sz="8" w:color="auto"/>
            </w:tcBorders>
          </w:tcPr>
          <w:p>
            <w:pPr>
              <w:spacing w:after="0"/>
              <w:rPr>
                <w:sz w:val="19"/>
                <w:szCs w:val="19"/>
                <w:color w:val="auto"/>
              </w:rPr>
            </w:pPr>
          </w:p>
        </w:tc>
      </w:tr>
      <w:tr>
        <w:trPr>
          <w:trHeight w:val="212"/>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Millions of dollars and shares except per share data</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2023</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2022</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9"/>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Services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16,483</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14,749</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10,989</w:t>
            </w:r>
          </w:p>
        </w:tc>
      </w:tr>
      <w:tr>
        <w:trPr>
          <w:trHeight w:val="219"/>
        </w:trPr>
        <w:tc>
          <w:tcPr>
            <w:tcW w:w="5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sales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6,535</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5,548</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4,306</w:t>
            </w:r>
          </w:p>
        </w:tc>
      </w:tr>
      <w:tr>
        <w:trPr>
          <w:trHeight w:val="212"/>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23,018</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20,297</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15,295</w:t>
            </w:r>
          </w:p>
        </w:tc>
      </w:tr>
      <w:tr>
        <w:trPr>
          <w:trHeight w:val="212"/>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9"/>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Cost of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13,402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12,381</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9,745</w:t>
            </w:r>
          </w:p>
        </w:tc>
      </w:tr>
      <w:tr>
        <w:trPr>
          <w:trHeight w:val="21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5,256</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4,603</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3,534</w:t>
            </w:r>
          </w:p>
        </w:tc>
      </w:tr>
      <w:tr>
        <w:trPr>
          <w:trHeight w:val="219"/>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w:t>
            </w:r>
          </w:p>
        </w:tc>
      </w:tr>
      <w:tr>
        <w:trPr>
          <w:trHeight w:val="21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SAP S4 upgrade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Impairments and other charges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2"/>
        </w:trPr>
        <w:tc>
          <w:tcPr>
            <w:tcW w:w="5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18,935</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17,590</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13,495</w:t>
            </w:r>
          </w:p>
        </w:tc>
      </w:tr>
      <w:tr>
        <w:trPr>
          <w:trHeight w:val="212"/>
        </w:trPr>
        <w:tc>
          <w:tcPr>
            <w:tcW w:w="5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4,083</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2,707</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w:t>
            </w:r>
          </w:p>
        </w:tc>
      </w:tr>
      <w:tr>
        <w:trPr>
          <w:trHeight w:val="21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net of interest income of $81, $29, and $9</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w:t>
            </w:r>
          </w:p>
        </w:tc>
      </w:tr>
      <w:tr>
        <w:trPr>
          <w:trHeight w:val="219"/>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Loss on Blue Chip Swap transactions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Argentina currency impact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Loss on early extinguishment of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2"/>
        </w:trPr>
        <w:tc>
          <w:tcPr>
            <w:tcW w:w="5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3,363</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2,110</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1,252</w:t>
            </w:r>
          </w:p>
        </w:tc>
      </w:tr>
      <w:tr>
        <w:trPr>
          <w:trHeight w:val="219"/>
        </w:trPr>
        <w:tc>
          <w:tcPr>
            <w:tcW w:w="5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(provision)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r>
      <w:tr>
        <w:trPr>
          <w:trHeight w:val="212"/>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2,662</w:t>
            </w: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1,595</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1,468</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1"/>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193"/>
        </w:trPr>
        <w:tc>
          <w:tcPr>
            <w:tcW w:w="57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income attributable to company</w:t>
            </w:r>
          </w:p>
        </w:tc>
        <w:tc>
          <w:tcPr>
            <w:tcW w:w="300" w:type="dxa"/>
            <w:vAlign w:val="bottom"/>
            <w:tcBorders>
              <w:bottom w:val="single" w:sz="8" w:color="auto"/>
            </w:tcBorders>
          </w:tcPr>
          <w:p>
            <w:pPr>
              <w:jc w:val="right"/>
              <w:ind w:right="114"/>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2,638</w:t>
            </w:r>
          </w:p>
        </w:tc>
        <w:tc>
          <w:tcPr>
            <w:tcW w:w="300" w:type="dxa"/>
            <w:vAlign w:val="bottom"/>
            <w:tcBorders>
              <w:bottom w:val="single" w:sz="8" w:color="auto"/>
            </w:tcBorders>
          </w:tcPr>
          <w:p>
            <w:pPr>
              <w:jc w:val="right"/>
              <w:ind w:right="94"/>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1,572</w:t>
            </w:r>
          </w:p>
        </w:tc>
        <w:tc>
          <w:tcPr>
            <w:tcW w:w="360" w:type="dxa"/>
            <w:vAlign w:val="bottom"/>
            <w:tcBorders>
              <w:bottom w:val="single" w:sz="8" w:color="auto"/>
            </w:tcBorders>
          </w:tcPr>
          <w:p>
            <w:pPr>
              <w:jc w:val="right"/>
              <w:ind w:right="174"/>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1,457</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1"/>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net income per share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219"/>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Diluted net income per share</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21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weighted average common shares outstanding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w:t>
            </w:r>
          </w:p>
        </w:tc>
      </w:tr>
      <w:tr>
        <w:trPr>
          <w:trHeight w:val="219"/>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Diluted weighted average common shares outstanding</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908</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892</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ind w:left="1020"/>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60" w:top="162"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741"/>
        </w:trPr>
        <w:tc>
          <w:tcPr>
            <w:tcW w:w="20" w:type="dxa"/>
            <w:vAlign w:val="bottom"/>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3360" w:type="dxa"/>
            <w:vAlign w:val="bottom"/>
          </w:tcPr>
          <w:p>
            <w:pPr>
              <w:spacing w:after="0"/>
              <w:rPr>
                <w:sz w:val="24"/>
                <w:szCs w:val="24"/>
                <w:color w:val="auto"/>
              </w:rPr>
            </w:pPr>
          </w:p>
        </w:tc>
        <w:tc>
          <w:tcPr>
            <w:tcW w:w="3080" w:type="dxa"/>
            <w:vAlign w:val="bottom"/>
            <w:gridSpan w:val="2"/>
          </w:tcPr>
          <w:p>
            <w:pPr>
              <w:jc w:val="right"/>
              <w:ind w:right="840"/>
              <w:spacing w:after="0"/>
              <w:rPr>
                <w:sz w:val="20"/>
                <w:szCs w:val="20"/>
                <w:color w:val="auto"/>
              </w:rPr>
            </w:pPr>
            <w:r>
              <w:rPr>
                <w:rFonts w:ascii="Times New Roman" w:cs="Times New Roman" w:eastAsia="Times New Roman" w:hAnsi="Times New Roman"/>
                <w:sz w:val="17"/>
                <w:szCs w:val="17"/>
                <w:b w:val="1"/>
                <w:bCs w:val="1"/>
                <w:color w:val="auto"/>
              </w:rPr>
              <w:t>HALLIBURTON COMPANY</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7"/>
                <w:szCs w:val="17"/>
                <w:color w:val="auto"/>
              </w:rPr>
              <w:t>Year Ended December 31</w:t>
            </w:r>
          </w:p>
        </w:tc>
        <w:tc>
          <w:tcPr>
            <w:tcW w:w="960" w:type="dxa"/>
            <w:vAlign w:val="bottom"/>
            <w:tcBorders>
              <w:bottom w:val="single" w:sz="8" w:color="auto"/>
            </w:tcBorders>
          </w:tcPr>
          <w:p>
            <w:pPr>
              <w:spacing w:after="0"/>
              <w:rPr>
                <w:sz w:val="19"/>
                <w:szCs w:val="19"/>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26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2023</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2022</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2021</w:t>
            </w:r>
          </w:p>
        </w:tc>
      </w:tr>
      <w:tr>
        <w:trPr>
          <w:trHeight w:val="237"/>
        </w:trPr>
        <w:tc>
          <w:tcPr>
            <w:tcW w:w="20" w:type="dxa"/>
            <w:vAlign w:val="bottom"/>
            <w:tcBorders>
              <w:bottom w:val="single" w:sz="8" w:color="auto"/>
            </w:tcBorders>
            <w:shd w:val="clear" w:color="auto" w:fill="CCEEFF"/>
          </w:tcPr>
          <w:p>
            <w:pPr>
              <w:spacing w:after="0"/>
              <w:rPr>
                <w:sz w:val="20"/>
                <w:szCs w:val="20"/>
                <w:color w:val="auto"/>
              </w:rPr>
            </w:pPr>
          </w:p>
        </w:tc>
        <w:tc>
          <w:tcPr>
            <w:tcW w:w="45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3080" w:type="dxa"/>
            <w:vAlign w:val="bottom"/>
            <w:tcBorders>
              <w:bottom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2,662</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1,595</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4580" w:type="dxa"/>
            <w:vAlign w:val="bottom"/>
            <w:tcBorders>
              <w:top w:val="single" w:sz="8" w:color="CCEEFF"/>
              <w:bottom w:val="single" w:sz="8" w:color="auto"/>
            </w:tcBorders>
            <w:gridSpan w:val="2"/>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58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Other comprehensive income (loss), net of income taxes:</w:t>
            </w:r>
          </w:p>
        </w:tc>
        <w:tc>
          <w:tcPr>
            <w:tcW w:w="2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Defined benefit and other post retirement plans adjustment</w:t>
            </w:r>
          </w:p>
        </w:tc>
        <w:tc>
          <w:tcPr>
            <w:tcW w:w="2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19"/>
        </w:trPr>
        <w:tc>
          <w:tcPr>
            <w:tcW w:w="2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26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20" w:type="dxa"/>
            <w:vAlign w:val="bottom"/>
            <w:tcBorders>
              <w:bottom w:val="single" w:sz="8" w:color="auto"/>
            </w:tcBorders>
            <w:shd w:val="clear" w:color="auto" w:fill="CCEEFF"/>
          </w:tcPr>
          <w:p>
            <w:pPr>
              <w:spacing w:after="0"/>
              <w:rPr>
                <w:sz w:val="18"/>
                <w:szCs w:val="18"/>
                <w:color w:val="auto"/>
              </w:rPr>
            </w:pPr>
          </w:p>
        </w:tc>
        <w:tc>
          <w:tcPr>
            <w:tcW w:w="45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 (loss), net of income taxes</w:t>
            </w:r>
          </w:p>
        </w:tc>
        <w:tc>
          <w:tcPr>
            <w:tcW w:w="26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12"/>
        </w:trPr>
        <w:tc>
          <w:tcPr>
            <w:tcW w:w="2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Comprehensive income</w:t>
            </w:r>
          </w:p>
        </w:tc>
        <w:tc>
          <w:tcPr>
            <w:tcW w:w="30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2,561</w:t>
            </w: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1,647</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1"/>
        </w:trPr>
        <w:tc>
          <w:tcPr>
            <w:tcW w:w="20" w:type="dxa"/>
            <w:vAlign w:val="bottom"/>
            <w:tcBorders>
              <w:bottom w:val="single" w:sz="8" w:color="auto"/>
            </w:tcBorders>
            <w:shd w:val="clear" w:color="auto" w:fill="CCEEFF"/>
          </w:tcPr>
          <w:p>
            <w:pPr>
              <w:spacing w:after="0"/>
              <w:rPr>
                <w:sz w:val="18"/>
                <w:szCs w:val="18"/>
                <w:color w:val="auto"/>
              </w:rPr>
            </w:pPr>
          </w:p>
        </w:tc>
        <w:tc>
          <w:tcPr>
            <w:tcW w:w="45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income attributable to noncontrolling interest</w:t>
            </w:r>
          </w:p>
        </w:tc>
        <w:tc>
          <w:tcPr>
            <w:tcW w:w="26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2"/>
        </w:trPr>
        <w:tc>
          <w:tcPr>
            <w:tcW w:w="2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Comprehensive income attributable to company shareholders</w:t>
            </w:r>
          </w:p>
        </w:tc>
        <w:tc>
          <w:tcPr>
            <w:tcW w:w="30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2,537</w:t>
            </w: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1,525</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1,636</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4580" w:type="dxa"/>
            <w:vAlign w:val="bottom"/>
            <w:tcBorders>
              <w:bottom w:val="single" w:sz="8" w:color="auto"/>
            </w:tcBorders>
            <w:gridSpan w:val="2"/>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tc>
        <w:tc>
          <w:tcPr>
            <w:tcW w:w="2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50"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7"/>
                <w:szCs w:val="17"/>
                <w:color w:val="auto"/>
              </w:rPr>
            </w:pPr>
          </w:p>
        </w:tc>
        <w:tc>
          <w:tcPr>
            <w:tcW w:w="8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741"/>
        </w:trPr>
        <w:tc>
          <w:tcPr>
            <w:tcW w:w="40" w:type="dxa"/>
            <w:vAlign w:val="bottom"/>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7360" w:type="dxa"/>
            <w:vAlign w:val="bottom"/>
          </w:tcPr>
          <w:p>
            <w:pPr>
              <w:jc w:val="center"/>
              <w:ind w:left="1274"/>
              <w:spacing w:after="0"/>
              <w:rPr>
                <w:sz w:val="20"/>
                <w:szCs w:val="20"/>
                <w:color w:val="auto"/>
              </w:rPr>
            </w:pPr>
            <w:r>
              <w:rPr>
                <w:rFonts w:ascii="Times New Roman" w:cs="Times New Roman" w:eastAsia="Times New Roman" w:hAnsi="Times New Roman"/>
                <w:sz w:val="17"/>
                <w:szCs w:val="17"/>
                <w:b w:val="1"/>
                <w:bCs w:val="1"/>
                <w:color w:val="auto"/>
                <w:w w:val="99"/>
              </w:rPr>
              <w:t>HALLIBURTON COMPANY</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7"/>
        </w:trPr>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360" w:type="dxa"/>
            <w:vAlign w:val="bottom"/>
          </w:tcPr>
          <w:p>
            <w:pPr>
              <w:jc w:val="center"/>
              <w:ind w:left="1334"/>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December 31</w:t>
            </w:r>
          </w:p>
        </w:tc>
        <w:tc>
          <w:tcPr>
            <w:tcW w:w="840" w:type="dxa"/>
            <w:vAlign w:val="bottom"/>
            <w:tcBorders>
              <w:bottom w:val="single" w:sz="8" w:color="auto"/>
            </w:tcBorders>
          </w:tcPr>
          <w:p>
            <w:pPr>
              <w:spacing w:after="0"/>
              <w:rPr>
                <w:sz w:val="19"/>
                <w:szCs w:val="19"/>
                <w:color w:val="auto"/>
              </w:rPr>
            </w:pPr>
          </w:p>
        </w:tc>
      </w:tr>
      <w:tr>
        <w:trPr>
          <w:trHeight w:val="212"/>
        </w:trPr>
        <w:tc>
          <w:tcPr>
            <w:tcW w:w="8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 and shares except per share data</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2023</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9"/>
              </w:rPr>
              <w:t>2022</w:t>
            </w:r>
          </w:p>
        </w:tc>
      </w:tr>
      <w:tr>
        <w:trPr>
          <w:trHeight w:val="212"/>
        </w:trPr>
        <w:tc>
          <w:tcPr>
            <w:tcW w:w="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360" w:type="dxa"/>
            <w:vAlign w:val="bottom"/>
            <w:tcBorders>
              <w:bottom w:val="single" w:sz="8" w:color="auto"/>
            </w:tcBorders>
            <w:shd w:val="clear" w:color="auto" w:fill="CCEEFF"/>
          </w:tcPr>
          <w:p>
            <w:pPr>
              <w:jc w:val="center"/>
              <w:ind w:left="1294"/>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r>
      <w:tr>
        <w:trPr>
          <w:trHeight w:val="212"/>
        </w:trPr>
        <w:tc>
          <w:tcPr>
            <w:tcW w:w="86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8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equivalents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w:t>
            </w:r>
          </w:p>
        </w:tc>
        <w:tc>
          <w:tcPr>
            <w:tcW w:w="4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2,346</w:t>
            </w:r>
          </w:p>
        </w:tc>
      </w:tr>
      <w:tr>
        <w:trPr>
          <w:trHeight w:val="219"/>
        </w:trPr>
        <w:tc>
          <w:tcPr>
            <w:tcW w:w="8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Receivables (net of allowances for credit losses of $742 and $731)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4,860</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4,627</w:t>
            </w:r>
          </w:p>
        </w:tc>
      </w:tr>
      <w:tr>
        <w:trPr>
          <w:trHeight w:val="219"/>
        </w:trPr>
        <w:tc>
          <w:tcPr>
            <w:tcW w:w="8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3,226</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2,923</w:t>
            </w:r>
          </w:p>
        </w:tc>
      </w:tr>
      <w:tr>
        <w:trPr>
          <w:trHeight w:val="219"/>
        </w:trPr>
        <w:tc>
          <w:tcPr>
            <w:tcW w:w="8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1,193</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1,056</w:t>
            </w:r>
          </w:p>
        </w:tc>
      </w:tr>
      <w:tr>
        <w:trPr>
          <w:trHeight w:val="212"/>
        </w:trPr>
        <w:tc>
          <w:tcPr>
            <w:tcW w:w="8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11,543</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10,952</w:t>
            </w:r>
          </w:p>
        </w:tc>
      </w:tr>
      <w:tr>
        <w:trPr>
          <w:trHeight w:val="219"/>
        </w:trPr>
        <w:tc>
          <w:tcPr>
            <w:tcW w:w="8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 of accumulated depreciation of $12,064 and $11,660)</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4,348</w:t>
            </w:r>
          </w:p>
        </w:tc>
      </w:tr>
      <w:tr>
        <w:trPr>
          <w:trHeight w:val="219"/>
        </w:trPr>
        <w:tc>
          <w:tcPr>
            <w:tcW w:w="8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2,850</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2,829</w:t>
            </w:r>
          </w:p>
        </w:tc>
      </w:tr>
      <w:tr>
        <w:trPr>
          <w:trHeight w:val="219"/>
        </w:trPr>
        <w:tc>
          <w:tcPr>
            <w:tcW w:w="8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2,505</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2,636</w:t>
            </w:r>
          </w:p>
        </w:tc>
      </w:tr>
      <w:tr>
        <w:trPr>
          <w:trHeight w:val="219"/>
        </w:trPr>
        <w:tc>
          <w:tcPr>
            <w:tcW w:w="8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w:t>
            </w:r>
          </w:p>
        </w:tc>
      </w:tr>
      <w:tr>
        <w:trPr>
          <w:trHeight w:val="219"/>
        </w:trPr>
        <w:tc>
          <w:tcPr>
            <w:tcW w:w="8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1,797</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1,577</w:t>
            </w:r>
          </w:p>
        </w:tc>
      </w:tr>
      <w:tr>
        <w:trPr>
          <w:trHeight w:val="237"/>
        </w:trPr>
        <w:tc>
          <w:tcPr>
            <w:tcW w:w="862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24,683</w:t>
            </w:r>
          </w:p>
        </w:tc>
        <w:tc>
          <w:tcPr>
            <w:tcW w:w="48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23,255</w:t>
            </w:r>
          </w:p>
        </w:tc>
      </w:tr>
      <w:tr>
        <w:trPr>
          <w:trHeight w:val="20"/>
        </w:trPr>
        <w:tc>
          <w:tcPr>
            <w:tcW w:w="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60" w:type="dxa"/>
            <w:vAlign w:val="bottom"/>
          </w:tcPr>
          <w:p>
            <w:pPr>
              <w:jc w:val="center"/>
              <w:ind w:left="1294"/>
              <w:spacing w:after="0" w:line="191" w:lineRule="exact"/>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9"/>
        </w:trPr>
        <w:tc>
          <w:tcPr>
            <w:tcW w:w="8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8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3,147</w:t>
            </w: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3,121</w:t>
            </w:r>
          </w:p>
        </w:tc>
      </w:tr>
      <w:tr>
        <w:trPr>
          <w:trHeight w:val="219"/>
        </w:trPr>
        <w:tc>
          <w:tcPr>
            <w:tcW w:w="8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employee compensation and benefits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w:t>
            </w:r>
          </w:p>
        </w:tc>
      </w:tr>
      <w:tr>
        <w:trPr>
          <w:trHeight w:val="219"/>
        </w:trPr>
        <w:tc>
          <w:tcPr>
            <w:tcW w:w="8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Income taxes payable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r>
      <w:tr>
        <w:trPr>
          <w:trHeight w:val="219"/>
        </w:trPr>
        <w:tc>
          <w:tcPr>
            <w:tcW w:w="8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Taxes other than income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r>
      <w:tr>
        <w:trPr>
          <w:trHeight w:val="219"/>
        </w:trPr>
        <w:tc>
          <w:tcPr>
            <w:tcW w:w="8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219"/>
        </w:trPr>
        <w:tc>
          <w:tcPr>
            <w:tcW w:w="862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w:t>
            </w:r>
          </w:p>
        </w:tc>
      </w:tr>
      <w:tr>
        <w:trPr>
          <w:trHeight w:val="212"/>
        </w:trPr>
        <w:tc>
          <w:tcPr>
            <w:tcW w:w="86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5,608</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5,345</w:t>
            </w:r>
          </w:p>
        </w:tc>
      </w:tr>
      <w:tr>
        <w:trPr>
          <w:trHeight w:val="219"/>
        </w:trPr>
        <w:tc>
          <w:tcPr>
            <w:tcW w:w="8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7,636</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7,928</w:t>
            </w:r>
          </w:p>
        </w:tc>
      </w:tr>
      <w:tr>
        <w:trPr>
          <w:trHeight w:val="219"/>
        </w:trPr>
        <w:tc>
          <w:tcPr>
            <w:tcW w:w="8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w:t>
            </w:r>
          </w:p>
        </w:tc>
      </w:tr>
      <w:tr>
        <w:trPr>
          <w:trHeight w:val="219"/>
        </w:trPr>
        <w:tc>
          <w:tcPr>
            <w:tcW w:w="8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compensation and benefits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r>
      <w:tr>
        <w:trPr>
          <w:trHeight w:val="219"/>
        </w:trPr>
        <w:tc>
          <w:tcPr>
            <w:tcW w:w="8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806</w:t>
            </w:r>
          </w:p>
        </w:tc>
      </w:tr>
      <w:tr>
        <w:trPr>
          <w:trHeight w:val="212"/>
        </w:trPr>
        <w:tc>
          <w:tcPr>
            <w:tcW w:w="862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15,250</w:t>
            </w: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15,278</w:t>
            </w:r>
          </w:p>
        </w:tc>
      </w:tr>
      <w:tr>
        <w:trPr>
          <w:trHeight w:val="212"/>
        </w:trPr>
        <w:tc>
          <w:tcPr>
            <w:tcW w:w="86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8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 par value $2.50 per share (authorized 2,000 shares, issued 1,065 and 1,066 shares)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2,663</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2,664</w:t>
            </w:r>
          </w:p>
        </w:tc>
      </w:tr>
      <w:tr>
        <w:trPr>
          <w:trHeight w:val="219"/>
        </w:trPr>
        <w:tc>
          <w:tcPr>
            <w:tcW w:w="8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Paid-in capital in excess of par value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19"/>
        </w:trPr>
        <w:tc>
          <w:tcPr>
            <w:tcW w:w="8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r>
      <w:tr>
        <w:trPr>
          <w:trHeight w:val="219"/>
        </w:trPr>
        <w:tc>
          <w:tcPr>
            <w:tcW w:w="8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Retained earnings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12,536</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10,572</w:t>
            </w:r>
          </w:p>
        </w:tc>
      </w:tr>
      <w:tr>
        <w:trPr>
          <w:trHeight w:val="219"/>
        </w:trPr>
        <w:tc>
          <w:tcPr>
            <w:tcW w:w="862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Treasury stock, at cost (176 and 164 shares)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(5,540)</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(5,108)</w:t>
            </w:r>
          </w:p>
        </w:tc>
      </w:tr>
      <w:tr>
        <w:trPr>
          <w:trHeight w:val="212"/>
        </w:trPr>
        <w:tc>
          <w:tcPr>
            <w:tcW w:w="86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Company shareholders’ equity</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9,391</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7,948</w:t>
            </w:r>
          </w:p>
        </w:tc>
      </w:tr>
      <w:tr>
        <w:trPr>
          <w:trHeight w:val="219"/>
        </w:trPr>
        <w:tc>
          <w:tcPr>
            <w:tcW w:w="862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 in consolidated subsidiaries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2"/>
        </w:trPr>
        <w:tc>
          <w:tcPr>
            <w:tcW w:w="8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9,433</w:t>
            </w: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7,977</w:t>
            </w:r>
          </w:p>
        </w:tc>
      </w:tr>
      <w:tr>
        <w:trPr>
          <w:trHeight w:val="237"/>
        </w:trPr>
        <w:tc>
          <w:tcPr>
            <w:tcW w:w="862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shareholders’ equity</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24,683</w:t>
            </w:r>
          </w:p>
        </w:tc>
        <w:tc>
          <w:tcPr>
            <w:tcW w:w="48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23,255</w:t>
            </w:r>
          </w:p>
        </w:tc>
      </w:tr>
      <w:tr>
        <w:trPr>
          <w:trHeight w:val="20"/>
        </w:trPr>
        <w:tc>
          <w:tcPr>
            <w:tcW w:w="40" w:type="dxa"/>
            <w:vAlign w:val="bottom"/>
            <w:tcBorders>
              <w:top w:val="single" w:sz="8" w:color="CCEEFF"/>
              <w:bottom w:val="single" w:sz="8" w:color="auto"/>
            </w:tcBorders>
          </w:tcPr>
          <w:p>
            <w:pPr>
              <w:spacing w:after="0" w:line="20" w:lineRule="exact"/>
              <w:rPr>
                <w:sz w:val="1"/>
                <w:szCs w:val="1"/>
                <w:color w:val="auto"/>
              </w:rPr>
            </w:pPr>
          </w:p>
        </w:tc>
        <w:tc>
          <w:tcPr>
            <w:tcW w:w="8580" w:type="dxa"/>
            <w:vAlign w:val="bottom"/>
            <w:tcBorders>
              <w:top w:val="single" w:sz="8" w:color="CCEEFF"/>
              <w:bottom w:val="single" w:sz="8" w:color="auto"/>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40" w:type="dxa"/>
            <w:vAlign w:val="bottom"/>
          </w:tcPr>
          <w:p>
            <w:pPr>
              <w:spacing w:after="0"/>
              <w:rPr>
                <w:sz w:val="16"/>
                <w:szCs w:val="16"/>
                <w:color w:val="auto"/>
              </w:rPr>
            </w:pPr>
          </w:p>
        </w:tc>
        <w:tc>
          <w:tcPr>
            <w:tcW w:w="85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7"/>
          <w:szCs w:val="17"/>
          <w:color w:val="auto"/>
        </w:rPr>
        <w:t>HAL 2023 FORM 10-K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7"/>
                <w:szCs w:val="17"/>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741"/>
        </w:trPr>
        <w:tc>
          <w:tcPr>
            <w:tcW w:w="40" w:type="dxa"/>
            <w:vAlign w:val="bottom"/>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6780" w:type="dxa"/>
            <w:vAlign w:val="bottom"/>
          </w:tcPr>
          <w:p>
            <w:pPr>
              <w:jc w:val="center"/>
              <w:ind w:left="2094"/>
              <w:spacing w:after="0"/>
              <w:rPr>
                <w:sz w:val="20"/>
                <w:szCs w:val="20"/>
                <w:color w:val="auto"/>
              </w:rPr>
            </w:pPr>
            <w:r>
              <w:rPr>
                <w:rFonts w:ascii="Times New Roman" w:cs="Times New Roman" w:eastAsia="Times New Roman" w:hAnsi="Times New Roman"/>
                <w:sz w:val="17"/>
                <w:szCs w:val="17"/>
                <w:b w:val="1"/>
                <w:bCs w:val="1"/>
                <w:color w:val="auto"/>
                <w:w w:val="99"/>
              </w:rPr>
              <w:t>HALLIBURTON COMPANY</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7"/>
        </w:trPr>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780" w:type="dxa"/>
            <w:vAlign w:val="bottom"/>
          </w:tcPr>
          <w:p>
            <w:pPr>
              <w:jc w:val="center"/>
              <w:ind w:left="2154"/>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Year Ended December 31</w:t>
            </w:r>
          </w:p>
        </w:tc>
        <w:tc>
          <w:tcPr>
            <w:tcW w:w="720" w:type="dxa"/>
            <w:vAlign w:val="bottom"/>
            <w:tcBorders>
              <w:bottom w:val="single" w:sz="8" w:color="auto"/>
            </w:tcBorders>
          </w:tcPr>
          <w:p>
            <w:pPr>
              <w:spacing w:after="0"/>
              <w:rPr>
                <w:sz w:val="19"/>
                <w:szCs w:val="19"/>
                <w:color w:val="auto"/>
              </w:rPr>
            </w:pPr>
          </w:p>
        </w:tc>
      </w:tr>
      <w:tr>
        <w:trPr>
          <w:trHeight w:val="212"/>
        </w:trPr>
        <w:tc>
          <w:tcPr>
            <w:tcW w:w="8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2022</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9"/>
              </w:rPr>
              <w:t>2021</w:t>
            </w:r>
          </w:p>
        </w:tc>
      </w:tr>
      <w:tr>
        <w:trPr>
          <w:trHeight w:val="212"/>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9"/>
        </w:trPr>
        <w:tc>
          <w:tcPr>
            <w:tcW w:w="8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2,662</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1,595</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1,468</w:t>
            </w:r>
          </w:p>
        </w:tc>
      </w:tr>
      <w:tr>
        <w:trPr>
          <w:trHeight w:val="219"/>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cash flows from operating activities: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Depreciation, depletion, and amortization</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w:t>
            </w:r>
          </w:p>
        </w:tc>
      </w:tr>
      <w:tr>
        <w:trPr>
          <w:trHeight w:val="219"/>
        </w:trPr>
        <w:tc>
          <w:tcPr>
            <w:tcW w:w="4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income tax provision (benefit)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r>
      <w:tr>
        <w:trPr>
          <w:trHeight w:val="219"/>
        </w:trPr>
        <w:tc>
          <w:tcPr>
            <w:tcW w:w="4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Impairments and other charges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9"/>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Inventories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4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Receivables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4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w:t>
            </w:r>
          </w:p>
        </w:tc>
      </w:tr>
      <w:tr>
        <w:trPr>
          <w:trHeight w:val="219"/>
        </w:trPr>
        <w:tc>
          <w:tcPr>
            <w:tcW w:w="804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operating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12"/>
        </w:trPr>
        <w:tc>
          <w:tcPr>
            <w:tcW w:w="8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Total cash flows provided by operating activities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3,458</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2,242</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1,911</w:t>
            </w:r>
          </w:p>
        </w:tc>
      </w:tr>
      <w:tr>
        <w:trPr>
          <w:trHeight w:val="212"/>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9"/>
        </w:trPr>
        <w:tc>
          <w:tcPr>
            <w:tcW w:w="8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w:t>
            </w:r>
          </w:p>
        </w:tc>
      </w:tr>
      <w:tr>
        <w:trPr>
          <w:trHeight w:val="219"/>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of investment securities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8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Proceeds from sales of property, plant, and equipment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r>
      <w:tr>
        <w:trPr>
          <w:trHeight w:val="219"/>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of investment securities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Proceeds from a structured real estate transaction</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19"/>
        </w:trPr>
        <w:tc>
          <w:tcPr>
            <w:tcW w:w="804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2"/>
        </w:trPr>
        <w:tc>
          <w:tcPr>
            <w:tcW w:w="8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Total cash flows used in investing activities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(1,659)</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w:t>
            </w:r>
          </w:p>
        </w:tc>
      </w:tr>
      <w:tr>
        <w:trPr>
          <w:trHeight w:val="212"/>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9"/>
        </w:trPr>
        <w:tc>
          <w:tcPr>
            <w:tcW w:w="8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 repurchase program</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to shareholders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19"/>
        </w:trPr>
        <w:tc>
          <w:tcPr>
            <w:tcW w:w="8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Payments on long-term borrowings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r>
      <w:tr>
        <w:trPr>
          <w:trHeight w:val="219"/>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issuance of common stock</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19"/>
        </w:trPr>
        <w:tc>
          <w:tcPr>
            <w:tcW w:w="8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12"/>
        </w:trPr>
        <w:tc>
          <w:tcPr>
            <w:tcW w:w="804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cash flows used in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w:t>
            </w: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w:t>
            </w:r>
          </w:p>
        </w:tc>
      </w:tr>
      <w:tr>
        <w:trPr>
          <w:trHeight w:val="212"/>
        </w:trPr>
        <w:tc>
          <w:tcPr>
            <w:tcW w:w="8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2"/>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 (decrease) in cash and equivalents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r>
      <w:tr>
        <w:trPr>
          <w:trHeight w:val="219"/>
        </w:trPr>
        <w:tc>
          <w:tcPr>
            <w:tcW w:w="8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Cash and equivalents at beginning of year</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2,346</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3,044</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2,563</w:t>
            </w:r>
          </w:p>
        </w:tc>
      </w:tr>
      <w:tr>
        <w:trPr>
          <w:trHeight w:val="237"/>
        </w:trPr>
        <w:tc>
          <w:tcPr>
            <w:tcW w:w="804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equivalents at end of year</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2,346</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3,044</w:t>
            </w:r>
          </w:p>
        </w:tc>
      </w:tr>
      <w:tr>
        <w:trPr>
          <w:trHeight w:val="20"/>
        </w:trPr>
        <w:tc>
          <w:tcPr>
            <w:tcW w:w="8040" w:type="dxa"/>
            <w:vAlign w:val="bottom"/>
            <w:tcBorders>
              <w:top w:val="single" w:sz="8" w:color="CCEEFF"/>
              <w:bottom w:val="single" w:sz="8" w:color="auto"/>
            </w:tcBorders>
            <w:gridSpan w:val="3"/>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0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9"/>
        </w:trPr>
        <w:tc>
          <w:tcPr>
            <w:tcW w:w="8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payments during the period for:</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Interest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w:t>
            </w:r>
          </w:p>
        </w:tc>
      </w:tr>
      <w:tr>
        <w:trPr>
          <w:trHeight w:val="244"/>
        </w:trPr>
        <w:tc>
          <w:tcPr>
            <w:tcW w:w="40" w:type="dxa"/>
            <w:vAlign w:val="bottom"/>
            <w:tcBorders>
              <w:bottom w:val="single" w:sz="8" w:color="auto"/>
            </w:tcBorders>
            <w:shd w:val="clear" w:color="auto" w:fill="CCEEFF"/>
          </w:tcPr>
          <w:p>
            <w:pPr>
              <w:spacing w:after="0"/>
              <w:rPr>
                <w:sz w:val="20"/>
                <w:szCs w:val="20"/>
                <w:color w:val="auto"/>
              </w:rPr>
            </w:pPr>
          </w:p>
        </w:tc>
        <w:tc>
          <w:tcPr>
            <w:tcW w:w="8000" w:type="dxa"/>
            <w:vAlign w:val="bottom"/>
            <w:tcBorders>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r>
      <w:tr>
        <w:trPr>
          <w:trHeight w:val="20"/>
        </w:trPr>
        <w:tc>
          <w:tcPr>
            <w:tcW w:w="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ind w:left="300"/>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HALLIBURTON COMPANY</w:t>
      </w: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 Equity</w:t>
      </w:r>
    </w:p>
    <w:p>
      <w:pPr>
        <w:spacing w:after="0" w:line="2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76"/>
              <w:spacing w:after="0"/>
              <w:rPr>
                <w:sz w:val="20"/>
                <w:szCs w:val="20"/>
                <w:color w:val="auto"/>
              </w:rPr>
            </w:pPr>
            <w:r>
              <w:rPr>
                <w:rFonts w:ascii="Times New Roman" w:cs="Times New Roman" w:eastAsia="Times New Roman" w:hAnsi="Times New Roman"/>
                <w:sz w:val="13"/>
                <w:szCs w:val="13"/>
                <w:color w:val="auto"/>
              </w:rPr>
              <w:t>Company Shareholders’ Equity</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w w:val="99"/>
              </w:rPr>
              <w:t>Paid-in Capital</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restart"/>
          </w:tcPr>
          <w:p>
            <w:pPr>
              <w:jc w:val="center"/>
              <w:ind w:right="56"/>
              <w:spacing w:after="0"/>
              <w:rPr>
                <w:sz w:val="20"/>
                <w:szCs w:val="20"/>
                <w:color w:val="auto"/>
              </w:rPr>
            </w:pPr>
            <w:r>
              <w:rPr>
                <w:rFonts w:ascii="Times New Roman" w:cs="Times New Roman" w:eastAsia="Times New Roman" w:hAnsi="Times New Roman"/>
                <w:sz w:val="13"/>
                <w:szCs w:val="13"/>
                <w:color w:val="auto"/>
                <w:w w:val="99"/>
              </w:rPr>
              <w:t>Accumulated Other</w:t>
            </w:r>
          </w:p>
        </w:tc>
        <w:tc>
          <w:tcPr>
            <w:tcW w:w="140" w:type="dxa"/>
            <w:vAlign w:val="bottom"/>
          </w:tcPr>
          <w:p>
            <w:pPr>
              <w:spacing w:after="0"/>
              <w:rPr>
                <w:sz w:val="10"/>
                <w:szCs w:val="10"/>
                <w:color w:val="auto"/>
              </w:rPr>
            </w:pPr>
          </w:p>
        </w:tc>
        <w:tc>
          <w:tcPr>
            <w:tcW w:w="1060" w:type="dxa"/>
            <w:vAlign w:val="bottom"/>
          </w:tcPr>
          <w:p>
            <w:pPr>
              <w:jc w:val="center"/>
              <w:ind w:right="76"/>
              <w:spacing w:after="0" w:line="116" w:lineRule="exact"/>
              <w:rPr>
                <w:sz w:val="20"/>
                <w:szCs w:val="20"/>
                <w:color w:val="auto"/>
              </w:rPr>
            </w:pPr>
            <w:r>
              <w:rPr>
                <w:rFonts w:ascii="Times New Roman" w:cs="Times New Roman" w:eastAsia="Times New Roman" w:hAnsi="Times New Roman"/>
                <w:sz w:val="13"/>
                <w:szCs w:val="13"/>
                <w:color w:val="auto"/>
              </w:rPr>
              <w:t>Noncontrolling</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76"/>
              <w:spacing w:after="0"/>
              <w:rPr>
                <w:sz w:val="20"/>
                <w:szCs w:val="20"/>
                <w:color w:val="auto"/>
              </w:rPr>
            </w:pPr>
            <w:r>
              <w:rPr>
                <w:rFonts w:ascii="Times New Roman" w:cs="Times New Roman" w:eastAsia="Times New Roman" w:hAnsi="Times New Roman"/>
                <w:sz w:val="13"/>
                <w:szCs w:val="13"/>
                <w:color w:val="auto"/>
              </w:rPr>
              <w:t>Common</w:t>
            </w: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w w:val="99"/>
              </w:rPr>
              <w:t>Treasury</w:t>
            </w:r>
          </w:p>
        </w:tc>
        <w:tc>
          <w:tcPr>
            <w:tcW w:w="120" w:type="dxa"/>
            <w:vAlign w:val="bottom"/>
          </w:tcPr>
          <w:p>
            <w:pPr>
              <w:spacing w:after="0"/>
              <w:rPr>
                <w:sz w:val="11"/>
                <w:szCs w:val="11"/>
                <w:color w:val="auto"/>
              </w:rPr>
            </w:pPr>
          </w:p>
        </w:tc>
        <w:tc>
          <w:tcPr>
            <w:tcW w:w="66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Retained</w:t>
            </w: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76"/>
              <w:spacing w:after="0" w:line="129" w:lineRule="exact"/>
              <w:rPr>
                <w:sz w:val="20"/>
                <w:szCs w:val="20"/>
                <w:color w:val="auto"/>
              </w:rPr>
            </w:pPr>
            <w:r>
              <w:rPr>
                <w:rFonts w:ascii="Times New Roman" w:cs="Times New Roman" w:eastAsia="Times New Roman" w:hAnsi="Times New Roman"/>
                <w:sz w:val="13"/>
                <w:szCs w:val="13"/>
                <w:color w:val="auto"/>
                <w:w w:val="99"/>
              </w:rPr>
              <w:t>Interest in</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in Excess of</w:t>
            </w: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36"/>
              <w:spacing w:after="0" w:line="129" w:lineRule="exact"/>
              <w:rPr>
                <w:sz w:val="20"/>
                <w:szCs w:val="20"/>
                <w:color w:val="auto"/>
              </w:rPr>
            </w:pPr>
            <w:r>
              <w:rPr>
                <w:rFonts w:ascii="Times New Roman" w:cs="Times New Roman" w:eastAsia="Times New Roman" w:hAnsi="Times New Roman"/>
                <w:sz w:val="13"/>
                <w:szCs w:val="13"/>
                <w:color w:val="auto"/>
                <w:w w:val="97"/>
              </w:rPr>
              <w:t>Comprehensive</w:t>
            </w:r>
          </w:p>
        </w:tc>
        <w:tc>
          <w:tcPr>
            <w:tcW w:w="140" w:type="dxa"/>
            <w:vAlign w:val="bottom"/>
          </w:tcPr>
          <w:p>
            <w:pPr>
              <w:spacing w:after="0"/>
              <w:rPr>
                <w:sz w:val="11"/>
                <w:szCs w:val="11"/>
                <w:color w:val="auto"/>
              </w:rPr>
            </w:pPr>
          </w:p>
        </w:tc>
        <w:tc>
          <w:tcPr>
            <w:tcW w:w="1060" w:type="dxa"/>
            <w:vAlign w:val="bottom"/>
          </w:tcPr>
          <w:p>
            <w:pPr>
              <w:jc w:val="center"/>
              <w:ind w:right="76"/>
              <w:spacing w:after="0" w:line="129" w:lineRule="exact"/>
              <w:rPr>
                <w:sz w:val="20"/>
                <w:szCs w:val="20"/>
                <w:color w:val="auto"/>
              </w:rPr>
            </w:pPr>
            <w:r>
              <w:rPr>
                <w:rFonts w:ascii="Times New Roman" w:cs="Times New Roman" w:eastAsia="Times New Roman" w:hAnsi="Times New Roman"/>
                <w:sz w:val="13"/>
                <w:szCs w:val="13"/>
                <w:color w:val="auto"/>
                <w:w w:val="99"/>
              </w:rPr>
              <w:t>Consolidated</w:t>
            </w:r>
          </w:p>
        </w:tc>
        <w:tc>
          <w:tcPr>
            <w:tcW w:w="160" w:type="dxa"/>
            <w:vAlign w:val="bottom"/>
          </w:tcPr>
          <w:p>
            <w:pPr>
              <w:spacing w:after="0"/>
              <w:rPr>
                <w:sz w:val="11"/>
                <w:szCs w:val="11"/>
                <w:color w:val="auto"/>
              </w:rPr>
            </w:pPr>
          </w:p>
        </w:tc>
        <w:tc>
          <w:tcPr>
            <w:tcW w:w="58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80"/>
        </w:trPr>
        <w:tc>
          <w:tcPr>
            <w:tcW w:w="38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rPr>
              <w:t>Stock</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Par Value</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rPr>
              <w:t>Stock</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Earnings</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color w:val="auto"/>
              </w:rPr>
              <w:t>Income (Loss)</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color w:val="auto"/>
              </w:rPr>
              <w:t>Subsidiaries</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2,666</w:t>
            </w:r>
          </w:p>
        </w:tc>
        <w:tc>
          <w:tcPr>
            <w:tcW w:w="1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1,457</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1,468</w:t>
            </w:r>
          </w:p>
        </w:tc>
        <w:tc>
          <w:tcPr>
            <w:tcW w:w="0" w:type="dxa"/>
            <w:vAlign w:val="bottom"/>
          </w:tcPr>
          <w:p>
            <w:pPr>
              <w:spacing w:after="0"/>
              <w:rPr>
                <w:sz w:val="1"/>
                <w:szCs w:val="1"/>
                <w:color w:val="auto"/>
              </w:rPr>
            </w:pPr>
          </w:p>
        </w:tc>
      </w:tr>
      <w:tr>
        <w:trPr>
          <w:trHeight w:val="187"/>
        </w:trPr>
        <w:tc>
          <w:tcPr>
            <w:tcW w:w="3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40" w:type="dxa"/>
            <w:vAlign w:val="bottom"/>
          </w:tcPr>
          <w:p>
            <w:pPr>
              <w:spacing w:after="0"/>
              <w:rPr>
                <w:sz w:val="16"/>
                <w:szCs w:val="16"/>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0" w:type="dxa"/>
            <w:vAlign w:val="bottom"/>
          </w:tcPr>
          <w:p>
            <w:pPr>
              <w:spacing w:after="0"/>
              <w:rPr>
                <w:sz w:val="1"/>
                <w:szCs w:val="1"/>
                <w:color w:val="auto"/>
              </w:rPr>
            </w:pPr>
          </w:p>
        </w:tc>
      </w:tr>
      <w:tr>
        <w:trPr>
          <w:trHeight w:val="20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($0.18 per share)</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0" w:type="dxa"/>
            <w:vAlign w:val="bottom"/>
          </w:tcPr>
          <w:p>
            <w:pPr>
              <w:spacing w:after="0"/>
              <w:rPr>
                <w:sz w:val="1"/>
                <w:szCs w:val="1"/>
                <w:color w:val="auto"/>
              </w:rPr>
            </w:pPr>
          </w:p>
        </w:tc>
      </w:tr>
      <w:tr>
        <w:trPr>
          <w:trHeight w:val="187"/>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plans</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32</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0" w:type="dxa"/>
            <w:vAlign w:val="bottom"/>
          </w:tcPr>
          <w:p>
            <w:pPr>
              <w:spacing w:after="0"/>
              <w:rPr>
                <w:sz w:val="1"/>
                <w:szCs w:val="1"/>
                <w:color w:val="auto"/>
              </w:rPr>
            </w:pPr>
          </w:p>
        </w:tc>
      </w:tr>
      <w:tr>
        <w:trPr>
          <w:trHeight w:val="193"/>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(5)</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2,665</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32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9,710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15</w:t>
            </w: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6,728</w:t>
            </w:r>
          </w:p>
        </w:tc>
        <w:tc>
          <w:tcPr>
            <w:tcW w:w="0" w:type="dxa"/>
            <w:vAlign w:val="bottom"/>
          </w:tcPr>
          <w:p>
            <w:pPr>
              <w:spacing w:after="0"/>
              <w:rPr>
                <w:sz w:val="1"/>
                <w:szCs w:val="1"/>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23</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1,595</w:t>
            </w:r>
          </w:p>
        </w:tc>
        <w:tc>
          <w:tcPr>
            <w:tcW w:w="0" w:type="dxa"/>
            <w:vAlign w:val="bottom"/>
          </w:tcPr>
          <w:p>
            <w:pPr>
              <w:spacing w:after="0"/>
              <w:rPr>
                <w:sz w:val="1"/>
                <w:szCs w:val="1"/>
                <w:color w:val="auto"/>
              </w:rPr>
            </w:pPr>
          </w:p>
        </w:tc>
      </w:tr>
      <w:tr>
        <w:trPr>
          <w:trHeight w:val="200"/>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87"/>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($0.48 per share)</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0" w:type="dxa"/>
            <w:vAlign w:val="bottom"/>
          </w:tcPr>
          <w:p>
            <w:pPr>
              <w:spacing w:after="0"/>
              <w:rPr>
                <w:sz w:val="1"/>
                <w:szCs w:val="1"/>
                <w:color w:val="auto"/>
              </w:rPr>
            </w:pPr>
          </w:p>
        </w:tc>
      </w:tr>
      <w:tr>
        <w:trPr>
          <w:trHeight w:val="20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plans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0" w:type="dxa"/>
            <w:vAlign w:val="bottom"/>
          </w:tcPr>
          <w:p>
            <w:pPr>
              <w:spacing w:after="0"/>
              <w:rPr>
                <w:sz w:val="1"/>
                <w:szCs w:val="1"/>
                <w:color w:val="auto"/>
              </w:rPr>
            </w:pPr>
          </w:p>
        </w:tc>
      </w:tr>
      <w:tr>
        <w:trPr>
          <w:trHeight w:val="187"/>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repurchase program</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0" w:type="dxa"/>
            <w:vAlign w:val="bottom"/>
          </w:tcPr>
          <w:p>
            <w:pPr>
              <w:spacing w:after="0"/>
              <w:rPr>
                <w:sz w:val="1"/>
                <w:szCs w:val="1"/>
                <w:color w:val="auto"/>
              </w:rPr>
            </w:pPr>
          </w:p>
        </w:tc>
      </w:tr>
      <w:tr>
        <w:trPr>
          <w:trHeight w:val="193"/>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2,664</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50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(5,108)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10,572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29</w:t>
            </w: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7,977</w:t>
            </w:r>
          </w:p>
        </w:tc>
        <w:tc>
          <w:tcPr>
            <w:tcW w:w="0" w:type="dxa"/>
            <w:vAlign w:val="bottom"/>
          </w:tcPr>
          <w:p>
            <w:pPr>
              <w:spacing w:after="0"/>
              <w:rPr>
                <w:sz w:val="1"/>
                <w:szCs w:val="1"/>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2,638</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24</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2,662</w:t>
            </w:r>
          </w:p>
        </w:tc>
        <w:tc>
          <w:tcPr>
            <w:tcW w:w="0" w:type="dxa"/>
            <w:vAlign w:val="bottom"/>
          </w:tcPr>
          <w:p>
            <w:pPr>
              <w:spacing w:after="0"/>
              <w:rPr>
                <w:sz w:val="1"/>
                <w:szCs w:val="1"/>
                <w:color w:val="auto"/>
              </w:rPr>
            </w:pPr>
          </w:p>
        </w:tc>
      </w:tr>
      <w:tr>
        <w:trPr>
          <w:trHeight w:val="200"/>
        </w:trPr>
        <w:tc>
          <w:tcPr>
            <w:tcW w:w="3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187"/>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($0.64 per share)</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0" w:type="dxa"/>
            <w:vAlign w:val="bottom"/>
          </w:tcPr>
          <w:p>
            <w:pPr>
              <w:spacing w:after="0"/>
              <w:rPr>
                <w:sz w:val="1"/>
                <w:szCs w:val="1"/>
                <w:color w:val="auto"/>
              </w:rPr>
            </w:pPr>
          </w:p>
        </w:tc>
      </w:tr>
      <w:tr>
        <w:trPr>
          <w:trHeight w:val="20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plans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0" w:type="dxa"/>
            <w:vAlign w:val="bottom"/>
          </w:tcPr>
          <w:p>
            <w:pPr>
              <w:spacing w:after="0"/>
              <w:rPr>
                <w:sz w:val="1"/>
                <w:szCs w:val="1"/>
                <w:color w:val="auto"/>
              </w:rPr>
            </w:pPr>
          </w:p>
        </w:tc>
      </w:tr>
      <w:tr>
        <w:trPr>
          <w:trHeight w:val="187"/>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repurchase program</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193"/>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2,663</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3"/>
                <w:szCs w:val="13"/>
                <w:color w:val="auto"/>
              </w:rPr>
              <w:t>63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(5,540)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12,536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42</w:t>
            </w: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9,433</w:t>
            </w:r>
          </w:p>
        </w:tc>
        <w:tc>
          <w:tcPr>
            <w:tcW w:w="0" w:type="dxa"/>
            <w:vAlign w:val="bottom"/>
          </w:tcPr>
          <w:p>
            <w:pPr>
              <w:spacing w:after="0"/>
              <w:rPr>
                <w:sz w:val="1"/>
                <w:szCs w:val="1"/>
                <w:color w:val="auto"/>
              </w:rPr>
            </w:pPr>
          </w:p>
        </w:tc>
      </w:tr>
      <w:tr>
        <w:trPr>
          <w:trHeight w:val="24"/>
        </w:trPr>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ind w:left="76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60" w:top="162" w:right="339" w:bottom="1440" w:gutter="0" w:footer="0" w:header="0"/>
        </w:sectPr>
      </w:pPr>
    </w:p>
    <w:bookmarkStart w:id="49" w:name="page50"/>
    <w:bookmarkEnd w:id="49"/>
    <w:p>
      <w:pPr>
        <w:ind w:left="40"/>
        <w:spacing w:after="0"/>
        <w:tabs>
          <w:tab w:leader="none" w:pos="76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HALLIBURTON COMPANY</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Description of Company and Significant Accounting Policies</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Description of Company</w:t>
      </w:r>
    </w:p>
    <w:p>
      <w:pPr>
        <w:spacing w:after="0" w:line="11" w:lineRule="exact"/>
        <w:rPr>
          <w:sz w:val="20"/>
          <w:szCs w:val="20"/>
          <w:color w:val="auto"/>
        </w:rPr>
      </w:pPr>
    </w:p>
    <w:p>
      <w:pPr>
        <w:ind w:right="20" w:firstLine="619"/>
        <w:spacing w:after="0" w:line="256" w:lineRule="auto"/>
        <w:rPr>
          <w:sz w:val="20"/>
          <w:szCs w:val="20"/>
          <w:color w:val="auto"/>
        </w:rPr>
      </w:pPr>
      <w:r>
        <w:rPr>
          <w:rFonts w:ascii="Times New Roman" w:cs="Times New Roman" w:eastAsia="Times New Roman" w:hAnsi="Times New Roman"/>
          <w:sz w:val="17"/>
          <w:szCs w:val="17"/>
          <w:color w:val="auto"/>
        </w:rPr>
        <w:t>Halliburton Company is one of the world's largest providers of products and services to the energy industry. Its predecessor was established in 1919 and incorporated under the laws of the State of Delaware in 1924. We help our customers maximize asset value throughout the lifecycle of the reservoir - from locating hydrocarbons and managing geological data, to drilling and formation evaluation, well construction and completion, and optimizing production throughout the life of the asset. We serve major, national, and independent oil and natural gas companies throughout the world and operate under two divisions, which form the basis for the two operating segments we report, the Completion and Production segment and the Drilling and Evaluation segment.</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34" w:lineRule="exact"/>
        <w:rPr>
          <w:sz w:val="20"/>
          <w:szCs w:val="20"/>
          <w:color w:val="auto"/>
        </w:rPr>
      </w:pPr>
    </w:p>
    <w:p>
      <w:pPr>
        <w:ind w:right="420" w:firstLine="619"/>
        <w:spacing w:after="0" w:line="266" w:lineRule="auto"/>
        <w:rPr>
          <w:sz w:val="20"/>
          <w:szCs w:val="20"/>
          <w:color w:val="auto"/>
        </w:rPr>
      </w:pPr>
      <w:r>
        <w:rPr>
          <w:rFonts w:ascii="Times New Roman" w:cs="Times New Roman" w:eastAsia="Times New Roman" w:hAnsi="Times New Roman"/>
          <w:sz w:val="17"/>
          <w:szCs w:val="17"/>
          <w:color w:val="auto"/>
        </w:rPr>
        <w:t>Our financial statements are prepared in conformity with United States generally accepted accounting principles, requiring us to make estimates and assumptions that affect:</w:t>
      </w:r>
    </w:p>
    <w:p>
      <w:pPr>
        <w:spacing w:after="0" w:line="14" w:lineRule="exact"/>
        <w:rPr>
          <w:sz w:val="20"/>
          <w:szCs w:val="20"/>
          <w:color w:val="auto"/>
        </w:rPr>
      </w:pPr>
    </w:p>
    <w:p>
      <w:pPr>
        <w:ind w:left="860" w:hanging="238"/>
        <w:spacing w:after="0"/>
        <w:tabs>
          <w:tab w:leader="none" w:pos="8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reported amounts of assets and liabilities and disclosure of contingent assets and liabilities at the date of the financial statements; and</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reported amounts of revenue and expenses during the reporting period.</w:t>
      </w:r>
    </w:p>
    <w:p>
      <w:pPr>
        <w:spacing w:after="0" w:line="294"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We believe the most significant estimates and assumptions are associated with the forecasting of our income tax (provision) benefit and the valuation of deferred taxes, legal reserves, long-lived asset valuations, and allowance for credit losses. Ultimate results could differ from our estimates.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34" w:lineRule="exact"/>
        <w:rPr>
          <w:sz w:val="20"/>
          <w:szCs w:val="20"/>
          <w:color w:val="auto"/>
        </w:rPr>
      </w:pPr>
    </w:p>
    <w:p>
      <w:pPr>
        <w:ind w:right="160" w:firstLine="619"/>
        <w:spacing w:after="0" w:line="256"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our company and all of our subsidiaries that we control or variable interest entities for which we have determined that we are the primary beneficiary. All material intercompany accounts and transactions are eliminated. Investments in companies in which we do not have a controlling interest, but over which we do exercise significant influence, are accounted for using the equity method of accounting, unless we elect the fair value option. If we do not have significant influence and the investment has no readily determinable fair value, we elect the measurement alternative. In addition, certain reclassifications of prior period balances have been made to conform to the current period presentation.</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34" w:lineRule="exact"/>
        <w:rPr>
          <w:sz w:val="20"/>
          <w:szCs w:val="20"/>
          <w:color w:val="auto"/>
        </w:rPr>
      </w:pPr>
    </w:p>
    <w:p>
      <w:pPr>
        <w:ind w:right="80" w:firstLine="619"/>
        <w:spacing w:after="0" w:line="255" w:lineRule="auto"/>
        <w:rPr>
          <w:sz w:val="20"/>
          <w:szCs w:val="20"/>
          <w:color w:val="auto"/>
        </w:rPr>
      </w:pPr>
      <w:r>
        <w:rPr>
          <w:rFonts w:ascii="Times New Roman" w:cs="Times New Roman" w:eastAsia="Times New Roman" w:hAnsi="Times New Roman"/>
          <w:sz w:val="17"/>
          <w:szCs w:val="17"/>
          <w:color w:val="auto"/>
        </w:rPr>
        <w:t>Our services and products are generally sold based upon purchase orders or contracts with our customers that include fixed or determinable prices but do not include right of return provisions or other significant post-delivery obligations. The vast majority of our service and product contracts are short-term in nature. We recognize revenue based on the transfer of control or our customers' ability to benefit from our services and products in an amount that reflects the consideration we expect to receive in exchange for those services and products. We also assess our customers' ability and intention to pay, which is based on a variety of factors, including our historical payment experience with, and the financial condition of our customers. Rates for services are typically priced on a per day, per meter, per man-hour, or similar basis. See Note 4 for further information on revenue recognition.</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34" w:lineRule="exact"/>
        <w:rPr>
          <w:sz w:val="20"/>
          <w:szCs w:val="20"/>
          <w:color w:val="auto"/>
        </w:rPr>
      </w:pPr>
    </w:p>
    <w:p>
      <w:pPr>
        <w:ind w:right="60" w:firstLine="619"/>
        <w:spacing w:after="0" w:line="259" w:lineRule="auto"/>
        <w:rPr>
          <w:sz w:val="20"/>
          <w:szCs w:val="20"/>
          <w:color w:val="auto"/>
        </w:rPr>
      </w:pPr>
      <w:r>
        <w:rPr>
          <w:rFonts w:ascii="Times New Roman" w:cs="Times New Roman" w:eastAsia="Times New Roman" w:hAnsi="Times New Roman"/>
          <w:sz w:val="17"/>
          <w:szCs w:val="17"/>
          <w:color w:val="auto"/>
        </w:rPr>
        <w:t>We maintain an active research and development program. The program improves products, processes, and engineering standards and practices that serve the changing needs of our customers. Research and development costs are expensed as incurred and were $408 million in 2023, $345 million in 2022, and $321 million in 2021.</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Cash equivalents</w:t>
      </w:r>
    </w:p>
    <w:p>
      <w:pPr>
        <w:spacing w:after="0" w:line="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consider all highly liquid investments with an original maturity of three months or less to be cash equivalents.</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Inventories</w:t>
      </w:r>
    </w:p>
    <w:p>
      <w:pPr>
        <w:spacing w:after="0" w:line="34" w:lineRule="exact"/>
        <w:rPr>
          <w:sz w:val="20"/>
          <w:szCs w:val="20"/>
          <w:color w:val="auto"/>
        </w:rPr>
      </w:pPr>
    </w:p>
    <w:p>
      <w:pPr>
        <w:ind w:right="220" w:firstLine="619"/>
        <w:spacing w:after="0" w:line="257"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Cost represents invoice or production cost for new items and original cost. Production cost includes material, labor, and manufacturing overhead. Our inventory is recorded on the weighted average cost method. We regularly review inventory quantities on hand and record provisions for excess or obsolete inventory based primarily on historical usage, estimated product demand, and technological developments.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0" w:name="page51"/>
    <w:bookmarkEnd w:id="50"/>
    <w:p>
      <w:pPr>
        <w:ind w:left="40"/>
        <w:spacing w:after="0"/>
        <w:tabs>
          <w:tab w:leader="none" w:pos="76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Consolidated Financial Statements</w:t>
      </w:r>
    </w:p>
    <w:p>
      <w:pPr>
        <w:spacing w:after="0" w:line="200" w:lineRule="exact"/>
        <w:rPr>
          <w:sz w:val="20"/>
          <w:szCs w:val="20"/>
          <w:color w:val="auto"/>
        </w:rPr>
      </w:pPr>
    </w:p>
    <w:p>
      <w:pPr>
        <w:spacing w:after="0" w:line="3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Allowance for credit losses</w:t>
      </w:r>
    </w:p>
    <w:p>
      <w:pPr>
        <w:spacing w:after="0" w:line="34" w:lineRule="exact"/>
        <w:rPr>
          <w:sz w:val="20"/>
          <w:szCs w:val="20"/>
          <w:color w:val="auto"/>
        </w:rPr>
      </w:pPr>
    </w:p>
    <w:p>
      <w:pPr>
        <w:ind w:right="220" w:firstLine="619"/>
        <w:spacing w:after="0" w:line="259" w:lineRule="auto"/>
        <w:rPr>
          <w:sz w:val="20"/>
          <w:szCs w:val="20"/>
          <w:color w:val="auto"/>
        </w:rPr>
      </w:pPr>
      <w:r>
        <w:rPr>
          <w:rFonts w:ascii="Times New Roman" w:cs="Times New Roman" w:eastAsia="Times New Roman" w:hAnsi="Times New Roman"/>
          <w:sz w:val="17"/>
          <w:szCs w:val="17"/>
          <w:color w:val="auto"/>
        </w:rPr>
        <w:t>We establish an allowance for credit losses through a review of several factors, including historical collection experience, current aging status of the customer accounts, and current financial condition of our customers. Losses are charged against the allowance when the customer accounts are determined to be uncollectible.</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Property, plant, and equipment</w:t>
      </w:r>
    </w:p>
    <w:p>
      <w:pPr>
        <w:spacing w:after="0" w:line="34" w:lineRule="exact"/>
        <w:rPr>
          <w:sz w:val="20"/>
          <w:szCs w:val="20"/>
          <w:color w:val="auto"/>
        </w:rPr>
      </w:pPr>
    </w:p>
    <w:p>
      <w:pPr>
        <w:ind w:right="20" w:firstLine="619"/>
        <w:spacing w:after="0" w:line="256" w:lineRule="auto"/>
        <w:rPr>
          <w:sz w:val="20"/>
          <w:szCs w:val="20"/>
          <w:color w:val="auto"/>
        </w:rPr>
      </w:pPr>
      <w:r>
        <w:rPr>
          <w:rFonts w:ascii="Times New Roman" w:cs="Times New Roman" w:eastAsia="Times New Roman" w:hAnsi="Times New Roman"/>
          <w:sz w:val="17"/>
          <w:szCs w:val="17"/>
          <w:color w:val="auto"/>
        </w:rPr>
        <w:t>Other than those assets that have been written down to their fair values due to impairment, property, plant, and equipment are reported at cost less accumulated depreciation, which is generally provided on the straight-line method over the estimated useful lives of the assets. Accelerated depreciation methods are often used for tax purposes, when permitted. Upon sale or retirement of an asset, the related costs and accumulated depreciation are removed from the accounts and any gain or loss is recognized. Planned major maintenance costs are generally expensed as incurred. Expenditures for additions, modifications, and conversions are capitalized when they increase the value or extend the useful life of the asset.</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Goodwill and other intangible assets</w:t>
      </w:r>
    </w:p>
    <w:p>
      <w:pPr>
        <w:spacing w:after="0" w:line="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record as goodwill the excess purchase price over the fair value of the tangible and identifiable intangible assets acquired in a business acquisition.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the carrying amount of goodwill are detailed below by reportable segment.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2260" w:type="dxa"/>
            <w:vAlign w:val="bottom"/>
          </w:tcPr>
          <w:p>
            <w:pPr>
              <w:spacing w:after="0"/>
              <w:rPr>
                <w:sz w:val="17"/>
                <w:szCs w:val="17"/>
                <w:color w:val="auto"/>
              </w:rPr>
            </w:pP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Completion and</w:t>
            </w:r>
          </w:p>
        </w:tc>
        <w:tc>
          <w:tcPr>
            <w:tcW w:w="240" w:type="dxa"/>
            <w:vAlign w:val="bottom"/>
          </w:tcPr>
          <w:p>
            <w:pPr>
              <w:spacing w:after="0"/>
              <w:rPr>
                <w:sz w:val="17"/>
                <w:szCs w:val="17"/>
                <w:color w:val="auto"/>
              </w:rPr>
            </w:pP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Drilling and</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320" w:type="dxa"/>
            <w:vAlign w:val="bottom"/>
            <w:tcBorders>
              <w:bottom w:val="single" w:sz="8" w:color="auto"/>
            </w:tcBorders>
            <w:vMerge w:val="continue"/>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Production</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Evaluation</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37"/>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2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Current year acquisitions</w:t>
            </w:r>
          </w:p>
        </w:tc>
        <w:tc>
          <w:tcPr>
            <w:tcW w:w="2260" w:type="dxa"/>
            <w:vAlign w:val="bottom"/>
          </w:tcPr>
          <w:p>
            <w:pPr>
              <w:spacing w:after="0"/>
              <w:rPr>
                <w:sz w:val="16"/>
                <w:szCs w:val="16"/>
                <w:color w:val="auto"/>
              </w:rPr>
            </w:pPr>
          </w:p>
        </w:tc>
        <w:tc>
          <w:tcPr>
            <w:tcW w:w="13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8</w:t>
            </w:r>
          </w:p>
        </w:tc>
        <w:tc>
          <w:tcPr>
            <w:tcW w:w="24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9"/>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12"/>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2,020</w:t>
            </w: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2,829</w:t>
            </w:r>
          </w:p>
        </w:tc>
        <w:tc>
          <w:tcPr>
            <w:tcW w:w="0" w:type="dxa"/>
            <w:vAlign w:val="bottom"/>
          </w:tcPr>
          <w:p>
            <w:pPr>
              <w:spacing w:after="0"/>
              <w:rPr>
                <w:sz w:val="1"/>
                <w:szCs w:val="1"/>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year acquisitions</w:t>
            </w:r>
          </w:p>
        </w:tc>
        <w:tc>
          <w:tcPr>
            <w:tcW w:w="2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9"/>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20" w:firstLine="619"/>
        <w:spacing w:after="0" w:line="264" w:lineRule="auto"/>
        <w:rPr>
          <w:sz w:val="20"/>
          <w:szCs w:val="20"/>
          <w:color w:val="auto"/>
        </w:rPr>
      </w:pPr>
      <w:r>
        <w:rPr>
          <w:rFonts w:ascii="Times New Roman" w:cs="Times New Roman" w:eastAsia="Times New Roman" w:hAnsi="Times New Roman"/>
          <w:sz w:val="17"/>
          <w:szCs w:val="17"/>
          <w:color w:val="auto"/>
        </w:rPr>
        <w:t>The reported amounts of goodwill for each reporting unit are reviewed for impairment on an annual basis, during the third quarter, and more frequently when circumstances indicate an impairment may exist. As a result of our goodwill impairment assessments performed in the years ended December 31, 2023, 2022, and 2021, we determined that the fair value of each reporting unit exceeded its net book value and, therefore, no goodwill impairments were deemed necessary.</w:t>
      </w:r>
    </w:p>
    <w:p>
      <w:pPr>
        <w:spacing w:after="0" w:line="197" w:lineRule="exact"/>
        <w:rPr>
          <w:sz w:val="20"/>
          <w:szCs w:val="20"/>
          <w:color w:val="auto"/>
        </w:rPr>
      </w:pPr>
    </w:p>
    <w:p>
      <w:pPr>
        <w:jc w:val="both"/>
        <w:ind w:right="220" w:firstLine="619"/>
        <w:spacing w:after="0" w:line="270" w:lineRule="auto"/>
        <w:rPr>
          <w:sz w:val="20"/>
          <w:szCs w:val="20"/>
          <w:color w:val="auto"/>
        </w:rPr>
      </w:pPr>
      <w:r>
        <w:rPr>
          <w:rFonts w:ascii="Times New Roman" w:cs="Times New Roman" w:eastAsia="Times New Roman" w:hAnsi="Times New Roman"/>
          <w:sz w:val="17"/>
          <w:szCs w:val="17"/>
          <w:color w:val="auto"/>
        </w:rPr>
        <w:t>We amortize other identifiable intangible assets with a finite life on a straight-line basis over the period which the asset is expected to contribute to our future cash flows, ranging from one year to twenty-eight years. The components of these other intangible assets generally consist of patents, license agreements, non-compete agreements, trademarks, and customer lists and contracts.</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Evaluating impairment of long-lived assets</w:t>
      </w:r>
    </w:p>
    <w:p>
      <w:pPr>
        <w:spacing w:after="0" w:line="34"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When events or changes in circumstances indicate that long-lived assets other than goodwill may be impaired, an evaluation is performed. For assets classified as held for use, we first group individual assets based on the lowest level for which identifiable cash flows are largely independent of the cash flows from other assets. We then compare estimated future undiscounted cash flows expected to result from the use and eventual disposition of the asset group to its carrying amount. If the asset group's undiscounted cash flows are less than its carrying amount, we then determine the asset group's fair value by using a discounted cash flow analysis and recognize any resulting impairment. When an asset is classified as held for sale, the asset’s book value is evaluated and adjusted to the lower of its carrying amount or fair value less cost to sell. In addition, depreciation and amortization is ceased while it is classified as held for sale. See Note 2 for further information on impairments and other charges.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34" w:lineRule="exact"/>
        <w:rPr>
          <w:sz w:val="20"/>
          <w:szCs w:val="20"/>
          <w:color w:val="auto"/>
        </w:rPr>
      </w:pPr>
    </w:p>
    <w:p>
      <w:pPr>
        <w:ind w:right="100" w:firstLine="619"/>
        <w:spacing w:after="0" w:line="259" w:lineRule="auto"/>
        <w:rPr>
          <w:sz w:val="20"/>
          <w:szCs w:val="20"/>
          <w:color w:val="auto"/>
        </w:rPr>
      </w:pPr>
      <w:r>
        <w:rPr>
          <w:rFonts w:ascii="Times New Roman" w:cs="Times New Roman" w:eastAsia="Times New Roman" w:hAnsi="Times New Roman"/>
          <w:sz w:val="17"/>
          <w:szCs w:val="17"/>
          <w:color w:val="auto"/>
        </w:rPr>
        <w:t>We recognize the amount of taxes payable or refundable for the year. In addition, deferred tax assets and liabilities are recognized for the expected future tax consequences of events that have been recognized in the financial statements or tax returns. A valuation allowance is provided for deferred tax assets if it is more likely than not that these items will not be realized.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1" w:name="page52"/>
    <w:bookmarkEnd w:id="51"/>
    <w:p>
      <w:pPr>
        <w:ind w:left="40"/>
        <w:spacing w:after="0"/>
        <w:tabs>
          <w:tab w:leader="none" w:pos="76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Consolidated Financial Statements</w:t>
      </w:r>
    </w:p>
    <w:p>
      <w:pPr>
        <w:spacing w:after="0" w:line="200" w:lineRule="exact"/>
        <w:rPr>
          <w:sz w:val="20"/>
          <w:szCs w:val="20"/>
          <w:color w:val="auto"/>
        </w:rPr>
      </w:pPr>
    </w:p>
    <w:p>
      <w:pPr>
        <w:spacing w:after="0" w:line="339" w:lineRule="exact"/>
        <w:rPr>
          <w:sz w:val="20"/>
          <w:szCs w:val="20"/>
          <w:color w:val="auto"/>
        </w:rPr>
      </w:pPr>
    </w:p>
    <w:p>
      <w:pPr>
        <w:ind w:right="120" w:firstLine="619"/>
        <w:spacing w:after="0" w:line="260" w:lineRule="auto"/>
        <w:rPr>
          <w:sz w:val="20"/>
          <w:szCs w:val="20"/>
          <w:color w:val="auto"/>
        </w:rPr>
      </w:pPr>
      <w:r>
        <w:rPr>
          <w:rFonts w:ascii="Times New Roman" w:cs="Times New Roman" w:eastAsia="Times New Roman" w:hAnsi="Times New Roman"/>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that we will realize the benefits of these deductible differences, net of the existing valuation allowances.</w:t>
      </w:r>
    </w:p>
    <w:p>
      <w:pPr>
        <w:spacing w:after="0" w:line="199" w:lineRule="exact"/>
        <w:rPr>
          <w:sz w:val="20"/>
          <w:szCs w:val="20"/>
          <w:color w:val="auto"/>
        </w:rPr>
      </w:pPr>
    </w:p>
    <w:p>
      <w:pPr>
        <w:ind w:right="880" w:firstLine="619"/>
        <w:spacing w:after="0" w:line="287" w:lineRule="auto"/>
        <w:rPr>
          <w:sz w:val="20"/>
          <w:szCs w:val="20"/>
          <w:color w:val="auto"/>
        </w:rPr>
      </w:pPr>
      <w:r>
        <w:rPr>
          <w:rFonts w:ascii="Times New Roman" w:cs="Times New Roman" w:eastAsia="Times New Roman" w:hAnsi="Times New Roman"/>
          <w:sz w:val="17"/>
          <w:szCs w:val="17"/>
          <w:color w:val="auto"/>
        </w:rPr>
        <w:t>We recognize interest and penalties related to unrecognized tax benefits within the provision for income taxes on continuing operations in our consolidated statements of operations.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Derivative instruments</w:t>
      </w:r>
    </w:p>
    <w:p>
      <w:pPr>
        <w:spacing w:after="0" w:line="34"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At times, we enter into derivative financial transactions to hedge existing or projected exposures to changing foreign currency exchange rates and interest rates. We do not enter into derivative transactions for speculative or trading purposes. We recognize all derivatives on the balance sheet at fair value. Derivatives that are not hedges are adjusted to fair value which are reflected within "Other, net" on our consolidated statements of operations. If the derivative is designated as a hedge, depending on the nature of the hedge, changes in the fair value of derivatives are either offset against:</w:t>
      </w:r>
    </w:p>
    <w:p>
      <w:pPr>
        <w:spacing w:after="0" w:line="22" w:lineRule="exact"/>
        <w:rPr>
          <w:sz w:val="20"/>
          <w:szCs w:val="20"/>
          <w:color w:val="auto"/>
        </w:rPr>
      </w:pPr>
    </w:p>
    <w:p>
      <w:pPr>
        <w:ind w:left="860" w:hanging="238"/>
        <w:spacing w:after="0"/>
        <w:tabs>
          <w:tab w:leader="none" w:pos="8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change in fair value of the hedged assets, liabilities, or firm commitments through earnings; or</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recognized in other comprehensive income until the hedged item is recognized in earnings.</w:t>
      </w:r>
    </w:p>
    <w:p>
      <w:pPr>
        <w:spacing w:after="0" w:line="243"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7"/>
          <w:szCs w:val="17"/>
          <w:color w:val="auto"/>
        </w:rPr>
        <w:t>The ineffective portion of a derivative’s change in fair value is recognized in earnings. Recognized gains or losses on derivatives entered into to manage foreign currency exchange risk are included in “Other, net” on the consolidated statements of operations. Gains or losses on interest rate derivatives are included in “Interest expense, net.”</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translation</w:t>
      </w:r>
    </w:p>
    <w:p>
      <w:pPr>
        <w:spacing w:after="0" w:line="34" w:lineRule="exact"/>
        <w:rPr>
          <w:sz w:val="20"/>
          <w:szCs w:val="20"/>
          <w:color w:val="auto"/>
        </w:rPr>
      </w:pPr>
    </w:p>
    <w:p>
      <w:pPr>
        <w:ind w:right="60" w:firstLine="619"/>
        <w:spacing w:after="0" w:line="257" w:lineRule="auto"/>
        <w:rPr>
          <w:sz w:val="20"/>
          <w:szCs w:val="20"/>
          <w:color w:val="auto"/>
        </w:rPr>
      </w:pPr>
      <w:r>
        <w:rPr>
          <w:rFonts w:ascii="Times New Roman" w:cs="Times New Roman" w:eastAsia="Times New Roman" w:hAnsi="Times New Roman"/>
          <w:sz w:val="17"/>
          <w:szCs w:val="17"/>
          <w:color w:val="auto"/>
        </w:rPr>
        <w:t>Foreign entities whose functional currency is the United States dollar translate monetary assets and liabilities at year-end exchange rates, and nonmonetary items are translated at historical rates. Revenue and expense transactions are translated at the average rates in effect during the year, except for those expenses associated with nonmonetary balance sheet accounts, which are translated at historical rates. Gains or losses from remeasurement of monetary assets and liabilities due to changes in exchange rates are recognized in our consolidated statements of operations in “Other, net” in the year of occurrence.</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34" w:lineRule="exact"/>
        <w:rPr>
          <w:sz w:val="20"/>
          <w:szCs w:val="20"/>
          <w:color w:val="auto"/>
        </w:rPr>
      </w:pPr>
    </w:p>
    <w:p>
      <w:pPr>
        <w:ind w:right="80" w:firstLine="619"/>
        <w:spacing w:after="0" w:line="257" w:lineRule="auto"/>
        <w:rPr>
          <w:sz w:val="20"/>
          <w:szCs w:val="20"/>
          <w:color w:val="auto"/>
        </w:rPr>
      </w:pPr>
      <w:r>
        <w:rPr>
          <w:rFonts w:ascii="Times New Roman" w:cs="Times New Roman" w:eastAsia="Times New Roman" w:hAnsi="Times New Roman"/>
          <w:sz w:val="17"/>
          <w:szCs w:val="17"/>
          <w:color w:val="auto"/>
        </w:rPr>
        <w:t>Stock-based compensation cost is measured at the date of grant, based on the calculated fair value of the award and is recognized as expense over the employee’s service period, which is generally the vesting period of the equity grant. Additionally, compensation cost is recognized based on awards ultimately expected to vest, therefore, we have reduced the cost for estimated forfeitures based on historical forfeiture rates. Forfeitures are estimated at the time of grant and revised in subsequent periods to reflect actual forfeitures. See Note 14 for additional information related to stock-based compensation.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2" w:name="page53"/>
    <w:bookmarkEnd w:id="52"/>
    <w:p>
      <w:pPr>
        <w:ind w:left="40"/>
        <w:spacing w:after="0"/>
        <w:tabs>
          <w:tab w:leader="none" w:pos="76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Consolidated Financial Statements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Impairments and Other Charges</w:t>
      </w:r>
    </w:p>
    <w:p>
      <w:pPr>
        <w:spacing w:after="0" w:line="32" w:lineRule="exact"/>
        <w:rPr>
          <w:sz w:val="20"/>
          <w:szCs w:val="20"/>
          <w:color w:val="auto"/>
        </w:rPr>
      </w:pPr>
    </w:p>
    <w:p>
      <w:pPr>
        <w:ind w:right="620" w:firstLine="619"/>
        <w:spacing w:after="0" w:line="266" w:lineRule="auto"/>
        <w:rPr>
          <w:sz w:val="20"/>
          <w:szCs w:val="20"/>
          <w:color w:val="auto"/>
        </w:rPr>
      </w:pPr>
      <w:r>
        <w:rPr>
          <w:rFonts w:ascii="Times New Roman" w:cs="Times New Roman" w:eastAsia="Times New Roman" w:hAnsi="Times New Roman"/>
          <w:sz w:val="17"/>
          <w:szCs w:val="17"/>
          <w:color w:val="auto"/>
        </w:rPr>
        <w:t>The following table presents various pre-tax charges we recorded during the years ended December 31, 2022 and 2021 which are reflected within "Impairments and other charges" on our consolidated statements of operations.</w:t>
      </w:r>
    </w:p>
    <w:p>
      <w:pPr>
        <w:spacing w:after="0" w:line="233"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3"/>
          </w:tcPr>
          <w:p>
            <w:pPr>
              <w:jc w:val="right"/>
              <w:ind w:right="494"/>
              <w:spacing w:after="0"/>
              <w:rPr>
                <w:sz w:val="20"/>
                <w:szCs w:val="20"/>
                <w:color w:val="auto"/>
              </w:rPr>
            </w:pPr>
            <w:r>
              <w:rPr>
                <w:rFonts w:ascii="Times New Roman" w:cs="Times New Roman" w:eastAsia="Times New Roman" w:hAnsi="Times New Roman"/>
                <w:sz w:val="17"/>
                <w:szCs w:val="17"/>
                <w:color w:val="auto"/>
              </w:rPr>
              <w:t>Year Ended December 31</w:t>
            </w:r>
          </w:p>
        </w:tc>
      </w:tr>
      <w:tr>
        <w:trPr>
          <w:trHeight w:val="212"/>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2022</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Long-lived asset impairments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340" w:type="dxa"/>
            <w:vAlign w:val="bottom"/>
          </w:tcPr>
          <w:p>
            <w:pPr>
              <w:spacing w:after="0"/>
              <w:rPr>
                <w:sz w:val="19"/>
                <w:szCs w:val="19"/>
                <w:color w:val="auto"/>
              </w:rPr>
            </w:pPr>
          </w:p>
        </w:tc>
        <w:tc>
          <w:tcPr>
            <w:tcW w:w="112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 costs and write-downs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w w:val="93"/>
              </w:rPr>
              <w:t>—</w:t>
            </w:r>
          </w:p>
        </w:tc>
      </w:tr>
      <w:tr>
        <w:trPr>
          <w:trHeight w:val="219"/>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Catch-up depreciation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20" w:type="dxa"/>
            <w:vAlign w:val="bottom"/>
          </w:tcPr>
          <w:p>
            <w:pPr>
              <w:jc w:val="center"/>
              <w:ind w:left="714"/>
              <w:spacing w:after="0"/>
              <w:rPr>
                <w:sz w:val="20"/>
                <w:szCs w:val="20"/>
                <w:color w:val="auto"/>
              </w:rPr>
            </w:pPr>
            <w:r>
              <w:rPr>
                <w:rFonts w:ascii="Times New Roman" w:cs="Times New Roman" w:eastAsia="Times New Roman" w:hAnsi="Times New Roman"/>
                <w:sz w:val="17"/>
                <w:szCs w:val="17"/>
                <w:color w:val="auto"/>
                <w:w w:val="93"/>
              </w:rPr>
              <w:t>36</w:t>
            </w: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Severance costs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w w:val="93"/>
              </w:rPr>
              <w:t>15</w:t>
            </w:r>
          </w:p>
        </w:tc>
      </w:tr>
      <w:tr>
        <w:trPr>
          <w:trHeight w:val="219"/>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real estate transaction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20" w:type="dxa"/>
            <w:vAlign w:val="bottom"/>
          </w:tcPr>
          <w:p>
            <w:pPr>
              <w:jc w:val="center"/>
              <w:ind w:left="694"/>
              <w:spacing w:after="0"/>
              <w:rPr>
                <w:sz w:val="20"/>
                <w:szCs w:val="20"/>
                <w:color w:val="auto"/>
              </w:rPr>
            </w:pPr>
            <w:r>
              <w:rPr>
                <w:rFonts w:ascii="Times New Roman" w:cs="Times New Roman" w:eastAsia="Times New Roman" w:hAnsi="Times New Roman"/>
                <w:sz w:val="17"/>
                <w:szCs w:val="17"/>
                <w:color w:val="auto"/>
              </w:rPr>
              <w:t>(74)</w:t>
            </w:r>
          </w:p>
        </w:tc>
      </w:tr>
      <w:tr>
        <w:trPr>
          <w:trHeight w:val="219"/>
        </w:trPr>
        <w:tc>
          <w:tcPr>
            <w:tcW w:w="5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714"/>
              <w:spacing w:after="0"/>
              <w:rPr>
                <w:sz w:val="20"/>
                <w:szCs w:val="20"/>
                <w:color w:val="auto"/>
              </w:rPr>
            </w:pPr>
            <w:r>
              <w:rPr>
                <w:rFonts w:ascii="Times New Roman" w:cs="Times New Roman" w:eastAsia="Times New Roman" w:hAnsi="Times New Roman"/>
                <w:sz w:val="17"/>
                <w:szCs w:val="17"/>
                <w:color w:val="auto"/>
                <w:w w:val="93"/>
              </w:rPr>
              <w:t>35</w:t>
            </w:r>
          </w:p>
        </w:tc>
      </w:tr>
      <w:tr>
        <w:trPr>
          <w:trHeight w:val="212"/>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impairments and other charges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center"/>
              <w:ind w:left="714"/>
              <w:spacing w:after="0"/>
              <w:rPr>
                <w:sz w:val="20"/>
                <w:szCs w:val="20"/>
                <w:color w:val="auto"/>
              </w:rPr>
            </w:pPr>
            <w:r>
              <w:rPr>
                <w:rFonts w:ascii="Times New Roman" w:cs="Times New Roman" w:eastAsia="Times New Roman" w:hAnsi="Times New Roman"/>
                <w:sz w:val="17"/>
                <w:szCs w:val="17"/>
                <w:color w:val="auto"/>
                <w:w w:val="93"/>
              </w:rPr>
              <w:t>12</w:t>
            </w: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the year ended December 31, 2023, there were no amounts recorded in impairment and other charges.</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the year ended December 31, 2022, due to Russia's invasion of Ukraine and resulting sanctions imposed on Russia, we made the decision to sell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Russian operations and completed the sale in the third quarter of 2022. We wrote down the disposal group to fair value less costs to sell, which resulted in 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pre-tax charge of $344 million. Of this pre-tax charge, approximately $131 million was attributable to our Completion and Production segment, approximately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$178 million was attributable to our Drilling and Evaluation segment, and $35 million was selling costs and was attributable to Corporate and other. We no longer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conduct operations in Russia. Additionally, during the first quarter of 2022, we recorded a pre-tax charge of $22 million primarily related to the write down of all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assets in Ukraine. Included in this charge is a $16 million allowance for credit loss as we do not expect to collect our receivables in Ukraine. Long-lived asset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impairments include impairments of property, plant, and equipment.</w:t>
      </w:r>
    </w:p>
    <w:p>
      <w:pPr>
        <w:spacing w:after="0" w:line="226"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For the year ended December 31, 2021, $12 million of impairments and other charges was recorded due to the decision to discontinue the proposed sale of our Pipeline and Process Services business and as a result we recorded a $36 million charge for accumulated unrecognized depreciation and amortization expense during the period the associated assets were classified as held for sale. Additionally, we finalized a structured transaction relating to most of our owned United States real estate. As a result of the transaction, we derecognized $358 million of assets previously held for sale included in Other current assets and recognized an investment in an unconsolidated subsidiary of $349 million included in Other assets, which resulted in a gain of $74 million, due to specific assets with a carrying amount less than the fair value.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Business Segment and Geographic Information</w:t>
      </w:r>
    </w:p>
    <w:p>
      <w:pPr>
        <w:spacing w:after="0" w:line="32" w:lineRule="exact"/>
        <w:rPr>
          <w:sz w:val="20"/>
          <w:szCs w:val="20"/>
          <w:color w:val="auto"/>
        </w:rPr>
      </w:pPr>
    </w:p>
    <w:p>
      <w:pPr>
        <w:ind w:right="60" w:firstLine="619"/>
        <w:spacing w:after="0" w:line="259" w:lineRule="auto"/>
        <w:rPr>
          <w:sz w:val="20"/>
          <w:szCs w:val="20"/>
          <w:color w:val="auto"/>
        </w:rPr>
      </w:pPr>
      <w:r>
        <w:rPr>
          <w:rFonts w:ascii="Times New Roman" w:cs="Times New Roman" w:eastAsia="Times New Roman" w:hAnsi="Times New Roman"/>
          <w:sz w:val="17"/>
          <w:szCs w:val="17"/>
          <w:color w:val="auto"/>
        </w:rPr>
        <w:t>We operate under two divisions, which form the basis for the two operating segments we report: the Completion and Production segment and the Drilling and Evaluation segment. Our equity in earnings and losses of unconsolidated affiliates that are accounted for using the equity method of accounting are included within cost of services and cost of sales on our statements of operations, which is part of operating income of the applicable segment.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5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40" w:type="dxa"/>
            <w:vAlign w:val="bottom"/>
            <w:gridSpan w:val="6"/>
          </w:tcPr>
          <w:p>
            <w:pPr>
              <w:ind w:left="460"/>
              <w:spacing w:after="0"/>
              <w:rPr>
                <w:sz w:val="20"/>
                <w:szCs w:val="20"/>
                <w:color w:val="auto"/>
              </w:rPr>
            </w:pPr>
            <w:r>
              <w:rPr>
                <w:rFonts w:ascii="Times New Roman" w:cs="Times New Roman" w:eastAsia="Times New Roman" w:hAnsi="Times New Roman"/>
                <w:sz w:val="17"/>
                <w:szCs w:val="17"/>
                <w:color w:val="auto"/>
              </w:rPr>
              <w:t>Item 8 | Notes to Consolidated Financial Statements</w:t>
            </w:r>
          </w:p>
        </w:tc>
      </w:tr>
      <w:tr>
        <w:trPr>
          <w:trHeight w:val="737"/>
        </w:trPr>
        <w:tc>
          <w:tcPr>
            <w:tcW w:w="6880" w:type="dxa"/>
            <w:vAlign w:val="bottom"/>
            <w:gridSpan w:val="3"/>
          </w:tcPr>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Operations by business segment</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3"/>
        </w:trPr>
        <w:tc>
          <w:tcPr>
            <w:tcW w:w="688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The following tables present financial information on our business segments.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96"/>
        </w:trPr>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Year Ended December 31</w:t>
            </w:r>
          </w:p>
        </w:tc>
        <w:tc>
          <w:tcPr>
            <w:tcW w:w="78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r>
      <w:tr>
        <w:trPr>
          <w:trHeight w:val="212"/>
        </w:trPr>
        <w:tc>
          <w:tcPr>
            <w:tcW w:w="920" w:type="dxa"/>
            <w:vAlign w:val="bottom"/>
          </w:tcPr>
          <w:p>
            <w:pPr>
              <w:spacing w:after="0"/>
              <w:rPr>
                <w:sz w:val="18"/>
                <w:szCs w:val="18"/>
                <w:color w:val="auto"/>
              </w:rPr>
            </w:pPr>
          </w:p>
        </w:tc>
        <w:tc>
          <w:tcPr>
            <w:tcW w:w="5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2023</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2022</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2021</w:t>
            </w:r>
          </w:p>
        </w:tc>
        <w:tc>
          <w:tcPr>
            <w:tcW w:w="920" w:type="dxa"/>
            <w:vAlign w:val="bottom"/>
          </w:tcPr>
          <w:p>
            <w:pPr>
              <w:spacing w:after="0"/>
              <w:rPr>
                <w:sz w:val="18"/>
                <w:szCs w:val="18"/>
                <w:color w:val="auto"/>
              </w:rPr>
            </w:pPr>
          </w:p>
        </w:tc>
      </w:tr>
      <w:tr>
        <w:trPr>
          <w:trHeight w:val="212"/>
        </w:trPr>
        <w:tc>
          <w:tcPr>
            <w:tcW w:w="920" w:type="dxa"/>
            <w:vAlign w:val="bottom"/>
          </w:tcPr>
          <w:p>
            <w:pPr>
              <w:spacing w:after="0"/>
              <w:rPr>
                <w:sz w:val="18"/>
                <w:szCs w:val="18"/>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920" w:type="dxa"/>
            <w:vAlign w:val="bottom"/>
          </w:tcPr>
          <w:p>
            <w:pPr>
              <w:spacing w:after="0"/>
              <w:rPr>
                <w:sz w:val="19"/>
                <w:szCs w:val="19"/>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Completion and Production</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13,689</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11,582</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8,410</w:t>
            </w:r>
          </w:p>
        </w:tc>
        <w:tc>
          <w:tcPr>
            <w:tcW w:w="920" w:type="dxa"/>
            <w:vAlign w:val="bottom"/>
          </w:tcPr>
          <w:p>
            <w:pPr>
              <w:spacing w:after="0"/>
              <w:rPr>
                <w:sz w:val="19"/>
                <w:szCs w:val="19"/>
                <w:color w:val="auto"/>
              </w:rPr>
            </w:pPr>
          </w:p>
        </w:tc>
      </w:tr>
      <w:tr>
        <w:trPr>
          <w:trHeight w:val="219"/>
        </w:trPr>
        <w:tc>
          <w:tcPr>
            <w:tcW w:w="920" w:type="dxa"/>
            <w:vAlign w:val="bottom"/>
          </w:tcPr>
          <w:p>
            <w:pPr>
              <w:spacing w:after="0"/>
              <w:rPr>
                <w:sz w:val="19"/>
                <w:szCs w:val="19"/>
                <w:color w:val="auto"/>
              </w:rPr>
            </w:pPr>
          </w:p>
        </w:tc>
        <w:tc>
          <w:tcPr>
            <w:tcW w:w="59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Drilling and Evaluation</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9,329</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8,715</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6,885</w:t>
            </w:r>
          </w:p>
        </w:tc>
        <w:tc>
          <w:tcPr>
            <w:tcW w:w="920" w:type="dxa"/>
            <w:vAlign w:val="bottom"/>
          </w:tcPr>
          <w:p>
            <w:pPr>
              <w:spacing w:after="0"/>
              <w:rPr>
                <w:sz w:val="19"/>
                <w:szCs w:val="19"/>
                <w:color w:val="auto"/>
              </w:rPr>
            </w:pPr>
          </w:p>
        </w:tc>
      </w:tr>
      <w:tr>
        <w:trPr>
          <w:trHeight w:val="212"/>
        </w:trPr>
        <w:tc>
          <w:tcPr>
            <w:tcW w:w="920" w:type="dxa"/>
            <w:vAlign w:val="bottom"/>
          </w:tcPr>
          <w:p>
            <w:pPr>
              <w:spacing w:after="0"/>
              <w:rPr>
                <w:sz w:val="18"/>
                <w:szCs w:val="18"/>
                <w:color w:val="auto"/>
              </w:rPr>
            </w:pPr>
          </w:p>
        </w:tc>
        <w:tc>
          <w:tcPr>
            <w:tcW w:w="5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23,018</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20,297</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15,295</w:t>
            </w:r>
          </w:p>
        </w:tc>
        <w:tc>
          <w:tcPr>
            <w:tcW w:w="9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920" w:type="dxa"/>
            <w:vAlign w:val="bottom"/>
          </w:tcPr>
          <w:p>
            <w:pPr>
              <w:spacing w:after="0"/>
              <w:rPr>
                <w:sz w:val="19"/>
                <w:szCs w:val="19"/>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Completion and Production</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2,835</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2,037</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w:t>
            </w:r>
          </w:p>
        </w:tc>
        <w:tc>
          <w:tcPr>
            <w:tcW w:w="920" w:type="dxa"/>
            <w:vAlign w:val="bottom"/>
          </w:tcPr>
          <w:p>
            <w:pPr>
              <w:spacing w:after="0"/>
              <w:rPr>
                <w:sz w:val="19"/>
                <w:szCs w:val="19"/>
                <w:color w:val="auto"/>
              </w:rPr>
            </w:pPr>
          </w:p>
        </w:tc>
      </w:tr>
      <w:tr>
        <w:trPr>
          <w:trHeight w:val="219"/>
        </w:trPr>
        <w:tc>
          <w:tcPr>
            <w:tcW w:w="920" w:type="dxa"/>
            <w:vAlign w:val="bottom"/>
          </w:tcPr>
          <w:p>
            <w:pPr>
              <w:spacing w:after="0"/>
              <w:rPr>
                <w:sz w:val="19"/>
                <w:szCs w:val="19"/>
                <w:color w:val="auto"/>
              </w:rPr>
            </w:pPr>
          </w:p>
        </w:tc>
        <w:tc>
          <w:tcPr>
            <w:tcW w:w="59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Drilling and Evaluation</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920" w:type="dxa"/>
            <w:vAlign w:val="bottom"/>
          </w:tcPr>
          <w:p>
            <w:pPr>
              <w:spacing w:after="0"/>
              <w:rPr>
                <w:sz w:val="19"/>
                <w:szCs w:val="19"/>
                <w:color w:val="auto"/>
              </w:rPr>
            </w:pPr>
          </w:p>
        </w:tc>
      </w:tr>
      <w:tr>
        <w:trPr>
          <w:trHeight w:val="212"/>
        </w:trPr>
        <w:tc>
          <w:tcPr>
            <w:tcW w:w="920" w:type="dxa"/>
            <w:vAlign w:val="bottom"/>
          </w:tcPr>
          <w:p>
            <w:pPr>
              <w:spacing w:after="0"/>
              <w:rPr>
                <w:sz w:val="18"/>
                <w:szCs w:val="18"/>
                <w:color w:val="auto"/>
              </w:rPr>
            </w:pPr>
          </w:p>
        </w:tc>
        <w:tc>
          <w:tcPr>
            <w:tcW w:w="5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Total operations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4,378</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3,329</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2,039</w:t>
            </w:r>
          </w:p>
        </w:tc>
        <w:tc>
          <w:tcPr>
            <w:tcW w:w="920" w:type="dxa"/>
            <w:vAlign w:val="bottom"/>
          </w:tcPr>
          <w:p>
            <w:pPr>
              <w:spacing w:after="0"/>
              <w:rPr>
                <w:sz w:val="18"/>
                <w:szCs w:val="18"/>
                <w:color w:val="auto"/>
              </w:rPr>
            </w:pPr>
          </w:p>
        </w:tc>
      </w:tr>
      <w:tr>
        <w:trPr>
          <w:trHeight w:val="212"/>
        </w:trPr>
        <w:tc>
          <w:tcPr>
            <w:tcW w:w="920" w:type="dxa"/>
            <w:vAlign w:val="bottom"/>
          </w:tcPr>
          <w:p>
            <w:pPr>
              <w:spacing w:after="0"/>
              <w:rPr>
                <w:sz w:val="18"/>
                <w:szCs w:val="18"/>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and other (a)</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920" w:type="dxa"/>
            <w:vAlign w:val="bottom"/>
          </w:tcPr>
          <w:p>
            <w:pPr>
              <w:spacing w:after="0"/>
              <w:rPr>
                <w:sz w:val="18"/>
                <w:szCs w:val="18"/>
                <w:color w:val="auto"/>
              </w:rPr>
            </w:pPr>
          </w:p>
        </w:tc>
      </w:tr>
      <w:tr>
        <w:trPr>
          <w:trHeight w:val="219"/>
        </w:trPr>
        <w:tc>
          <w:tcPr>
            <w:tcW w:w="920" w:type="dxa"/>
            <w:vAlign w:val="bottom"/>
          </w:tcPr>
          <w:p>
            <w:pPr>
              <w:spacing w:after="0"/>
              <w:rPr>
                <w:sz w:val="19"/>
                <w:szCs w:val="19"/>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SAP S4 upgrade expense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spacing w:after="0"/>
              <w:rPr>
                <w:sz w:val="19"/>
                <w:szCs w:val="19"/>
                <w:color w:val="auto"/>
              </w:rPr>
            </w:pPr>
          </w:p>
        </w:tc>
      </w:tr>
      <w:tr>
        <w:trPr>
          <w:trHeight w:val="219"/>
        </w:trPr>
        <w:tc>
          <w:tcPr>
            <w:tcW w:w="920" w:type="dxa"/>
            <w:vAlign w:val="bottom"/>
          </w:tcPr>
          <w:p>
            <w:pPr>
              <w:spacing w:after="0"/>
              <w:rPr>
                <w:sz w:val="19"/>
                <w:szCs w:val="19"/>
                <w:color w:val="auto"/>
              </w:rPr>
            </w:pPr>
          </w:p>
        </w:tc>
        <w:tc>
          <w:tcPr>
            <w:tcW w:w="59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Impairments and other charges (b)</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920" w:type="dxa"/>
            <w:vAlign w:val="bottom"/>
          </w:tcPr>
          <w:p>
            <w:pPr>
              <w:spacing w:after="0"/>
              <w:rPr>
                <w:sz w:val="19"/>
                <w:szCs w:val="19"/>
                <w:color w:val="auto"/>
              </w:rPr>
            </w:pPr>
          </w:p>
        </w:tc>
      </w:tr>
      <w:tr>
        <w:trPr>
          <w:trHeight w:val="212"/>
        </w:trPr>
        <w:tc>
          <w:tcPr>
            <w:tcW w:w="920" w:type="dxa"/>
            <w:vAlign w:val="bottom"/>
          </w:tcPr>
          <w:p>
            <w:pPr>
              <w:spacing w:after="0"/>
              <w:rPr>
                <w:sz w:val="18"/>
                <w:szCs w:val="18"/>
                <w:color w:val="auto"/>
              </w:rPr>
            </w:pPr>
          </w:p>
        </w:tc>
        <w:tc>
          <w:tcPr>
            <w:tcW w:w="5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Total operating income</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4,083</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2,707</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9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 of interest income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920" w:type="dxa"/>
            <w:vAlign w:val="bottom"/>
          </w:tcPr>
          <w:p>
            <w:pPr>
              <w:spacing w:after="0"/>
              <w:rPr>
                <w:sz w:val="18"/>
                <w:szCs w:val="18"/>
                <w:color w:val="auto"/>
              </w:rPr>
            </w:pPr>
          </w:p>
        </w:tc>
      </w:tr>
      <w:tr>
        <w:trPr>
          <w:trHeight w:val="219"/>
        </w:trPr>
        <w:tc>
          <w:tcPr>
            <w:tcW w:w="920" w:type="dxa"/>
            <w:vAlign w:val="bottom"/>
          </w:tcPr>
          <w:p>
            <w:pPr>
              <w:spacing w:after="0"/>
              <w:rPr>
                <w:sz w:val="19"/>
                <w:szCs w:val="19"/>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 on Blue Chip Swap transactions (c)</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spacing w:after="0"/>
              <w:rPr>
                <w:sz w:val="19"/>
                <w:szCs w:val="19"/>
                <w:color w:val="auto"/>
              </w:rPr>
            </w:pPr>
          </w:p>
        </w:tc>
      </w:tr>
      <w:tr>
        <w:trPr>
          <w:trHeight w:val="219"/>
        </w:trPr>
        <w:tc>
          <w:tcPr>
            <w:tcW w:w="920" w:type="dxa"/>
            <w:vAlign w:val="bottom"/>
          </w:tcPr>
          <w:p>
            <w:pPr>
              <w:spacing w:after="0"/>
              <w:rPr>
                <w:sz w:val="19"/>
                <w:szCs w:val="19"/>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Argentina currency impact (d)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920" w:type="dxa"/>
            <w:vAlign w:val="bottom"/>
          </w:tcPr>
          <w:p>
            <w:pPr>
              <w:spacing w:after="0"/>
              <w:rPr>
                <w:sz w:val="19"/>
                <w:szCs w:val="19"/>
                <w:color w:val="auto"/>
              </w:rPr>
            </w:pPr>
          </w:p>
        </w:tc>
      </w:tr>
      <w:tr>
        <w:trPr>
          <w:trHeight w:val="219"/>
        </w:trPr>
        <w:tc>
          <w:tcPr>
            <w:tcW w:w="920" w:type="dxa"/>
            <w:vAlign w:val="bottom"/>
          </w:tcPr>
          <w:p>
            <w:pPr>
              <w:spacing w:after="0"/>
              <w:rPr>
                <w:sz w:val="19"/>
                <w:szCs w:val="19"/>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 on early extinguishment of debt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spacing w:after="0"/>
              <w:rPr>
                <w:sz w:val="19"/>
                <w:szCs w:val="19"/>
                <w:color w:val="auto"/>
              </w:rPr>
            </w:pPr>
          </w:p>
        </w:tc>
      </w:tr>
      <w:tr>
        <w:trPr>
          <w:trHeight w:val="244"/>
        </w:trPr>
        <w:tc>
          <w:tcPr>
            <w:tcW w:w="920" w:type="dxa"/>
            <w:vAlign w:val="bottom"/>
          </w:tcPr>
          <w:p>
            <w:pPr>
              <w:spacing w:after="0"/>
              <w:rPr>
                <w:sz w:val="20"/>
                <w:szCs w:val="20"/>
                <w:color w:val="auto"/>
              </w:rPr>
            </w:pPr>
          </w:p>
        </w:tc>
        <w:tc>
          <w:tcPr>
            <w:tcW w:w="59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3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920" w:type="dxa"/>
            <w:vAlign w:val="bottom"/>
          </w:tcPr>
          <w:p>
            <w:pPr>
              <w:spacing w:after="0"/>
              <w:rPr>
                <w:sz w:val="20"/>
                <w:szCs w:val="20"/>
                <w:color w:val="auto"/>
              </w:rPr>
            </w:pPr>
          </w:p>
        </w:tc>
      </w:tr>
      <w:tr>
        <w:trPr>
          <w:trHeight w:val="20"/>
        </w:trPr>
        <w:tc>
          <w:tcPr>
            <w:tcW w:w="920" w:type="dxa"/>
            <w:vAlign w:val="bottom"/>
          </w:tcPr>
          <w:p>
            <w:pPr>
              <w:spacing w:after="0" w:line="20" w:lineRule="exact"/>
              <w:rPr>
                <w:sz w:val="1"/>
                <w:szCs w:val="1"/>
                <w:color w:val="auto"/>
              </w:rPr>
            </w:pPr>
          </w:p>
        </w:tc>
        <w:tc>
          <w:tcPr>
            <w:tcW w:w="596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1"/>
        </w:trPr>
        <w:tc>
          <w:tcPr>
            <w:tcW w:w="920" w:type="dxa"/>
            <w:vAlign w:val="bottom"/>
          </w:tcPr>
          <w:p>
            <w:pPr>
              <w:spacing w:after="0"/>
              <w:rPr>
                <w:sz w:val="16"/>
                <w:szCs w:val="16"/>
                <w:color w:val="auto"/>
              </w:rPr>
            </w:pPr>
          </w:p>
        </w:tc>
        <w:tc>
          <w:tcPr>
            <w:tcW w:w="5960" w:type="dxa"/>
            <w:vAlign w:val="bottom"/>
            <w:tcBorders>
              <w:bottom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before income taxes</w:t>
            </w: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3,363</w:t>
            </w:r>
          </w:p>
        </w:tc>
        <w:tc>
          <w:tcPr>
            <w:tcW w:w="260" w:type="dxa"/>
            <w:vAlign w:val="bottom"/>
            <w:tcBorders>
              <w:bottom w:val="single" w:sz="8" w:color="auto"/>
            </w:tcBorders>
          </w:tcPr>
          <w:p>
            <w:pPr>
              <w:jc w:val="right"/>
              <w:ind w:right="54"/>
              <w:spacing w:after="0" w:line="191"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2,110</w:t>
            </w:r>
          </w:p>
        </w:tc>
        <w:tc>
          <w:tcPr>
            <w:tcW w:w="360" w:type="dxa"/>
            <w:vAlign w:val="bottom"/>
            <w:tcBorders>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1,252</w:t>
            </w:r>
          </w:p>
        </w:tc>
        <w:tc>
          <w:tcPr>
            <w:tcW w:w="920" w:type="dxa"/>
            <w:vAlign w:val="bottom"/>
          </w:tcPr>
          <w:p>
            <w:pPr>
              <w:spacing w:after="0"/>
              <w:rPr>
                <w:sz w:val="16"/>
                <w:szCs w:val="16"/>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Capital expenditures: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920" w:type="dxa"/>
            <w:vAlign w:val="bottom"/>
          </w:tcPr>
          <w:p>
            <w:pPr>
              <w:spacing w:after="0"/>
              <w:rPr>
                <w:sz w:val="19"/>
                <w:szCs w:val="19"/>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Completion and Production</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920" w:type="dxa"/>
            <w:vAlign w:val="bottom"/>
          </w:tcPr>
          <w:p>
            <w:pPr>
              <w:spacing w:after="0"/>
              <w:rPr>
                <w:sz w:val="19"/>
                <w:szCs w:val="19"/>
                <w:color w:val="auto"/>
              </w:rPr>
            </w:pPr>
          </w:p>
        </w:tc>
      </w:tr>
      <w:tr>
        <w:trPr>
          <w:trHeight w:val="219"/>
        </w:trPr>
        <w:tc>
          <w:tcPr>
            <w:tcW w:w="920" w:type="dxa"/>
            <w:vAlign w:val="bottom"/>
          </w:tcPr>
          <w:p>
            <w:pPr>
              <w:spacing w:after="0"/>
              <w:rPr>
                <w:sz w:val="19"/>
                <w:szCs w:val="19"/>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Drilling and Evaluation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920" w:type="dxa"/>
            <w:vAlign w:val="bottom"/>
          </w:tcPr>
          <w:p>
            <w:pPr>
              <w:spacing w:after="0"/>
              <w:rPr>
                <w:sz w:val="19"/>
                <w:szCs w:val="19"/>
                <w:color w:val="auto"/>
              </w:rPr>
            </w:pPr>
          </w:p>
        </w:tc>
      </w:tr>
      <w:tr>
        <w:trPr>
          <w:trHeight w:val="219"/>
        </w:trPr>
        <w:tc>
          <w:tcPr>
            <w:tcW w:w="920" w:type="dxa"/>
            <w:vAlign w:val="bottom"/>
          </w:tcPr>
          <w:p>
            <w:pPr>
              <w:spacing w:after="0"/>
              <w:rPr>
                <w:sz w:val="19"/>
                <w:szCs w:val="19"/>
                <w:color w:val="auto"/>
              </w:rPr>
            </w:pPr>
          </w:p>
        </w:tc>
        <w:tc>
          <w:tcPr>
            <w:tcW w:w="5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920" w:type="dxa"/>
            <w:vAlign w:val="bottom"/>
          </w:tcPr>
          <w:p>
            <w:pPr>
              <w:spacing w:after="0"/>
              <w:rPr>
                <w:sz w:val="19"/>
                <w:szCs w:val="19"/>
                <w:color w:val="auto"/>
              </w:rPr>
            </w:pPr>
          </w:p>
        </w:tc>
      </w:tr>
      <w:tr>
        <w:trPr>
          <w:trHeight w:val="237"/>
        </w:trPr>
        <w:tc>
          <w:tcPr>
            <w:tcW w:w="920" w:type="dxa"/>
            <w:vAlign w:val="bottom"/>
          </w:tcPr>
          <w:p>
            <w:pPr>
              <w:spacing w:after="0"/>
              <w:rPr>
                <w:sz w:val="20"/>
                <w:szCs w:val="20"/>
                <w:color w:val="auto"/>
              </w:rPr>
            </w:pPr>
          </w:p>
        </w:tc>
        <w:tc>
          <w:tcPr>
            <w:tcW w:w="59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capital expenditures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920" w:type="dxa"/>
            <w:vAlign w:val="bottom"/>
          </w:tcPr>
          <w:p>
            <w:pPr>
              <w:spacing w:after="0"/>
              <w:rPr>
                <w:sz w:val="20"/>
                <w:szCs w:val="20"/>
                <w:color w:val="auto"/>
              </w:rPr>
            </w:pPr>
          </w:p>
        </w:tc>
      </w:tr>
      <w:tr>
        <w:trPr>
          <w:trHeight w:val="20"/>
        </w:trPr>
        <w:tc>
          <w:tcPr>
            <w:tcW w:w="920" w:type="dxa"/>
            <w:vAlign w:val="bottom"/>
          </w:tcPr>
          <w:p>
            <w:pPr>
              <w:spacing w:after="0" w:line="20" w:lineRule="exact"/>
              <w:rPr>
                <w:sz w:val="1"/>
                <w:szCs w:val="1"/>
                <w:color w:val="auto"/>
              </w:rPr>
            </w:pPr>
          </w:p>
        </w:tc>
        <w:tc>
          <w:tcPr>
            <w:tcW w:w="596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1"/>
        </w:trPr>
        <w:tc>
          <w:tcPr>
            <w:tcW w:w="920" w:type="dxa"/>
            <w:vAlign w:val="bottom"/>
          </w:tcPr>
          <w:p>
            <w:pPr>
              <w:spacing w:after="0"/>
              <w:rPr>
                <w:sz w:val="16"/>
                <w:szCs w:val="16"/>
                <w:color w:val="auto"/>
              </w:rPr>
            </w:pPr>
          </w:p>
        </w:tc>
        <w:tc>
          <w:tcPr>
            <w:tcW w:w="59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7"/>
                <w:szCs w:val="17"/>
                <w:b w:val="1"/>
                <w:bCs w:val="1"/>
                <w:color w:val="auto"/>
              </w:rPr>
              <w:t>Depreciation, depletion, and amortization:</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920" w:type="dxa"/>
            <w:vAlign w:val="bottom"/>
          </w:tcPr>
          <w:p>
            <w:pPr>
              <w:spacing w:after="0"/>
              <w:rPr>
                <w:sz w:val="19"/>
                <w:szCs w:val="19"/>
                <w:color w:val="auto"/>
              </w:rPr>
            </w:pPr>
          </w:p>
        </w:tc>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Completion and Production</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920" w:type="dxa"/>
            <w:vAlign w:val="bottom"/>
          </w:tcPr>
          <w:p>
            <w:pPr>
              <w:spacing w:after="0"/>
              <w:rPr>
                <w:sz w:val="19"/>
                <w:szCs w:val="19"/>
                <w:color w:val="auto"/>
              </w:rPr>
            </w:pPr>
          </w:p>
        </w:tc>
      </w:tr>
      <w:tr>
        <w:trPr>
          <w:trHeight w:val="219"/>
        </w:trPr>
        <w:tc>
          <w:tcPr>
            <w:tcW w:w="920" w:type="dxa"/>
            <w:vAlign w:val="bottom"/>
          </w:tcPr>
          <w:p>
            <w:pPr>
              <w:spacing w:after="0"/>
              <w:rPr>
                <w:sz w:val="19"/>
                <w:szCs w:val="19"/>
                <w:color w:val="auto"/>
              </w:rPr>
            </w:pPr>
          </w:p>
        </w:tc>
        <w:tc>
          <w:tcPr>
            <w:tcW w:w="5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Drilling and Evaluation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920" w:type="dxa"/>
            <w:vAlign w:val="bottom"/>
          </w:tcPr>
          <w:p>
            <w:pPr>
              <w:spacing w:after="0"/>
              <w:rPr>
                <w:sz w:val="19"/>
                <w:szCs w:val="19"/>
                <w:color w:val="auto"/>
              </w:rPr>
            </w:pPr>
          </w:p>
        </w:tc>
      </w:tr>
      <w:tr>
        <w:trPr>
          <w:trHeight w:val="219"/>
        </w:trPr>
        <w:tc>
          <w:tcPr>
            <w:tcW w:w="920" w:type="dxa"/>
            <w:vAlign w:val="bottom"/>
          </w:tcPr>
          <w:p>
            <w:pPr>
              <w:spacing w:after="0"/>
              <w:rPr>
                <w:sz w:val="19"/>
                <w:szCs w:val="19"/>
                <w:color w:val="auto"/>
              </w:rPr>
            </w:pPr>
          </w:p>
        </w:tc>
        <w:tc>
          <w:tcPr>
            <w:tcW w:w="59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920" w:type="dxa"/>
            <w:vAlign w:val="bottom"/>
          </w:tcPr>
          <w:p>
            <w:pPr>
              <w:spacing w:after="0"/>
              <w:rPr>
                <w:sz w:val="19"/>
                <w:szCs w:val="19"/>
                <w:color w:val="auto"/>
              </w:rPr>
            </w:pPr>
          </w:p>
        </w:tc>
      </w:tr>
      <w:tr>
        <w:trPr>
          <w:trHeight w:val="212"/>
        </w:trPr>
        <w:tc>
          <w:tcPr>
            <w:tcW w:w="920" w:type="dxa"/>
            <w:vAlign w:val="bottom"/>
          </w:tcPr>
          <w:p>
            <w:pPr>
              <w:spacing w:after="0"/>
              <w:rPr>
                <w:sz w:val="18"/>
                <w:szCs w:val="18"/>
                <w:color w:val="auto"/>
              </w:rPr>
            </w:pPr>
          </w:p>
        </w:tc>
        <w:tc>
          <w:tcPr>
            <w:tcW w:w="5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Total depreciation, depletion, and amortization</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998</w:t>
            </w: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9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57" w:lineRule="exact"/>
        <w:rPr>
          <w:sz w:val="20"/>
          <w:szCs w:val="20"/>
          <w:color w:val="auto"/>
        </w:rPr>
      </w:pPr>
    </w:p>
    <w:p>
      <w:pPr>
        <w:ind w:left="1260" w:right="1160" w:hanging="326"/>
        <w:spacing w:after="0" w:line="238" w:lineRule="auto"/>
        <w:tabs>
          <w:tab w:leader="none" w:pos="1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expenses not attributable to a business segment, such as costs related to support functions, corporate executives, and operating lease assets, and also includes amortization expense associated with intangible assets recorded as a result of acquisitions.</w:t>
      </w:r>
    </w:p>
    <w:p>
      <w:pPr>
        <w:spacing w:after="0" w:line="3" w:lineRule="exact"/>
        <w:rPr>
          <w:rFonts w:ascii="Times New Roman" w:cs="Times New Roman" w:eastAsia="Times New Roman" w:hAnsi="Times New Roman"/>
          <w:sz w:val="14"/>
          <w:szCs w:val="14"/>
          <w:color w:val="auto"/>
        </w:rPr>
      </w:pPr>
    </w:p>
    <w:p>
      <w:pPr>
        <w:ind w:left="1260" w:hanging="326"/>
        <w:spacing w:after="0"/>
        <w:tabs>
          <w:tab w:leader="none" w:pos="1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Impairments and other charges are as follows:</w:t>
      </w:r>
    </w:p>
    <w:p>
      <w:pPr>
        <w:spacing w:after="0" w:line="45" w:lineRule="exact"/>
        <w:rPr>
          <w:sz w:val="20"/>
          <w:szCs w:val="20"/>
          <w:color w:val="auto"/>
        </w:rPr>
      </w:pPr>
    </w:p>
    <w:p>
      <w:pPr>
        <w:ind w:left="1480" w:right="1060"/>
        <w:spacing w:after="0" w:line="238" w:lineRule="auto"/>
        <w:rPr>
          <w:sz w:val="20"/>
          <w:szCs w:val="20"/>
          <w:color w:val="auto"/>
        </w:rPr>
      </w:pPr>
      <w:r>
        <w:rPr>
          <w:rFonts w:ascii="Times New Roman" w:cs="Times New Roman" w:eastAsia="Times New Roman" w:hAnsi="Times New Roman"/>
          <w:sz w:val="14"/>
          <w:szCs w:val="14"/>
          <w:color w:val="auto"/>
        </w:rPr>
        <w:t>-For the year ended December 31, 2022, amount includes approximately $136 million attributable to Completion and Production, $195 million attributable to Drilling and Evaluation, and $35 million attributable to Corporate and other.</w:t>
      </w:r>
    </w:p>
    <w:p>
      <w:pPr>
        <w:spacing w:after="0" w:line="29" w:lineRule="exact"/>
        <w:rPr>
          <w:sz w:val="20"/>
          <w:szCs w:val="20"/>
          <w:color w:val="auto"/>
        </w:rPr>
      </w:pPr>
    </w:p>
    <w:p>
      <w:pPr>
        <w:ind w:left="1480" w:right="1260"/>
        <w:spacing w:after="0" w:line="229" w:lineRule="auto"/>
        <w:rPr>
          <w:sz w:val="20"/>
          <w:szCs w:val="20"/>
          <w:color w:val="auto"/>
        </w:rPr>
      </w:pPr>
      <w:r>
        <w:rPr>
          <w:rFonts w:ascii="Times New Roman" w:cs="Times New Roman" w:eastAsia="Times New Roman" w:hAnsi="Times New Roman"/>
          <w:sz w:val="14"/>
          <w:szCs w:val="14"/>
          <w:color w:val="auto"/>
        </w:rPr>
        <w:t>-For the year ended December 31, 2021, amount includes approximately $42 million attributable to Completion and Production, $9 million attributable to Drilling and Evaluation, and a $39 million net gain attributable to Corporate and other.</w:t>
      </w:r>
    </w:p>
    <w:p>
      <w:pPr>
        <w:spacing w:after="0" w:line="80" w:lineRule="exact"/>
        <w:rPr>
          <w:sz w:val="20"/>
          <w:szCs w:val="20"/>
          <w:color w:val="auto"/>
        </w:rPr>
      </w:pPr>
    </w:p>
    <w:p>
      <w:pPr>
        <w:jc w:val="both"/>
        <w:ind w:left="1260" w:right="980" w:hanging="326"/>
        <w:spacing w:after="0" w:line="223" w:lineRule="auto"/>
        <w:tabs>
          <w:tab w:leader="none" w:pos="1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Central Bank of Argentina maintains currency controls that limit our ability to access U.S. dollars in Argentina and remit cash from our Argentine operations. Our execution of certain trades, known as Blue Chip Swaps, which effectively results in a parallel U.S. dollar exchange rate, resulted in a $110 million pre-tax loss for the year ended December 31, 2023.</w:t>
      </w:r>
    </w:p>
    <w:p>
      <w:pPr>
        <w:spacing w:after="0" w:line="15" w:lineRule="exact"/>
        <w:rPr>
          <w:rFonts w:ascii="Times New Roman" w:cs="Times New Roman" w:eastAsia="Times New Roman" w:hAnsi="Times New Roman"/>
          <w:sz w:val="14"/>
          <w:szCs w:val="14"/>
          <w:color w:val="auto"/>
        </w:rPr>
      </w:pPr>
    </w:p>
    <w:p>
      <w:pPr>
        <w:ind w:left="1260" w:hanging="326"/>
        <w:spacing w:after="0"/>
        <w:tabs>
          <w:tab w:leader="none" w:pos="1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we incurred a loss of $131 million due to the devaluation of the currency in Argentina.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60" w:top="150" w:right="339" w:bottom="1440" w:gutter="0" w:footer="0" w:header="0"/>
        </w:sectPr>
      </w:pPr>
    </w:p>
    <w:bookmarkStart w:id="54" w:name="page55"/>
    <w:bookmarkEnd w:id="54"/>
    <w:p>
      <w:pPr>
        <w:ind w:left="20"/>
        <w:spacing w:after="0"/>
        <w:tabs>
          <w:tab w:leader="none" w:pos="758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660" w:type="dxa"/>
        <w:tblCellMar>
          <w:top w:w="0" w:type="dxa"/>
          <w:left w:w="0" w:type="dxa"/>
          <w:bottom w:w="0" w:type="dxa"/>
          <w:right w:w="0" w:type="dxa"/>
        </w:tblCellMar>
      </w:tblPr>
      <w:tr>
        <w:trPr>
          <w:trHeight w:val="223"/>
        </w:trPr>
        <w:tc>
          <w:tcPr>
            <w:tcW w:w="6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534"/>
              <w:spacing w:after="0"/>
              <w:rPr>
                <w:sz w:val="20"/>
                <w:szCs w:val="20"/>
                <w:color w:val="auto"/>
              </w:rPr>
            </w:pPr>
            <w:r>
              <w:rPr>
                <w:rFonts w:ascii="Times New Roman" w:cs="Times New Roman" w:eastAsia="Times New Roman" w:hAnsi="Times New Roman"/>
                <w:sz w:val="17"/>
                <w:szCs w:val="17"/>
                <w:color w:val="auto"/>
              </w:rPr>
              <w:t>December 31</w:t>
            </w:r>
          </w:p>
        </w:tc>
      </w:tr>
      <w:tr>
        <w:trPr>
          <w:trHeight w:val="212"/>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2023</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9"/>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Completion and Production (a)</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11,606</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9,311</w:t>
            </w:r>
          </w:p>
        </w:tc>
      </w:tr>
      <w:tr>
        <w:trPr>
          <w:trHeight w:val="21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Drilling and Evaluation (a)</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7,532</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7,199</w:t>
            </w:r>
          </w:p>
        </w:tc>
      </w:tr>
      <w:tr>
        <w:trPr>
          <w:trHeight w:val="219"/>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Corporate and other (b)</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5,545</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6,745</w:t>
            </w:r>
          </w:p>
        </w:tc>
      </w:tr>
      <w:tr>
        <w:trPr>
          <w:trHeight w:val="237"/>
        </w:trPr>
        <w:tc>
          <w:tcPr>
            <w:tcW w:w="6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24,683</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23,255</w:t>
            </w:r>
          </w:p>
        </w:tc>
      </w:tr>
      <w:tr>
        <w:trPr>
          <w:trHeight w:val="20"/>
        </w:trPr>
        <w:tc>
          <w:tcPr>
            <w:tcW w:w="6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980" w:right="1380" w:hanging="303"/>
        <w:spacing w:after="0" w:line="238" w:lineRule="auto"/>
        <w:tabs>
          <w:tab w:leader="none" w:pos="19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associated with specific segments primarily include receivables, inventories, property, plant, and equipment, operating lease right-of-use assets, equity in and advances to related companies, and goodwill.</w:t>
      </w:r>
    </w:p>
    <w:p>
      <w:pPr>
        <w:spacing w:after="0" w:line="3" w:lineRule="exact"/>
        <w:rPr>
          <w:rFonts w:ascii="Times New Roman" w:cs="Times New Roman" w:eastAsia="Times New Roman" w:hAnsi="Times New Roman"/>
          <w:sz w:val="14"/>
          <w:szCs w:val="14"/>
          <w:color w:val="auto"/>
        </w:rPr>
      </w:pPr>
    </w:p>
    <w:p>
      <w:pPr>
        <w:ind w:left="1980" w:hanging="303"/>
        <w:spacing w:after="0"/>
        <w:tabs>
          <w:tab w:leader="none" w:pos="19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primarily cash and equivalents and deferred tax assets.</w:t>
      </w:r>
    </w:p>
    <w:p>
      <w:pPr>
        <w:spacing w:after="0" w:line="3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Operations by geographic region</w:t>
      </w:r>
    </w:p>
    <w:p>
      <w:pPr>
        <w:spacing w:after="0" w:line="34" w:lineRule="exact"/>
        <w:rPr>
          <w:sz w:val="20"/>
          <w:szCs w:val="20"/>
          <w:color w:val="auto"/>
        </w:rPr>
      </w:pPr>
    </w:p>
    <w:p>
      <w:pPr>
        <w:ind w:right="20" w:firstLine="619"/>
        <w:spacing w:after="0" w:line="257" w:lineRule="auto"/>
        <w:rPr>
          <w:sz w:val="20"/>
          <w:szCs w:val="20"/>
          <w:color w:val="auto"/>
        </w:rPr>
      </w:pPr>
      <w:r>
        <w:rPr>
          <w:rFonts w:ascii="Times New Roman" w:cs="Times New Roman" w:eastAsia="Times New Roman" w:hAnsi="Times New Roman"/>
          <w:sz w:val="17"/>
          <w:szCs w:val="17"/>
          <w:color w:val="auto"/>
        </w:rPr>
        <w:t>The following tables present information by geographic area. In 2023, 2022, and 2021, based on the location of services provided and products sold, 44%, 45%, and 40%, respectively, of our consolidated revenue was from the United States. No other country accounted for more than 10% of our revenue or property, plant, and equipment during the periods presented. As of December 31, 2023 and December 31, 2022, 59% and 54%, respectively, of our property, plant, and equipment was located in the United States.</w:t>
      </w:r>
    </w:p>
    <w:p>
      <w:pPr>
        <w:spacing w:after="0" w:line="61"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30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color w:val="auto"/>
              </w:rPr>
              <w:t>Year Ended December 31</w:t>
            </w:r>
          </w:p>
        </w:tc>
        <w:tc>
          <w:tcPr>
            <w:tcW w:w="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r>
      <w:tr>
        <w:trPr>
          <w:trHeight w:val="212"/>
        </w:trPr>
        <w:tc>
          <w:tcPr>
            <w:tcW w:w="300" w:type="dxa"/>
            <w:vAlign w:val="bottom"/>
          </w:tcPr>
          <w:p>
            <w:pPr>
              <w:spacing w:after="0"/>
              <w:rPr>
                <w:sz w:val="18"/>
                <w:szCs w:val="18"/>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2023</w:t>
            </w: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2021</w:t>
            </w:r>
          </w:p>
        </w:tc>
        <w:tc>
          <w:tcPr>
            <w:tcW w:w="340" w:type="dxa"/>
            <w:vAlign w:val="bottom"/>
            <w:tcBorders>
              <w:bottom w:val="single" w:sz="8" w:color="auto"/>
            </w:tcBorders>
          </w:tcPr>
          <w:p>
            <w:pPr>
              <w:spacing w:after="0"/>
              <w:rPr>
                <w:sz w:val="18"/>
                <w:szCs w:val="18"/>
                <w:color w:val="auto"/>
              </w:rPr>
            </w:pPr>
          </w:p>
        </w:tc>
      </w:tr>
      <w:tr>
        <w:trPr>
          <w:trHeight w:val="212"/>
        </w:trPr>
        <w:tc>
          <w:tcPr>
            <w:tcW w:w="30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9"/>
        </w:trPr>
        <w:tc>
          <w:tcPr>
            <w:tcW w:w="3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North America</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10,492</w:t>
            </w:r>
          </w:p>
        </w:tc>
        <w:tc>
          <w:tcPr>
            <w:tcW w:w="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9,597</w:t>
            </w:r>
          </w:p>
        </w:tc>
        <w:tc>
          <w:tcPr>
            <w:tcW w:w="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6,371</w:t>
            </w:r>
          </w:p>
        </w:tc>
      </w:tr>
      <w:tr>
        <w:trPr>
          <w:trHeight w:val="219"/>
        </w:trPr>
        <w:tc>
          <w:tcPr>
            <w:tcW w:w="300" w:type="dxa"/>
            <w:vAlign w:val="bottom"/>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Latin America</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3,987</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3,197</w:t>
            </w: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2,362</w:t>
            </w:r>
          </w:p>
        </w:tc>
      </w:tr>
      <w:tr>
        <w:trPr>
          <w:trHeight w:val="219"/>
        </w:trPr>
        <w:tc>
          <w:tcPr>
            <w:tcW w:w="30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Europe/Africa/CIS</w:t>
            </w:r>
          </w:p>
        </w:tc>
        <w:tc>
          <w:tcPr>
            <w:tcW w:w="2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2,861</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2,691</w:t>
            </w:r>
          </w:p>
        </w:tc>
        <w:tc>
          <w:tcPr>
            <w:tcW w:w="3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2,719</w:t>
            </w:r>
          </w:p>
        </w:tc>
      </w:tr>
      <w:tr>
        <w:trPr>
          <w:trHeight w:val="219"/>
        </w:trPr>
        <w:tc>
          <w:tcPr>
            <w:tcW w:w="300" w:type="dxa"/>
            <w:vAlign w:val="bottom"/>
          </w:tcPr>
          <w:p>
            <w:pPr>
              <w:spacing w:after="0"/>
              <w:rPr>
                <w:sz w:val="19"/>
                <w:szCs w:val="19"/>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Middle East/Asia</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5,678</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4,812</w:t>
            </w: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3,843</w:t>
            </w:r>
          </w:p>
        </w:tc>
      </w:tr>
      <w:tr>
        <w:trPr>
          <w:trHeight w:val="212"/>
        </w:trPr>
        <w:tc>
          <w:tcPr>
            <w:tcW w:w="300" w:type="dxa"/>
            <w:vAlign w:val="bottom"/>
          </w:tcPr>
          <w:p>
            <w:pPr>
              <w:spacing w:after="0"/>
              <w:rPr>
                <w:sz w:val="18"/>
                <w:szCs w:val="18"/>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23,018</w:t>
            </w:r>
          </w:p>
        </w:tc>
        <w:tc>
          <w:tcPr>
            <w:tcW w:w="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20,297</w:t>
            </w:r>
          </w:p>
        </w:tc>
        <w:tc>
          <w:tcPr>
            <w:tcW w:w="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15,295</w:t>
            </w:r>
          </w:p>
        </w:tc>
      </w:tr>
      <w:tr>
        <w:trPr>
          <w:trHeight w:val="20"/>
        </w:trPr>
        <w:tc>
          <w:tcPr>
            <w:tcW w:w="300" w:type="dxa"/>
            <w:vAlign w:val="bottom"/>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314"/>
        </w:trPr>
        <w:tc>
          <w:tcPr>
            <w:tcW w:w="3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7"/>
                <w:szCs w:val="17"/>
                <w:color w:val="auto"/>
              </w:rPr>
              <w:t>December 31</w:t>
            </w:r>
          </w:p>
        </w:tc>
        <w:tc>
          <w:tcPr>
            <w:tcW w:w="4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12"/>
        </w:trPr>
        <w:tc>
          <w:tcPr>
            <w:tcW w:w="5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94"/>
              <w:spacing w:after="0"/>
              <w:rPr>
                <w:sz w:val="20"/>
                <w:szCs w:val="20"/>
                <w:color w:val="auto"/>
              </w:rPr>
            </w:pPr>
            <w:r>
              <w:rPr>
                <w:rFonts w:ascii="Times New Roman" w:cs="Times New Roman" w:eastAsia="Times New Roman" w:hAnsi="Times New Roman"/>
                <w:sz w:val="17"/>
                <w:szCs w:val="17"/>
                <w:color w:val="auto"/>
              </w:rPr>
              <w:t>2023</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274"/>
              <w:spacing w:after="0"/>
              <w:rPr>
                <w:sz w:val="20"/>
                <w:szCs w:val="20"/>
                <w:color w:val="auto"/>
              </w:rPr>
            </w:pPr>
            <w:r>
              <w:rPr>
                <w:rFonts w:ascii="Times New Roman" w:cs="Times New Roman" w:eastAsia="Times New Roman" w:hAnsi="Times New Roman"/>
                <w:sz w:val="17"/>
                <w:szCs w:val="17"/>
                <w:color w:val="auto"/>
              </w:rPr>
              <w:t>2022</w:t>
            </w:r>
          </w:p>
        </w:tc>
        <w:tc>
          <w:tcPr>
            <w:tcW w:w="340" w:type="dxa"/>
            <w:vAlign w:val="bottom"/>
          </w:tcPr>
          <w:p>
            <w:pPr>
              <w:spacing w:after="0"/>
              <w:rPr>
                <w:sz w:val="18"/>
                <w:szCs w:val="18"/>
                <w:color w:val="auto"/>
              </w:rPr>
            </w:pPr>
          </w:p>
        </w:tc>
      </w:tr>
      <w:tr>
        <w:trPr>
          <w:trHeight w:val="212"/>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property, plant, and equipment: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9"/>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North America</w:t>
            </w:r>
          </w:p>
        </w:tc>
        <w:tc>
          <w:tcPr>
            <w:tcW w:w="2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2,961</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2,424</w:t>
            </w:r>
          </w:p>
        </w:tc>
        <w:tc>
          <w:tcPr>
            <w:tcW w:w="340" w:type="dxa"/>
            <w:vAlign w:val="bottom"/>
          </w:tcPr>
          <w:p>
            <w:pPr>
              <w:spacing w:after="0"/>
              <w:rPr>
                <w:sz w:val="19"/>
                <w:szCs w:val="19"/>
                <w:color w:val="auto"/>
              </w:rPr>
            </w:pPr>
          </w:p>
        </w:tc>
      </w:tr>
      <w:tr>
        <w:trPr>
          <w:trHeight w:val="219"/>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Latin America</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340" w:type="dxa"/>
            <w:vAlign w:val="bottom"/>
          </w:tcPr>
          <w:p>
            <w:pPr>
              <w:spacing w:after="0"/>
              <w:rPr>
                <w:sz w:val="19"/>
                <w:szCs w:val="19"/>
                <w:color w:val="auto"/>
              </w:rPr>
            </w:pPr>
          </w:p>
        </w:tc>
      </w:tr>
      <w:tr>
        <w:trPr>
          <w:trHeight w:val="219"/>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Europe/Africa/CIS</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340" w:type="dxa"/>
            <w:vAlign w:val="bottom"/>
          </w:tcPr>
          <w:p>
            <w:pPr>
              <w:spacing w:after="0"/>
              <w:rPr>
                <w:sz w:val="19"/>
                <w:szCs w:val="19"/>
                <w:color w:val="auto"/>
              </w:rPr>
            </w:pPr>
          </w:p>
        </w:tc>
      </w:tr>
      <w:tr>
        <w:trPr>
          <w:trHeight w:val="219"/>
        </w:trPr>
        <w:tc>
          <w:tcPr>
            <w:tcW w:w="57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Middle East/Asia</w:t>
            </w: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2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340" w:type="dxa"/>
            <w:vAlign w:val="bottom"/>
          </w:tcPr>
          <w:p>
            <w:pPr>
              <w:spacing w:after="0"/>
              <w:rPr>
                <w:sz w:val="19"/>
                <w:szCs w:val="19"/>
                <w:color w:val="auto"/>
              </w:rPr>
            </w:pPr>
          </w:p>
        </w:tc>
      </w:tr>
      <w:tr>
        <w:trPr>
          <w:trHeight w:val="212"/>
        </w:trPr>
        <w:tc>
          <w:tcPr>
            <w:tcW w:w="5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Total net property, plant, and equipment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4,348</w:t>
            </w:r>
          </w:p>
        </w:tc>
        <w:tc>
          <w:tcPr>
            <w:tcW w:w="340" w:type="dxa"/>
            <w:vAlign w:val="bottom"/>
          </w:tcPr>
          <w:p>
            <w:pPr>
              <w:spacing w:after="0"/>
              <w:rPr>
                <w:sz w:val="18"/>
                <w:szCs w:val="18"/>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5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Revenue</w:t>
      </w:r>
    </w:p>
    <w:p>
      <w:pPr>
        <w:spacing w:after="0" w:line="32" w:lineRule="exact"/>
        <w:rPr>
          <w:sz w:val="20"/>
          <w:szCs w:val="20"/>
          <w:color w:val="auto"/>
        </w:rPr>
      </w:pPr>
    </w:p>
    <w:p>
      <w:pPr>
        <w:ind w:right="20" w:firstLine="619"/>
        <w:spacing w:after="0" w:line="255" w:lineRule="auto"/>
        <w:rPr>
          <w:sz w:val="20"/>
          <w:szCs w:val="20"/>
          <w:color w:val="auto"/>
        </w:rPr>
      </w:pPr>
      <w:r>
        <w:rPr>
          <w:rFonts w:ascii="Times New Roman" w:cs="Times New Roman" w:eastAsia="Times New Roman" w:hAnsi="Times New Roman"/>
          <w:sz w:val="17"/>
          <w:szCs w:val="17"/>
          <w:color w:val="auto"/>
        </w:rPr>
        <w:t>Revenue is recognized based on the transfer of control or our customers' ability to benefit from our services and products in an amount that reflects the consideration we expect to receive in exchange for those services and products. Most of our service and product contracts are short-term in nature. In recognizing revenue for our services and products, we determine the transaction price of purchase orders or contracts with our customers, which may consist of fixed and variable consideration. We also assess our customers' ability and intention to pay, which is based on a variety of factors, including our historical payment experience with, and the financial condition of our customers. Payment terms and conditions vary by contract type, although terms generally include a requirement of payment within 20 to 60 days. Other judgments involved in recognizing revenue include an assessment of progress towards completion of performance obligations for certain long-term contracts, which involve estimating total costs to determine our progress towards contract completion, and calculating the corresponding amount of revenue to recognize.</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34" w:lineRule="exact"/>
        <w:rPr>
          <w:sz w:val="20"/>
          <w:szCs w:val="20"/>
          <w:color w:val="auto"/>
        </w:rPr>
      </w:pPr>
    </w:p>
    <w:p>
      <w:pPr>
        <w:ind w:right="160" w:firstLine="619"/>
        <w:spacing w:after="0" w:line="259" w:lineRule="auto"/>
        <w:rPr>
          <w:sz w:val="20"/>
          <w:szCs w:val="20"/>
          <w:color w:val="auto"/>
        </w:rPr>
      </w:pPr>
      <w:r>
        <w:rPr>
          <w:rFonts w:ascii="Times New Roman" w:cs="Times New Roman" w:eastAsia="Times New Roman" w:hAnsi="Times New Roman"/>
          <w:sz w:val="17"/>
          <w:szCs w:val="17"/>
          <w:color w:val="auto"/>
        </w:rPr>
        <w:t>We disaggregate revenue from contracts with customers into types of services or products, consistent with our two reportable segments, in addition to geographical area. Based on the location of services provided and products sold, 44%, 45%, and 40% of our consolidated revenue was from the United States for the years ended December 31, 2023, 2022, and 2021, respectively. No other country accounted for more than 10% of our revenue.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5" w:name="page56"/>
    <w:bookmarkEnd w:id="55"/>
    <w:p>
      <w:pPr>
        <w:ind w:left="40"/>
        <w:spacing w:after="0"/>
        <w:tabs>
          <w:tab w:leader="none" w:pos="76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Consolidated Financial Statements</w:t>
      </w:r>
    </w:p>
    <w:p>
      <w:pPr>
        <w:spacing w:after="0" w:line="200" w:lineRule="exact"/>
        <w:rPr>
          <w:sz w:val="20"/>
          <w:szCs w:val="20"/>
          <w:color w:val="auto"/>
        </w:rPr>
      </w:pPr>
    </w:p>
    <w:p>
      <w:pPr>
        <w:spacing w:after="0" w:line="339"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presents information on our disaggregated revenue.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5"/>
        </w:trPr>
        <w:tc>
          <w:tcPr>
            <w:tcW w:w="11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7"/>
                <w:szCs w:val="17"/>
                <w:color w:val="auto"/>
              </w:rPr>
              <w:t>Year Ended December 31</w:t>
            </w:r>
          </w:p>
        </w:tc>
        <w:tc>
          <w:tcPr>
            <w:tcW w:w="1100" w:type="dxa"/>
            <w:vAlign w:val="bottom"/>
            <w:tcBorders>
              <w:bottom w:val="single" w:sz="8" w:color="auto"/>
            </w:tcBorders>
          </w:tcPr>
          <w:p>
            <w:pPr>
              <w:spacing w:after="0"/>
              <w:rPr>
                <w:sz w:val="21"/>
                <w:szCs w:val="21"/>
                <w:color w:val="auto"/>
              </w:rPr>
            </w:pPr>
          </w:p>
        </w:tc>
      </w:tr>
      <w:tr>
        <w:trPr>
          <w:trHeight w:val="212"/>
        </w:trPr>
        <w:tc>
          <w:tcPr>
            <w:tcW w:w="1100" w:type="dxa"/>
            <w:vAlign w:val="bottom"/>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2023</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2022</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110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 by segment: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9"/>
        </w:trPr>
        <w:tc>
          <w:tcPr>
            <w:tcW w:w="110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Completion and Production</w:t>
            </w:r>
          </w:p>
        </w:tc>
        <w:tc>
          <w:tcPr>
            <w:tcW w:w="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13,689</w:t>
            </w:r>
          </w:p>
        </w:tc>
        <w:tc>
          <w:tcPr>
            <w:tcW w:w="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11,582</w:t>
            </w:r>
          </w:p>
        </w:tc>
        <w:tc>
          <w:tcPr>
            <w:tcW w:w="3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8,410</w:t>
            </w:r>
          </w:p>
        </w:tc>
      </w:tr>
      <w:tr>
        <w:trPr>
          <w:trHeight w:val="219"/>
        </w:trPr>
        <w:tc>
          <w:tcPr>
            <w:tcW w:w="1100" w:type="dxa"/>
            <w:vAlign w:val="bottom"/>
          </w:tcPr>
          <w:p>
            <w:pPr>
              <w:spacing w:after="0"/>
              <w:rPr>
                <w:sz w:val="19"/>
                <w:szCs w:val="19"/>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Drilling and Evaluation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9,329</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8,715</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6,885</w:t>
            </w:r>
          </w:p>
        </w:tc>
      </w:tr>
      <w:tr>
        <w:trPr>
          <w:trHeight w:val="212"/>
        </w:trPr>
        <w:tc>
          <w:tcPr>
            <w:tcW w:w="1100" w:type="dxa"/>
            <w:vAlign w:val="bottom"/>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3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23,018</w:t>
            </w:r>
          </w:p>
        </w:tc>
        <w:tc>
          <w:tcPr>
            <w:tcW w:w="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20,297</w:t>
            </w:r>
          </w:p>
        </w:tc>
        <w:tc>
          <w:tcPr>
            <w:tcW w:w="3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15,295</w:t>
            </w:r>
          </w:p>
        </w:tc>
      </w:tr>
      <w:tr>
        <w:trPr>
          <w:trHeight w:val="20"/>
        </w:trPr>
        <w:tc>
          <w:tcPr>
            <w:tcW w:w="110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1"/>
        </w:trPr>
        <w:tc>
          <w:tcPr>
            <w:tcW w:w="110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 by geographic region:</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9"/>
        </w:trPr>
        <w:tc>
          <w:tcPr>
            <w:tcW w:w="110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North America</w:t>
            </w:r>
          </w:p>
        </w:tc>
        <w:tc>
          <w:tcPr>
            <w:tcW w:w="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10,492</w:t>
            </w:r>
          </w:p>
        </w:tc>
        <w:tc>
          <w:tcPr>
            <w:tcW w:w="3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9,597</w:t>
            </w:r>
          </w:p>
        </w:tc>
        <w:tc>
          <w:tcPr>
            <w:tcW w:w="38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6,371</w:t>
            </w:r>
          </w:p>
        </w:tc>
      </w:tr>
      <w:tr>
        <w:trPr>
          <w:trHeight w:val="219"/>
        </w:trPr>
        <w:tc>
          <w:tcPr>
            <w:tcW w:w="1100" w:type="dxa"/>
            <w:vAlign w:val="bottom"/>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Latin America</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3,987</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2,362</w:t>
            </w:r>
          </w:p>
        </w:tc>
      </w:tr>
      <w:tr>
        <w:trPr>
          <w:trHeight w:val="219"/>
        </w:trPr>
        <w:tc>
          <w:tcPr>
            <w:tcW w:w="110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Europe/Africa/CIS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2,861</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2,719</w:t>
            </w:r>
          </w:p>
        </w:tc>
      </w:tr>
      <w:tr>
        <w:trPr>
          <w:trHeight w:val="219"/>
        </w:trPr>
        <w:tc>
          <w:tcPr>
            <w:tcW w:w="1100" w:type="dxa"/>
            <w:vAlign w:val="bottom"/>
          </w:tcPr>
          <w:p>
            <w:pPr>
              <w:spacing w:after="0"/>
              <w:rPr>
                <w:sz w:val="19"/>
                <w:szCs w:val="19"/>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Middle East/Asia</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5,678</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4,812</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3,843</w:t>
            </w:r>
          </w:p>
        </w:tc>
      </w:tr>
      <w:tr>
        <w:trPr>
          <w:trHeight w:val="212"/>
        </w:trPr>
        <w:tc>
          <w:tcPr>
            <w:tcW w:w="1100" w:type="dxa"/>
            <w:vAlign w:val="bottom"/>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3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23,018</w:t>
            </w:r>
          </w:p>
        </w:tc>
        <w:tc>
          <w:tcPr>
            <w:tcW w:w="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20,297</w:t>
            </w:r>
          </w:p>
        </w:tc>
        <w:tc>
          <w:tcPr>
            <w:tcW w:w="3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15,295</w:t>
            </w:r>
          </w:p>
        </w:tc>
      </w:tr>
      <w:tr>
        <w:trPr>
          <w:trHeight w:val="20"/>
        </w:trPr>
        <w:tc>
          <w:tcPr>
            <w:tcW w:w="110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Contract balances</w:t>
      </w:r>
    </w:p>
    <w:p>
      <w:pPr>
        <w:spacing w:after="0" w:line="34" w:lineRule="exact"/>
        <w:rPr>
          <w:sz w:val="20"/>
          <w:szCs w:val="20"/>
          <w:color w:val="auto"/>
        </w:rPr>
      </w:pPr>
    </w:p>
    <w:p>
      <w:pPr>
        <w:ind w:right="160" w:firstLine="619"/>
        <w:spacing w:after="0" w:line="256" w:lineRule="auto"/>
        <w:rPr>
          <w:sz w:val="20"/>
          <w:szCs w:val="20"/>
          <w:color w:val="auto"/>
        </w:rPr>
      </w:pPr>
      <w:r>
        <w:rPr>
          <w:rFonts w:ascii="Times New Roman" w:cs="Times New Roman" w:eastAsia="Times New Roman" w:hAnsi="Times New Roman"/>
          <w:sz w:val="17"/>
          <w:szCs w:val="17"/>
          <w:color w:val="auto"/>
        </w:rPr>
        <w:t>We perform our obligations under contracts with our customers by transferring services and products in exchange for consideration. The timing of our performance often differs from the timing of our customer’s payment, which results in the recognition of receivables and deferred revenue. Deferred revenue represents advance consideration received from customers for contracts where revenue is recognized on future performance of service. Deferred revenue, as well as revenue recognized during the period relating to amounts included as deferred revenue at the beginning of the period, was not material to our consolidated financial statements.</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Transaction price allocated to remaining performance obligations</w:t>
      </w:r>
    </w:p>
    <w:p>
      <w:pPr>
        <w:spacing w:after="0" w:line="34" w:lineRule="exact"/>
        <w:rPr>
          <w:sz w:val="20"/>
          <w:szCs w:val="20"/>
          <w:color w:val="auto"/>
        </w:rPr>
      </w:pPr>
    </w:p>
    <w:p>
      <w:pPr>
        <w:ind w:right="60" w:firstLine="619"/>
        <w:spacing w:after="0" w:line="255" w:lineRule="auto"/>
        <w:rPr>
          <w:sz w:val="20"/>
          <w:szCs w:val="20"/>
          <w:color w:val="auto"/>
        </w:rPr>
      </w:pPr>
      <w:r>
        <w:rPr>
          <w:rFonts w:ascii="Times New Roman" w:cs="Times New Roman" w:eastAsia="Times New Roman" w:hAnsi="Times New Roman"/>
          <w:sz w:val="17"/>
          <w:szCs w:val="17"/>
          <w:color w:val="auto"/>
        </w:rPr>
        <w:t>Remaining performance obligations represent firm contracts for which work has not been performed and future revenue recognition is expected. We have elected the practical expedient permitting the exclusion of disclosing remaining performance obligations for contracts that have an original expected duration of one year or less. We have some long-term contracts related to software and integrated project management services such as lump sum turnkey contracts. For software contracts, revenue is generally recognized over the duration of the contract period when the software is considered to be a right to access our intellectual property. For lump sum turnkey projects, we recognize revenue over time using an input method, which requires us to exercise judgment. Revenue allocated to remaining performance obligations for these long-term contracts is not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Receivables</w:t>
      </w:r>
    </w:p>
    <w:p>
      <w:pPr>
        <w:spacing w:after="0" w:line="32" w:lineRule="exact"/>
        <w:rPr>
          <w:sz w:val="20"/>
          <w:szCs w:val="20"/>
          <w:color w:val="auto"/>
        </w:rPr>
      </w:pPr>
    </w:p>
    <w:p>
      <w:pPr>
        <w:ind w:right="240" w:firstLine="619"/>
        <w:spacing w:after="0" w:line="256" w:lineRule="auto"/>
        <w:rPr>
          <w:sz w:val="20"/>
          <w:szCs w:val="20"/>
          <w:color w:val="auto"/>
        </w:rPr>
      </w:pPr>
      <w:r>
        <w:rPr>
          <w:rFonts w:ascii="Times New Roman" w:cs="Times New Roman" w:eastAsia="Times New Roman" w:hAnsi="Times New Roman"/>
          <w:sz w:val="17"/>
          <w:szCs w:val="17"/>
          <w:color w:val="auto"/>
        </w:rPr>
        <w:t>As of December 31, 2023, 33% of our net trade receivables were from customers in the United States and 9% were from customers in Mexico. As of December 31, 2022, 38% of our net trade receivables were from customers in the United States and 11% were from customers in Mexico. Receivables from our primary customer in Mexico accounted for approximately 6% and 9% of our total receivables as of December 31, 2023 and December 31, 2022, respectively. While we have experienced payment delays in Mexico, these amounts are not in dispute and we have not historically had, and we do not expect, any material write-offs due to collectability from this customer. No other country or single customer accounted for more than 10% of our receivables at those dates.</w:t>
      </w:r>
    </w:p>
    <w:p>
      <w:pPr>
        <w:spacing w:after="0" w:line="204" w:lineRule="exact"/>
        <w:rPr>
          <w:sz w:val="20"/>
          <w:szCs w:val="20"/>
          <w:color w:val="auto"/>
        </w:rPr>
      </w:pPr>
    </w:p>
    <w:p>
      <w:pPr>
        <w:ind w:right="200" w:firstLine="619"/>
        <w:spacing w:after="0" w:line="261" w:lineRule="auto"/>
        <w:rPr>
          <w:sz w:val="20"/>
          <w:szCs w:val="20"/>
          <w:color w:val="auto"/>
        </w:rPr>
      </w:pPr>
      <w:r>
        <w:rPr>
          <w:rFonts w:ascii="Times New Roman" w:cs="Times New Roman" w:eastAsia="Times New Roman" w:hAnsi="Times New Roman"/>
          <w:sz w:val="17"/>
          <w:szCs w:val="17"/>
          <w:color w:val="auto"/>
        </w:rPr>
        <w:t>Although the market environment has been improving, we continue to have risk of delayed customer payments and payment defaults associated with customer liquidity issues. We routinely monitor the financial stability of our customers and employ an extensive process to evaluate the collectability of outstanding receivables. This process, which involves judgment and estimates, includes analysis of our customers’ historical time to pay, financial condition and various financial metrics, debt structure, credit ratings, and production profile, as well as political and economic factors in countries of operations and other customer-specific factors.</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6" w:name="page57"/>
    <w:bookmarkEnd w:id="56"/>
    <w:tbl>
      <w:tblPr>
        <w:tblLayout w:type="fixed"/>
        <w:tblInd w:w="40" w:type="dxa"/>
        <w:tblCellMar>
          <w:top w:w="0" w:type="dxa"/>
          <w:left w:w="0" w:type="dxa"/>
          <w:bottom w:w="0" w:type="dxa"/>
          <w:right w:w="0" w:type="dxa"/>
        </w:tblCellMar>
      </w:tblPr>
      <w:tr>
        <w:trPr>
          <w:trHeight w:val="195"/>
        </w:trPr>
        <w:tc>
          <w:tcPr>
            <w:tcW w:w="1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2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720" w:type="dxa"/>
            <w:vAlign w:val="bottom"/>
            <w:gridSpan w:val="6"/>
          </w:tcPr>
          <w:p>
            <w:pPr>
              <w:ind w:left="1140"/>
              <w:spacing w:after="0"/>
              <w:rPr>
                <w:sz w:val="20"/>
                <w:szCs w:val="20"/>
                <w:color w:val="auto"/>
              </w:rPr>
            </w:pPr>
            <w:r>
              <w:rPr>
                <w:rFonts w:ascii="Times New Roman" w:cs="Times New Roman" w:eastAsia="Times New Roman" w:hAnsi="Times New Roman"/>
                <w:sz w:val="17"/>
                <w:szCs w:val="17"/>
                <w:color w:val="auto"/>
              </w:rPr>
              <w:t>Item 8 | Notes to Consolidated Financial Statements</w:t>
            </w:r>
          </w:p>
        </w:tc>
        <w:tc>
          <w:tcPr>
            <w:tcW w:w="0" w:type="dxa"/>
            <w:vAlign w:val="bottom"/>
          </w:tcPr>
          <w:p>
            <w:pPr>
              <w:spacing w:after="0"/>
              <w:rPr>
                <w:sz w:val="1"/>
                <w:szCs w:val="1"/>
                <w:color w:val="auto"/>
              </w:rPr>
            </w:pPr>
          </w:p>
        </w:tc>
      </w:tr>
      <w:tr>
        <w:trPr>
          <w:trHeight w:val="754"/>
        </w:trPr>
        <w:tc>
          <w:tcPr>
            <w:tcW w:w="7640" w:type="dxa"/>
            <w:vAlign w:val="bottom"/>
            <w:gridSpan w:val="7"/>
          </w:tcPr>
          <w:p>
            <w:pPr>
              <w:jc w:val="right"/>
              <w:ind w:right="214"/>
              <w:spacing w:after="0"/>
              <w:rPr>
                <w:sz w:val="20"/>
                <w:szCs w:val="20"/>
                <w:color w:val="auto"/>
              </w:rPr>
            </w:pPr>
            <w:r>
              <w:rPr>
                <w:rFonts w:ascii="Times New Roman" w:cs="Times New Roman" w:eastAsia="Times New Roman" w:hAnsi="Times New Roman"/>
                <w:sz w:val="17"/>
                <w:szCs w:val="17"/>
                <w:color w:val="auto"/>
              </w:rPr>
              <w:t>The table below presents a rollforward of our allowance for credit losses for 2021, 2022 and 2023.</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jc w:val="center"/>
              <w:ind w:right="74"/>
              <w:spacing w:after="0" w:line="193" w:lineRule="exact"/>
              <w:rPr>
                <w:sz w:val="20"/>
                <w:szCs w:val="20"/>
                <w:color w:val="auto"/>
              </w:rPr>
            </w:pPr>
            <w:r>
              <w:rPr>
                <w:rFonts w:ascii="Times New Roman" w:cs="Times New Roman" w:eastAsia="Times New Roman" w:hAnsi="Times New Roman"/>
                <w:sz w:val="17"/>
                <w:szCs w:val="17"/>
                <w:color w:val="auto"/>
              </w:rPr>
              <w:t>Balance at</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20" w:type="dxa"/>
            <w:vAlign w:val="bottom"/>
            <w:gridSpan w:val="3"/>
            <w:vMerge w:val="restart"/>
          </w:tcPr>
          <w:p>
            <w:pPr>
              <w:jc w:val="center"/>
              <w:ind w:right="880"/>
              <w:spacing w:after="0"/>
              <w:rPr>
                <w:sz w:val="20"/>
                <w:szCs w:val="20"/>
                <w:color w:val="auto"/>
              </w:rPr>
            </w:pPr>
            <w:r>
              <w:rPr>
                <w:rFonts w:ascii="Times New Roman" w:cs="Times New Roman" w:eastAsia="Times New Roman" w:hAnsi="Times New Roman"/>
                <w:sz w:val="17"/>
                <w:szCs w:val="17"/>
                <w:color w:val="auto"/>
              </w:rPr>
              <w:t>Balance at End of</w:t>
            </w: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1120" w:type="dxa"/>
            <w:vAlign w:val="bottom"/>
          </w:tcPr>
          <w:p>
            <w:pPr>
              <w:spacing w:after="0"/>
              <w:rPr>
                <w:sz w:val="14"/>
                <w:szCs w:val="14"/>
                <w:color w:val="auto"/>
              </w:rPr>
            </w:pPr>
          </w:p>
        </w:tc>
        <w:tc>
          <w:tcPr>
            <w:tcW w:w="1160" w:type="dxa"/>
            <w:vAlign w:val="bottom"/>
          </w:tcPr>
          <w:p>
            <w:pPr>
              <w:jc w:val="center"/>
              <w:ind w:right="54"/>
              <w:spacing w:after="0" w:line="167" w:lineRule="exact"/>
              <w:rPr>
                <w:sz w:val="20"/>
                <w:szCs w:val="20"/>
                <w:color w:val="auto"/>
              </w:rPr>
            </w:pPr>
            <w:r>
              <w:rPr>
                <w:rFonts w:ascii="Times New Roman" w:cs="Times New Roman" w:eastAsia="Times New Roman" w:hAnsi="Times New Roman"/>
                <w:sz w:val="17"/>
                <w:szCs w:val="17"/>
                <w:color w:val="auto"/>
              </w:rPr>
              <w:t>Beginning of</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80" w:type="dxa"/>
            <w:vAlign w:val="bottom"/>
          </w:tcPr>
          <w:p>
            <w:pPr>
              <w:spacing w:after="0"/>
              <w:rPr>
                <w:sz w:val="20"/>
                <w:szCs w:val="20"/>
                <w:color w:val="auto"/>
              </w:rPr>
            </w:pPr>
          </w:p>
        </w:tc>
        <w:tc>
          <w:tcPr>
            <w:tcW w:w="3140" w:type="dxa"/>
            <w:vAlign w:val="bottom"/>
            <w:gridSpan w:val="2"/>
            <w:vMerge w:val="continue"/>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w w:val="99"/>
              </w:rPr>
              <w:t>Period</w:t>
            </w:r>
          </w:p>
        </w:tc>
        <w:tc>
          <w:tcPr>
            <w:tcW w:w="160" w:type="dxa"/>
            <w:vAlign w:val="bottom"/>
          </w:tcPr>
          <w:p>
            <w:pPr>
              <w:spacing w:after="0"/>
              <w:rPr>
                <w:sz w:val="20"/>
                <w:szCs w:val="20"/>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Provision (a)</w:t>
            </w:r>
          </w:p>
        </w:tc>
        <w:tc>
          <w:tcPr>
            <w:tcW w:w="220" w:type="dxa"/>
            <w:vAlign w:val="bottom"/>
          </w:tcPr>
          <w:p>
            <w:pPr>
              <w:spacing w:after="0"/>
              <w:rPr>
                <w:sz w:val="20"/>
                <w:szCs w:val="20"/>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Other (b)</w:t>
            </w:r>
          </w:p>
        </w:tc>
        <w:tc>
          <w:tcPr>
            <w:tcW w:w="220" w:type="dxa"/>
            <w:vAlign w:val="bottom"/>
          </w:tcPr>
          <w:p>
            <w:pPr>
              <w:spacing w:after="0"/>
              <w:rPr>
                <w:sz w:val="20"/>
                <w:szCs w:val="20"/>
                <w:color w:val="auto"/>
              </w:rPr>
            </w:pPr>
          </w:p>
        </w:tc>
        <w:tc>
          <w:tcPr>
            <w:tcW w:w="2000" w:type="dxa"/>
            <w:vAlign w:val="bottom"/>
            <w:gridSpan w:val="2"/>
          </w:tcPr>
          <w:p>
            <w:pPr>
              <w:jc w:val="center"/>
              <w:ind w:right="1120"/>
              <w:spacing w:after="0"/>
              <w:rPr>
                <w:sz w:val="20"/>
                <w:szCs w:val="20"/>
                <w:color w:val="auto"/>
              </w:rPr>
            </w:pPr>
            <w:r>
              <w:rPr>
                <w:rFonts w:ascii="Times New Roman" w:cs="Times New Roman" w:eastAsia="Times New Roman" w:hAnsi="Times New Roman"/>
                <w:sz w:val="17"/>
                <w:szCs w:val="17"/>
                <w:color w:val="auto"/>
              </w:rPr>
              <w:t>Period (c)</w:t>
            </w:r>
          </w:p>
        </w:tc>
        <w:tc>
          <w:tcPr>
            <w:tcW w:w="0" w:type="dxa"/>
            <w:vAlign w:val="bottom"/>
          </w:tcPr>
          <w:p>
            <w:pPr>
              <w:spacing w:after="0"/>
              <w:rPr>
                <w:sz w:val="1"/>
                <w:szCs w:val="1"/>
                <w:color w:val="auto"/>
              </w:rPr>
            </w:pPr>
          </w:p>
        </w:tc>
      </w:tr>
      <w:tr>
        <w:trPr>
          <w:trHeight w:val="212"/>
        </w:trPr>
        <w:tc>
          <w:tcPr>
            <w:tcW w:w="880" w:type="dxa"/>
            <w:vAlign w:val="bottom"/>
          </w:tcPr>
          <w:p>
            <w:pPr>
              <w:spacing w:after="0"/>
              <w:rPr>
                <w:sz w:val="18"/>
                <w:szCs w:val="18"/>
                <w:color w:val="auto"/>
              </w:rPr>
            </w:pPr>
          </w:p>
        </w:tc>
        <w:tc>
          <w:tcPr>
            <w:tcW w:w="3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 w:type="dxa"/>
            <w:vAlign w:val="bottom"/>
          </w:tcPr>
          <w:p>
            <w:pPr>
              <w:spacing w:after="0"/>
              <w:rPr>
                <w:sz w:val="19"/>
                <w:szCs w:val="19"/>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Year ended December 31, 2022</w:t>
            </w:r>
          </w:p>
        </w:tc>
        <w:tc>
          <w:tcPr>
            <w:tcW w:w="1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80" w:type="dxa"/>
            <w:vAlign w:val="bottom"/>
          </w:tcPr>
          <w:p>
            <w:pPr>
              <w:spacing w:after="0"/>
              <w:rPr>
                <w:sz w:val="20"/>
                <w:szCs w:val="20"/>
                <w:color w:val="auto"/>
              </w:rPr>
            </w:pPr>
          </w:p>
        </w:tc>
        <w:tc>
          <w:tcPr>
            <w:tcW w:w="31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1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260" w:hanging="324"/>
        <w:spacing w:after="0"/>
        <w:tabs>
          <w:tab w:leader="none" w:pos="1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increases to allowance for credit losses charged to costs and expenses, net of recoveries.</w:t>
      </w:r>
    </w:p>
    <w:p>
      <w:pPr>
        <w:spacing w:after="0" w:line="32" w:lineRule="exact"/>
        <w:rPr>
          <w:rFonts w:ascii="Times New Roman" w:cs="Times New Roman" w:eastAsia="Times New Roman" w:hAnsi="Times New Roman"/>
          <w:sz w:val="14"/>
          <w:szCs w:val="14"/>
          <w:color w:val="auto"/>
        </w:rPr>
      </w:pPr>
    </w:p>
    <w:p>
      <w:pPr>
        <w:ind w:left="1260" w:hanging="324"/>
        <w:spacing w:after="0"/>
        <w:tabs>
          <w:tab w:leader="none" w:pos="1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write-offs, balance sheet reclassifications, and other activity.</w:t>
      </w:r>
    </w:p>
    <w:p>
      <w:pPr>
        <w:spacing w:after="0" w:line="32" w:lineRule="exact"/>
        <w:rPr>
          <w:rFonts w:ascii="Times New Roman" w:cs="Times New Roman" w:eastAsia="Times New Roman" w:hAnsi="Times New Roman"/>
          <w:sz w:val="14"/>
          <w:szCs w:val="14"/>
          <w:color w:val="auto"/>
        </w:rPr>
      </w:pPr>
    </w:p>
    <w:p>
      <w:pPr>
        <w:ind w:left="1260" w:hanging="324"/>
        <w:spacing w:after="0"/>
        <w:tabs>
          <w:tab w:leader="none" w:pos="12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for credit losses in all years is primarily comprised of a full reserve against accounts receivable with our primary customer in Venezuela.</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Leases</w:t>
      </w:r>
    </w:p>
    <w:p>
      <w:pPr>
        <w:spacing w:after="0" w:line="32" w:lineRule="exact"/>
        <w:rPr>
          <w:sz w:val="20"/>
          <w:szCs w:val="20"/>
          <w:color w:val="auto"/>
        </w:rPr>
      </w:pPr>
    </w:p>
    <w:p>
      <w:pPr>
        <w:jc w:val="both"/>
        <w:ind w:right="160" w:firstLine="619"/>
        <w:spacing w:after="0" w:line="259" w:lineRule="auto"/>
        <w:rPr>
          <w:sz w:val="20"/>
          <w:szCs w:val="20"/>
          <w:color w:val="auto"/>
        </w:rPr>
      </w:pPr>
      <w:r>
        <w:rPr>
          <w:rFonts w:ascii="Times New Roman" w:cs="Times New Roman" w:eastAsia="Times New Roman" w:hAnsi="Times New Roman"/>
          <w:sz w:val="17"/>
          <w:szCs w:val="17"/>
          <w:color w:val="auto"/>
        </w:rPr>
        <w:t>For operating leases, lease expense for lease payments is recognized on a straight-line basis over the lease term and accretion of the lease liability, while finance leases include both an operating expense and an interest expense component. For all leases with a term of 12 months or less, we recognize lease expense for these short-term leases on a straight-line basis over the lease term.</w:t>
      </w:r>
    </w:p>
    <w:p>
      <w:pPr>
        <w:spacing w:after="0" w:line="201" w:lineRule="exact"/>
        <w:rPr>
          <w:sz w:val="20"/>
          <w:szCs w:val="20"/>
          <w:color w:val="auto"/>
        </w:rPr>
      </w:pPr>
    </w:p>
    <w:p>
      <w:pPr>
        <w:ind w:right="120" w:firstLine="619"/>
        <w:spacing w:after="0" w:line="258" w:lineRule="auto"/>
        <w:rPr>
          <w:sz w:val="20"/>
          <w:szCs w:val="20"/>
          <w:color w:val="auto"/>
        </w:rPr>
      </w:pPr>
      <w:r>
        <w:rPr>
          <w:rFonts w:ascii="Times New Roman" w:cs="Times New Roman" w:eastAsia="Times New Roman" w:hAnsi="Times New Roman"/>
          <w:sz w:val="17"/>
          <w:szCs w:val="17"/>
          <w:color w:val="auto"/>
        </w:rPr>
        <w:t>We are a lessee for numerous operating leases, primarily related to real estate, transportation, and equipment. The vast majority of our operating leases have remaining lease terms of 10 years or less, some of which include options to extend the leases, and some of which include options to terminate the leases. We generally do not include renewal or termination options in our assessment of the leases unless extension or termination for certain assets is deemed to be reasonably certain. The accounting for some of our leases may require judgment, which includes determining whether a contract contains a lease, determining the incremental borrowing rates to utilize in our net present value calculation of lease payments for lease agreements which do not provide an implicit rate, and assessing the likelihood of renewal or termination options. We also have some lease agreements with lease and non-lease components, which are generally accounted for as a single lease component. For certain equipment leases, such as offshore vessels and drilling rigs, we account for the lease and non-lease components separately.</w:t>
      </w:r>
    </w:p>
    <w:p>
      <w:pPr>
        <w:spacing w:after="0" w:line="201" w:lineRule="exact"/>
        <w:rPr>
          <w:sz w:val="20"/>
          <w:szCs w:val="20"/>
          <w:color w:val="auto"/>
        </w:rPr>
      </w:pPr>
    </w:p>
    <w:p>
      <w:pPr>
        <w:ind w:right="46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tables illustrate the financial impact of our leases as of and for the years ended December 31, 2023, 2022, and 2021, along with other supplemental information about our existing leases:</w:t>
      </w:r>
    </w:p>
    <w:p>
      <w:pPr>
        <w:spacing w:after="0" w:line="35"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4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194"/>
              <w:spacing w:after="0"/>
              <w:rPr>
                <w:sz w:val="20"/>
                <w:szCs w:val="20"/>
                <w:color w:val="auto"/>
              </w:rPr>
            </w:pPr>
            <w:r>
              <w:rPr>
                <w:rFonts w:ascii="Times New Roman" w:cs="Times New Roman" w:eastAsia="Times New Roman" w:hAnsi="Times New Roman"/>
                <w:sz w:val="17"/>
                <w:szCs w:val="17"/>
                <w:color w:val="auto"/>
              </w:rPr>
              <w:t>Year Ended December 31</w:t>
            </w:r>
          </w:p>
        </w:tc>
        <w:tc>
          <w:tcPr>
            <w:tcW w:w="1220" w:type="dxa"/>
            <w:vAlign w:val="bottom"/>
            <w:tcBorders>
              <w:bottom w:val="single" w:sz="8" w:color="auto"/>
            </w:tcBorders>
          </w:tcPr>
          <w:p>
            <w:pPr>
              <w:spacing w:after="0"/>
              <w:rPr>
                <w:sz w:val="19"/>
                <w:szCs w:val="19"/>
                <w:color w:val="auto"/>
              </w:rPr>
            </w:pPr>
          </w:p>
        </w:tc>
      </w:tr>
      <w:tr>
        <w:trPr>
          <w:trHeight w:val="212"/>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2023</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2022</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Components of lease expense: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9"/>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9"/>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9"/>
        </w:trPr>
        <w:tc>
          <w:tcPr>
            <w:tcW w:w="4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r>
      <w:tr>
        <w:trPr>
          <w:trHeight w:val="219"/>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9"/>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Sublease income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2"/>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lease cost</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w:t>
            </w: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95"/>
        </w:trPr>
        <w:tc>
          <w:tcPr>
            <w:tcW w:w="6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80" w:type="dxa"/>
            <w:vAlign w:val="bottom"/>
          </w:tcPr>
          <w:p>
            <w:pPr>
              <w:spacing w:after="0"/>
              <w:rPr>
                <w:sz w:val="17"/>
                <w:szCs w:val="17"/>
                <w:color w:val="auto"/>
              </w:rPr>
            </w:pPr>
          </w:p>
        </w:tc>
        <w:tc>
          <w:tcPr>
            <w:tcW w:w="4240" w:type="dxa"/>
            <w:vAlign w:val="bottom"/>
            <w:gridSpan w:val="8"/>
          </w:tcPr>
          <w:p>
            <w:pPr>
              <w:jc w:val="right"/>
              <w:ind w:right="120"/>
              <w:spacing w:after="0"/>
              <w:rPr>
                <w:sz w:val="20"/>
                <w:szCs w:val="20"/>
                <w:color w:val="auto"/>
              </w:rPr>
            </w:pPr>
            <w:r>
              <w:rPr>
                <w:rFonts w:ascii="Times New Roman" w:cs="Times New Roman" w:eastAsia="Times New Roman" w:hAnsi="Times New Roman"/>
                <w:sz w:val="17"/>
                <w:szCs w:val="17"/>
                <w:color w:val="auto"/>
              </w:rPr>
              <w:t>Item 8 | Notes to Consolidated Financial Statements</w:t>
            </w:r>
          </w:p>
        </w:tc>
      </w:tr>
      <w:tr>
        <w:trPr>
          <w:trHeight w:val="792"/>
        </w:trPr>
        <w:tc>
          <w:tcPr>
            <w:tcW w:w="5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5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194"/>
              <w:spacing w:after="0"/>
              <w:rPr>
                <w:sz w:val="20"/>
                <w:szCs w:val="20"/>
                <w:color w:val="auto"/>
              </w:rPr>
            </w:pPr>
            <w:r>
              <w:rPr>
                <w:rFonts w:ascii="Times New Roman" w:cs="Times New Roman" w:eastAsia="Times New Roman" w:hAnsi="Times New Roman"/>
                <w:sz w:val="17"/>
                <w:szCs w:val="17"/>
                <w:color w:val="auto"/>
              </w:rPr>
              <w:t>As of December 31</w:t>
            </w:r>
          </w:p>
        </w:tc>
        <w:tc>
          <w:tcPr>
            <w:tcW w:w="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12"/>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2023</w:t>
            </w: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left="214"/>
              <w:spacing w:after="0"/>
              <w:rPr>
                <w:sz w:val="20"/>
                <w:szCs w:val="20"/>
                <w:color w:val="auto"/>
              </w:rPr>
            </w:pPr>
            <w:r>
              <w:rPr>
                <w:rFonts w:ascii="Times New Roman" w:cs="Times New Roman" w:eastAsia="Times New Roman" w:hAnsi="Times New Roman"/>
                <w:sz w:val="17"/>
                <w:szCs w:val="17"/>
                <w:color w:val="auto"/>
                <w:w w:val="99"/>
              </w:rPr>
              <w:t>2022</w:t>
            </w:r>
          </w:p>
        </w:tc>
        <w:tc>
          <w:tcPr>
            <w:tcW w:w="6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Components of balance sheet:</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19"/>
        </w:trPr>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leases:</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9"/>
        </w:trPr>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lease right-of-use assets (non-current)</w:t>
            </w:r>
          </w:p>
        </w:tc>
        <w:tc>
          <w:tcPr>
            <w:tcW w:w="1020" w:type="dxa"/>
            <w:vAlign w:val="bottom"/>
            <w:gridSpan w:val="2"/>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240" w:type="dxa"/>
            <w:vAlign w:val="bottom"/>
          </w:tcPr>
          <w:p>
            <w:pPr>
              <w:spacing w:after="0"/>
              <w:rPr>
                <w:sz w:val="19"/>
                <w:szCs w:val="19"/>
                <w:color w:val="auto"/>
              </w:rPr>
            </w:pPr>
          </w:p>
        </w:tc>
      </w:tr>
      <w:tr>
        <w:trPr>
          <w:trHeight w:val="219"/>
        </w:trPr>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240" w:type="dxa"/>
            <w:vAlign w:val="bottom"/>
          </w:tcPr>
          <w:p>
            <w:pPr>
              <w:spacing w:after="0"/>
              <w:rPr>
                <w:sz w:val="19"/>
                <w:szCs w:val="19"/>
                <w:color w:val="auto"/>
              </w:rPr>
            </w:pPr>
          </w:p>
        </w:tc>
      </w:tr>
      <w:tr>
        <w:trPr>
          <w:trHeight w:val="219"/>
        </w:trPr>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240" w:type="dxa"/>
            <w:vAlign w:val="bottom"/>
          </w:tcPr>
          <w:p>
            <w:pPr>
              <w:spacing w:after="0"/>
              <w:rPr>
                <w:sz w:val="19"/>
                <w:szCs w:val="19"/>
                <w:color w:val="auto"/>
              </w:rPr>
            </w:pPr>
          </w:p>
        </w:tc>
      </w:tr>
      <w:tr>
        <w:trPr>
          <w:trHeight w:val="219"/>
        </w:trPr>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Finance leases:</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9"/>
        </w:trPr>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assets (non-current)</w:t>
            </w:r>
          </w:p>
        </w:tc>
        <w:tc>
          <w:tcPr>
            <w:tcW w:w="1020" w:type="dxa"/>
            <w:vAlign w:val="bottom"/>
            <w:gridSpan w:val="2"/>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240" w:type="dxa"/>
            <w:vAlign w:val="bottom"/>
          </w:tcPr>
          <w:p>
            <w:pPr>
              <w:spacing w:after="0"/>
              <w:rPr>
                <w:sz w:val="19"/>
                <w:szCs w:val="19"/>
                <w:color w:val="auto"/>
              </w:rPr>
            </w:pPr>
          </w:p>
        </w:tc>
      </w:tr>
      <w:tr>
        <w:trPr>
          <w:trHeight w:val="219"/>
        </w:trPr>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40" w:type="dxa"/>
            <w:vAlign w:val="bottom"/>
          </w:tcPr>
          <w:p>
            <w:pPr>
              <w:spacing w:after="0"/>
              <w:rPr>
                <w:sz w:val="19"/>
                <w:szCs w:val="19"/>
                <w:color w:val="auto"/>
              </w:rPr>
            </w:pPr>
          </w:p>
        </w:tc>
      </w:tr>
      <w:tr>
        <w:trPr>
          <w:trHeight w:val="244"/>
        </w:trPr>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40" w:type="dxa"/>
            <w:vAlign w:val="bottom"/>
            <w:tcBorders>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3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3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24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4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740" w:type="dxa"/>
            <w:vAlign w:val="bottom"/>
            <w:tcBorders>
              <w:top w:val="single" w:sz="8" w:color="CCEEFF"/>
              <w:bottom w:val="single" w:sz="8" w:color="auto"/>
            </w:tcBorders>
            <w:gridSpan w:val="5"/>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642"/>
        </w:trPr>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7"/>
                <w:szCs w:val="17"/>
                <w:color w:val="auto"/>
              </w:rPr>
              <w:t>Year Ended December 31</w:t>
            </w: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r>
        <w:trPr>
          <w:trHeight w:val="212"/>
        </w:trPr>
        <w:tc>
          <w:tcPr>
            <w:tcW w:w="580" w:type="dxa"/>
            <w:vAlign w:val="bottom"/>
          </w:tcPr>
          <w:p>
            <w:pPr>
              <w:spacing w:after="0"/>
              <w:rPr>
                <w:sz w:val="18"/>
                <w:szCs w:val="18"/>
                <w:color w:val="auto"/>
              </w:rPr>
            </w:pPr>
          </w:p>
        </w:tc>
        <w:tc>
          <w:tcPr>
            <w:tcW w:w="6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 except years and percentages</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2022</w:t>
            </w:r>
          </w:p>
        </w:tc>
        <w:tc>
          <w:tcPr>
            <w:tcW w:w="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2021</w:t>
            </w:r>
          </w:p>
        </w:tc>
        <w:tc>
          <w:tcPr>
            <w:tcW w:w="240" w:type="dxa"/>
            <w:vAlign w:val="bottom"/>
            <w:tcBorders>
              <w:bottom w:val="single" w:sz="8" w:color="auto"/>
            </w:tcBorders>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6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supplemental information:</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9"/>
        </w:trPr>
        <w:tc>
          <w:tcPr>
            <w:tcW w:w="580" w:type="dxa"/>
            <w:vAlign w:val="bottom"/>
          </w:tcPr>
          <w:p>
            <w:pPr>
              <w:spacing w:after="0"/>
              <w:rPr>
                <w:sz w:val="19"/>
                <w:szCs w:val="19"/>
                <w:color w:val="auto"/>
              </w:rPr>
            </w:pPr>
          </w:p>
        </w:tc>
        <w:tc>
          <w:tcPr>
            <w:tcW w:w="6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9"/>
        </w:trPr>
        <w:tc>
          <w:tcPr>
            <w:tcW w:w="5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cash flows for operating leases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354</w:t>
            </w:r>
          </w:p>
        </w:tc>
        <w:tc>
          <w:tcPr>
            <w:tcW w:w="6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332</w:t>
            </w:r>
          </w:p>
        </w:tc>
        <w:tc>
          <w:tcPr>
            <w:tcW w:w="440" w:type="dxa"/>
            <w:vAlign w:val="bottom"/>
            <w:shd w:val="clear" w:color="auto" w:fill="CCEEFF"/>
          </w:tcPr>
          <w:p>
            <w:pPr>
              <w:jc w:val="center"/>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Operating cash flows for finance leases</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41</w:t>
            </w: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38</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9"/>
        </w:trPr>
        <w:tc>
          <w:tcPr>
            <w:tcW w:w="5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Financing cash flows for finance leases</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w:t>
            </w: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26</w:t>
            </w: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19"/>
        </w:trPr>
        <w:tc>
          <w:tcPr>
            <w:tcW w:w="580" w:type="dxa"/>
            <w:vAlign w:val="bottom"/>
          </w:tcPr>
          <w:p>
            <w:pPr>
              <w:spacing w:after="0"/>
              <w:rPr>
                <w:sz w:val="19"/>
                <w:szCs w:val="19"/>
                <w:color w:val="auto"/>
              </w:rPr>
            </w:pPr>
          </w:p>
        </w:tc>
        <w:tc>
          <w:tcPr>
            <w:tcW w:w="6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9"/>
        </w:trPr>
        <w:tc>
          <w:tcPr>
            <w:tcW w:w="5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leases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487</w:t>
            </w:r>
          </w:p>
        </w:tc>
        <w:tc>
          <w:tcPr>
            <w:tcW w:w="6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249</w:t>
            </w:r>
          </w:p>
        </w:tc>
        <w:tc>
          <w:tcPr>
            <w:tcW w:w="440" w:type="dxa"/>
            <w:vAlign w:val="bottom"/>
            <w:shd w:val="clear" w:color="auto" w:fill="CCEEFF"/>
          </w:tcPr>
          <w:p>
            <w:pPr>
              <w:jc w:val="center"/>
              <w:ind w:right="2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Finance leases</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64</w:t>
            </w: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62</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9"/>
        </w:trPr>
        <w:tc>
          <w:tcPr>
            <w:tcW w:w="580" w:type="dxa"/>
            <w:vAlign w:val="bottom"/>
          </w:tcPr>
          <w:p>
            <w:pPr>
              <w:spacing w:after="0"/>
              <w:rPr>
                <w:sz w:val="19"/>
                <w:szCs w:val="19"/>
                <w:color w:val="auto"/>
              </w:rPr>
            </w:pPr>
          </w:p>
        </w:tc>
        <w:tc>
          <w:tcPr>
            <w:tcW w:w="6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19"/>
        </w:trPr>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Operating leases</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8.2 years</w:t>
            </w: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9.5 years</w:t>
            </w:r>
          </w:p>
        </w:tc>
        <w:tc>
          <w:tcPr>
            <w:tcW w:w="44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9.8</w:t>
            </w:r>
          </w:p>
        </w:tc>
      </w:tr>
      <w:tr>
        <w:trPr>
          <w:trHeight w:val="219"/>
        </w:trPr>
        <w:tc>
          <w:tcPr>
            <w:tcW w:w="58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Finance leases</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5.3 years</w:t>
            </w: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5.9 years</w:t>
            </w:r>
          </w:p>
        </w:tc>
        <w:tc>
          <w:tcPr>
            <w:tcW w:w="4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6.3</w:t>
            </w:r>
          </w:p>
        </w:tc>
      </w:tr>
      <w:tr>
        <w:trPr>
          <w:trHeight w:val="219"/>
        </w:trPr>
        <w:tc>
          <w:tcPr>
            <w:tcW w:w="580" w:type="dxa"/>
            <w:vAlign w:val="bottom"/>
          </w:tcPr>
          <w:p>
            <w:pPr>
              <w:spacing w:after="0"/>
              <w:rPr>
                <w:sz w:val="19"/>
                <w:szCs w:val="19"/>
                <w:color w:val="auto"/>
              </w:rPr>
            </w:pPr>
          </w:p>
        </w:tc>
        <w:tc>
          <w:tcPr>
            <w:tcW w:w="6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for operating leases</w:t>
            </w: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0"/>
        </w:trPr>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following table summarizes the maturity of our operating and finance leases as of December 31, 2023:</w:t>
      </w:r>
    </w:p>
    <w:p>
      <w:pPr>
        <w:spacing w:after="0" w:line="97" w:lineRule="exact"/>
        <w:rPr>
          <w:sz w:val="20"/>
          <w:szCs w:val="20"/>
          <w:color w:val="auto"/>
        </w:rPr>
      </w:pPr>
    </w:p>
    <w:tbl>
      <w:tblPr>
        <w:tblLayout w:type="fixed"/>
        <w:tblInd w:w="1160" w:type="dxa"/>
        <w:tblCellMar>
          <w:top w:w="0" w:type="dxa"/>
          <w:left w:w="0" w:type="dxa"/>
          <w:bottom w:w="0" w:type="dxa"/>
          <w:right w:w="0" w:type="dxa"/>
        </w:tblCellMar>
      </w:tblPr>
      <w:tr>
        <w:trPr>
          <w:trHeight w:val="227"/>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18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Operating Leases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Finance Leases</w:t>
            </w:r>
          </w:p>
        </w:tc>
      </w:tr>
      <w:tr>
        <w:trPr>
          <w:trHeight w:val="21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8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19"/>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8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18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r>
      <w:tr>
        <w:trPr>
          <w:trHeight w:val="219"/>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Imputed interest</w:t>
            </w:r>
          </w:p>
        </w:tc>
        <w:tc>
          <w:tcPr>
            <w:tcW w:w="18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37"/>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 net of imputed interest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0"/>
        </w:trPr>
        <w:tc>
          <w:tcPr>
            <w:tcW w:w="48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7"/>
          <w:szCs w:val="17"/>
          <w:color w:val="auto"/>
        </w:rPr>
        <w:t>HAL 2023 FORM 10-K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00"/>
          </w:cols>
          <w:pgMar w:left="360" w:top="150"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7"/>
                <w:szCs w:val="17"/>
                <w:color w:val="auto"/>
              </w:rPr>
            </w:pPr>
          </w:p>
        </w:tc>
        <w:tc>
          <w:tcPr>
            <w:tcW w:w="1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4340" w:type="dxa"/>
            <w:vAlign w:val="bottom"/>
            <w:gridSpan w:val="2"/>
          </w:tcPr>
          <w:p>
            <w:pPr>
              <w:spacing w:after="0"/>
              <w:rPr>
                <w:sz w:val="17"/>
                <w:szCs w:val="17"/>
                <w:color w:val="auto"/>
              </w:rPr>
            </w:pPr>
          </w:p>
        </w:tc>
        <w:tc>
          <w:tcPr>
            <w:tcW w:w="5620" w:type="dxa"/>
            <w:vAlign w:val="bottom"/>
            <w:gridSpan w:val="6"/>
          </w:tcPr>
          <w:p>
            <w:pPr>
              <w:ind w:left="2040"/>
              <w:spacing w:after="0"/>
              <w:rPr>
                <w:sz w:val="20"/>
                <w:szCs w:val="20"/>
                <w:color w:val="auto"/>
              </w:rPr>
            </w:pPr>
            <w:r>
              <w:rPr>
                <w:rFonts w:ascii="Times New Roman" w:cs="Times New Roman" w:eastAsia="Times New Roman" w:hAnsi="Times New Roman"/>
                <w:sz w:val="17"/>
                <w:szCs w:val="17"/>
                <w:color w:val="auto"/>
              </w:rPr>
              <w:t>Item 8 | Notes to Consolidated Financial Statements</w:t>
            </w:r>
          </w:p>
        </w:tc>
      </w:tr>
      <w:tr>
        <w:trPr>
          <w:trHeight w:val="737"/>
        </w:trPr>
        <w:tc>
          <w:tcPr>
            <w:tcW w:w="56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Note 7. Inventories</w:t>
            </w: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556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Inventories consisted of the following:</w:t>
            </w: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5"/>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00" w:type="dxa"/>
            <w:vAlign w:val="bottom"/>
            <w:gridSpan w:val="4"/>
          </w:tcPr>
          <w:p>
            <w:pPr>
              <w:ind w:left="420"/>
              <w:spacing w:after="0"/>
              <w:rPr>
                <w:sz w:val="20"/>
                <w:szCs w:val="20"/>
                <w:color w:val="auto"/>
              </w:rPr>
            </w:pPr>
            <w:r>
              <w:rPr>
                <w:rFonts w:ascii="Times New Roman" w:cs="Times New Roman" w:eastAsia="Times New Roman" w:hAnsi="Times New Roman"/>
                <w:sz w:val="17"/>
                <w:szCs w:val="17"/>
                <w:color w:val="auto"/>
              </w:rPr>
              <w:t>December 31</w:t>
            </w:r>
          </w:p>
        </w:tc>
      </w:tr>
      <w:tr>
        <w:trPr>
          <w:trHeight w:val="212"/>
        </w:trPr>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248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2023</w:t>
            </w: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2022</w:t>
            </w:r>
          </w:p>
        </w:tc>
        <w:tc>
          <w:tcPr>
            <w:tcW w:w="90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Finished products and parts</w:t>
            </w:r>
          </w:p>
        </w:tc>
        <w:tc>
          <w:tcPr>
            <w:tcW w:w="2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2,069</w:t>
            </w:r>
          </w:p>
        </w:tc>
        <w:tc>
          <w:tcPr>
            <w:tcW w:w="3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1,859</w:t>
            </w:r>
          </w:p>
        </w:tc>
        <w:tc>
          <w:tcPr>
            <w:tcW w:w="90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Raw materials and supplies</w:t>
            </w: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w:t>
            </w:r>
          </w:p>
        </w:tc>
        <w:tc>
          <w:tcPr>
            <w:tcW w:w="30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953</w:t>
            </w:r>
          </w:p>
        </w:tc>
        <w:tc>
          <w:tcPr>
            <w:tcW w:w="900" w:type="dxa"/>
            <w:vAlign w:val="bottom"/>
          </w:tcPr>
          <w:p>
            <w:pPr>
              <w:spacing w:after="0"/>
              <w:rPr>
                <w:sz w:val="19"/>
                <w:szCs w:val="19"/>
                <w:color w:val="auto"/>
              </w:rPr>
            </w:pPr>
          </w:p>
        </w:tc>
      </w:tr>
      <w:tr>
        <w:trPr>
          <w:trHeight w:val="219"/>
        </w:trPr>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Work in process</w:t>
            </w:r>
          </w:p>
        </w:tc>
        <w:tc>
          <w:tcPr>
            <w:tcW w:w="24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111</w:t>
            </w:r>
          </w:p>
        </w:tc>
        <w:tc>
          <w:tcPr>
            <w:tcW w:w="900" w:type="dxa"/>
            <w:vAlign w:val="bottom"/>
          </w:tcPr>
          <w:p>
            <w:pPr>
              <w:spacing w:after="0"/>
              <w:rPr>
                <w:sz w:val="19"/>
                <w:szCs w:val="19"/>
                <w:color w:val="auto"/>
              </w:rPr>
            </w:pPr>
          </w:p>
        </w:tc>
      </w:tr>
      <w:tr>
        <w:trPr>
          <w:trHeight w:val="212"/>
        </w:trPr>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Total inventories</w:t>
            </w:r>
          </w:p>
        </w:tc>
        <w:tc>
          <w:tcPr>
            <w:tcW w:w="27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3,226</w:t>
            </w:r>
          </w:p>
        </w:tc>
        <w:tc>
          <w:tcPr>
            <w:tcW w:w="3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2,923</w:t>
            </w:r>
          </w:p>
        </w:tc>
        <w:tc>
          <w:tcPr>
            <w:tcW w:w="9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All amounts in the table above are reported net of obsolescence reserves of $81 million at December 31, 2023 and $104 million at December 31, 2022.</w:t>
      </w:r>
    </w:p>
    <w:p>
      <w:pPr>
        <w:spacing w:after="0" w:line="243" w:lineRule="exact"/>
        <w:rPr>
          <w:sz w:val="20"/>
          <w:szCs w:val="20"/>
          <w:color w:val="auto"/>
        </w:rPr>
      </w:pPr>
    </w:p>
    <w:p>
      <w:pPr>
        <w:ind w:right="80" w:firstLine="619"/>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2023, there were no impairments charges related to inventory. During the year ended December 31, 2022, we recorded $70 million of impairment charges related to inventory. These charges were primarily attributable to our exit from Russia. See Note 2 to the consolidated financial statements for further discussion on impairments and other charges.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Accounts Payable</w:t>
      </w:r>
    </w:p>
    <w:p>
      <w:pPr>
        <w:spacing w:after="0" w:line="247" w:lineRule="exact"/>
        <w:rPr>
          <w:sz w:val="20"/>
          <w:szCs w:val="20"/>
          <w:color w:val="auto"/>
        </w:rPr>
      </w:pPr>
    </w:p>
    <w:p>
      <w:pPr>
        <w:ind w:right="180" w:firstLine="619"/>
        <w:spacing w:after="0" w:line="287" w:lineRule="auto"/>
        <w:rPr>
          <w:sz w:val="20"/>
          <w:szCs w:val="20"/>
          <w:color w:val="auto"/>
        </w:rPr>
      </w:pPr>
      <w:r>
        <w:rPr>
          <w:rFonts w:ascii="Times New Roman" w:cs="Times New Roman" w:eastAsia="Times New Roman" w:hAnsi="Times New Roman"/>
          <w:sz w:val="17"/>
          <w:szCs w:val="17"/>
          <w:color w:val="auto"/>
        </w:rPr>
        <w:t>Effective January 1, 2023, we adopted new supplier finance program disclosure requirements contained in guidance issued by the Financial Accounting Standards Board (ASU 2022-04, "Disclosure of Supplier Finance Program Obligations"), other than the roll-forward disclosure, which we will adopt in 2024.</w:t>
      </w:r>
    </w:p>
    <w:p>
      <w:pPr>
        <w:spacing w:after="0" w:line="177" w:lineRule="exact"/>
        <w:rPr>
          <w:sz w:val="20"/>
          <w:szCs w:val="20"/>
          <w:color w:val="auto"/>
        </w:rPr>
      </w:pPr>
    </w:p>
    <w:p>
      <w:pPr>
        <w:ind w:right="120" w:firstLine="619"/>
        <w:spacing w:after="0" w:line="264" w:lineRule="auto"/>
        <w:rPr>
          <w:sz w:val="20"/>
          <w:szCs w:val="20"/>
          <w:color w:val="auto"/>
        </w:rPr>
      </w:pPr>
      <w:r>
        <w:rPr>
          <w:rFonts w:ascii="Times New Roman" w:cs="Times New Roman" w:eastAsia="Times New Roman" w:hAnsi="Times New Roman"/>
          <w:sz w:val="17"/>
          <w:szCs w:val="17"/>
          <w:color w:val="auto"/>
        </w:rPr>
        <w:t>We have agreements with third parties that allow our participating suppliers to finance payment obligations from us with designated third-party financial institutions who act as our paying agent. We have generally extended our payment terms with suppliers to 90 days. A participating supplier may request a participating financial institution to finance one or more of our payment obligations to such supplier prior to the scheduled due date thereof at a discounted price. We are not required to provide collateral to the financial institutions.</w:t>
      </w:r>
    </w:p>
    <w:p>
      <w:pPr>
        <w:spacing w:after="0" w:line="197" w:lineRule="exact"/>
        <w:rPr>
          <w:sz w:val="20"/>
          <w:szCs w:val="20"/>
          <w:color w:val="auto"/>
        </w:rPr>
      </w:pPr>
    </w:p>
    <w:p>
      <w:pPr>
        <w:jc w:val="both"/>
        <w:ind w:right="180" w:firstLine="619"/>
        <w:spacing w:after="0" w:line="270" w:lineRule="auto"/>
        <w:rPr>
          <w:sz w:val="20"/>
          <w:szCs w:val="20"/>
          <w:color w:val="auto"/>
        </w:rPr>
      </w:pPr>
      <w:r>
        <w:rPr>
          <w:rFonts w:ascii="Times New Roman" w:cs="Times New Roman" w:eastAsia="Times New Roman" w:hAnsi="Times New Roman"/>
          <w:sz w:val="17"/>
          <w:szCs w:val="17"/>
          <w:color w:val="auto"/>
        </w:rPr>
        <w:t>Our obligations to participating suppliers, including amounts due and scheduled payment dates, are not impacted by the suppliers’ decisions to finance amounts due under these financing arrangements. Our outstanding payment obligations under these agreements were $322 million as of December 31, 2023, and $273 million as of December 31, 2022, and are included in accounts payable on the condensed consolidated balance sheets.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Property, Plant, and Equipment</w:t>
      </w:r>
    </w:p>
    <w:p>
      <w:pPr>
        <w:spacing w:after="0" w:line="32"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7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Property, plant, and equipment were composed of the following:</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574"/>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12"/>
        </w:trPr>
        <w:tc>
          <w:tcPr>
            <w:tcW w:w="620" w:type="dxa"/>
            <w:vAlign w:val="bottom"/>
          </w:tcPr>
          <w:p>
            <w:pPr>
              <w:spacing w:after="0"/>
              <w:rPr>
                <w:sz w:val="18"/>
                <w:szCs w:val="18"/>
                <w:color w:val="auto"/>
              </w:rPr>
            </w:pPr>
          </w:p>
        </w:tc>
        <w:tc>
          <w:tcPr>
            <w:tcW w:w="65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2023</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2022</w:t>
            </w:r>
          </w:p>
        </w:tc>
        <w:tc>
          <w:tcPr>
            <w:tcW w:w="0" w:type="dxa"/>
            <w:vAlign w:val="bottom"/>
          </w:tcPr>
          <w:p>
            <w:pPr>
              <w:spacing w:after="0"/>
              <w:rPr>
                <w:sz w:val="1"/>
                <w:szCs w:val="1"/>
                <w:color w:val="auto"/>
              </w:rPr>
            </w:pPr>
          </w:p>
        </w:tc>
      </w:tr>
      <w:tr>
        <w:trPr>
          <w:trHeight w:val="212"/>
        </w:trPr>
        <w:tc>
          <w:tcPr>
            <w:tcW w:w="620" w:type="dxa"/>
            <w:vAlign w:val="bottom"/>
          </w:tcPr>
          <w:p>
            <w:pPr>
              <w:spacing w:after="0"/>
              <w:rPr>
                <w:sz w:val="18"/>
                <w:szCs w:val="18"/>
                <w:color w:val="auto"/>
              </w:rPr>
            </w:pPr>
          </w:p>
        </w:tc>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and property improvements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1,671</w:t>
            </w: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equipment, and other</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14,220</w:t>
            </w:r>
          </w:p>
        </w:tc>
        <w:tc>
          <w:tcPr>
            <w:tcW w:w="0" w:type="dxa"/>
            <w:vAlign w:val="bottom"/>
          </w:tcPr>
          <w:p>
            <w:pPr>
              <w:spacing w:after="0"/>
              <w:rPr>
                <w:sz w:val="1"/>
                <w:szCs w:val="1"/>
                <w:color w:val="auto"/>
              </w:rPr>
            </w:pPr>
          </w:p>
        </w:tc>
      </w:tr>
      <w:tr>
        <w:trPr>
          <w:trHeight w:val="212"/>
        </w:trPr>
        <w:tc>
          <w:tcPr>
            <w:tcW w:w="620" w:type="dxa"/>
            <w:vAlign w:val="bottom"/>
          </w:tcPr>
          <w:p>
            <w:pPr>
              <w:spacing w:after="0"/>
              <w:rPr>
                <w:sz w:val="18"/>
                <w:szCs w:val="18"/>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plant, and equipment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16,964</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16,008</w:t>
            </w: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(12,064)</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(11,660)</w:t>
            </w:r>
          </w:p>
        </w:tc>
        <w:tc>
          <w:tcPr>
            <w:tcW w:w="0" w:type="dxa"/>
            <w:vAlign w:val="bottom"/>
          </w:tcPr>
          <w:p>
            <w:pPr>
              <w:spacing w:after="0"/>
              <w:rPr>
                <w:sz w:val="1"/>
                <w:szCs w:val="1"/>
                <w:color w:val="auto"/>
              </w:rPr>
            </w:pPr>
          </w:p>
        </w:tc>
      </w:tr>
      <w:tr>
        <w:trPr>
          <w:trHeight w:val="212"/>
        </w:trPr>
        <w:tc>
          <w:tcPr>
            <w:tcW w:w="620" w:type="dxa"/>
            <w:vAlign w:val="bottom"/>
          </w:tcPr>
          <w:p>
            <w:pPr>
              <w:spacing w:after="0"/>
              <w:rPr>
                <w:sz w:val="18"/>
                <w:szCs w:val="18"/>
                <w:color w:val="auto"/>
              </w:rPr>
            </w:pPr>
          </w:p>
        </w:tc>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property, plant, and equipment</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right="40" w:firstLine="619"/>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2023, no impairment charges were recorded on property, plant, and equipment. During the year ended December 31, 2022, we recorded $100 million of impairment charges on property, plant, and equipment primarily related to our exit from Russia. See Note 2 to the consolidated financial statements for further discussion on impairments and other charges.</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59" w:name="page60"/>
    <w:bookmarkEnd w:id="59"/>
    <w:p>
      <w:pPr>
        <w:ind w:left="40"/>
        <w:spacing w:after="0"/>
        <w:tabs>
          <w:tab w:leader="none" w:pos="76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Classes of assets are depreciated over the following useful lives:</w:t>
      </w:r>
    </w:p>
    <w:p>
      <w:pPr>
        <w:spacing w:after="0" w:line="40"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7"/>
          <w:szCs w:val="17"/>
          <w:color w:val="auto"/>
        </w:rPr>
        <w:t>Buildings and Property</w:t>
      </w:r>
    </w:p>
    <w:p>
      <w:pPr>
        <w:jc w:val="center"/>
        <w:ind w:left="2780"/>
        <w:spacing w:after="0"/>
        <w:rPr>
          <w:sz w:val="20"/>
          <w:szCs w:val="20"/>
          <w:color w:val="auto"/>
        </w:rPr>
      </w:pPr>
      <w:r>
        <w:rPr>
          <w:rFonts w:ascii="Times New Roman" w:cs="Times New Roman" w:eastAsia="Times New Roman" w:hAnsi="Times New Roman"/>
          <w:sz w:val="17"/>
          <w:szCs w:val="17"/>
          <w:color w:val="auto"/>
        </w:rPr>
        <w:t>Improvements</w:t>
      </w:r>
    </w:p>
    <w:p>
      <w:pPr>
        <w:spacing w:after="0" w:line="10" w:lineRule="exact"/>
        <w:rPr>
          <w:sz w:val="20"/>
          <w:szCs w:val="20"/>
          <w:color w:val="auto"/>
        </w:rPr>
      </w:pPr>
    </w:p>
    <w:tbl>
      <w:tblPr>
        <w:tblLayout w:type="fixed"/>
        <w:tblInd w:w="3660" w:type="dxa"/>
        <w:tblCellMar>
          <w:top w:w="0" w:type="dxa"/>
          <w:left w:w="0" w:type="dxa"/>
          <w:bottom w:w="0" w:type="dxa"/>
          <w:right w:w="0" w:type="dxa"/>
        </w:tblCellMar>
      </w:tblPr>
      <w:tr>
        <w:trPr>
          <w:trHeight w:val="225"/>
        </w:trPr>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1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r>
      <w:tr>
        <w:trPr>
          <w:trHeight w:val="212"/>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10 years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20 years</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w:t>
            </w:r>
          </w:p>
        </w:tc>
      </w:tr>
      <w:tr>
        <w:trPr>
          <w:trHeight w:val="219"/>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30 years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w:t>
            </w:r>
          </w:p>
        </w:tc>
      </w:tr>
      <w:tr>
        <w:trPr>
          <w:trHeight w:val="219"/>
        </w:trPr>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40 years</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18%</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18%</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center"/>
        <w:ind w:left="2160"/>
        <w:spacing w:after="0"/>
        <w:rPr>
          <w:sz w:val="20"/>
          <w:szCs w:val="20"/>
          <w:color w:val="auto"/>
        </w:rPr>
      </w:pPr>
      <w:r>
        <w:rPr>
          <w:rFonts w:ascii="Times New Roman" w:cs="Times New Roman" w:eastAsia="Times New Roman" w:hAnsi="Times New Roman"/>
          <w:sz w:val="17"/>
          <w:szCs w:val="17"/>
          <w:color w:val="auto"/>
        </w:rPr>
        <w:t>Machinery, Equipment,</w:t>
      </w:r>
    </w:p>
    <w:p>
      <w:pPr>
        <w:jc w:val="center"/>
        <w:ind w:left="2160"/>
        <w:spacing w:after="0"/>
        <w:rPr>
          <w:sz w:val="20"/>
          <w:szCs w:val="20"/>
          <w:color w:val="auto"/>
        </w:rPr>
      </w:pPr>
      <w:r>
        <w:rPr>
          <w:rFonts w:ascii="Times New Roman" w:cs="Times New Roman" w:eastAsia="Times New Roman" w:hAnsi="Times New Roman"/>
          <w:sz w:val="17"/>
          <w:szCs w:val="17"/>
          <w:color w:val="auto"/>
        </w:rPr>
        <w:t>and Other</w:t>
      </w:r>
    </w:p>
    <w:p>
      <w:pPr>
        <w:spacing w:after="0" w:line="10" w:lineRule="exact"/>
        <w:rPr>
          <w:sz w:val="20"/>
          <w:szCs w:val="20"/>
          <w:color w:val="auto"/>
        </w:rPr>
      </w:pPr>
    </w:p>
    <w:tbl>
      <w:tblPr>
        <w:tblLayout w:type="fixed"/>
        <w:tblInd w:w="3340" w:type="dxa"/>
        <w:tblCellMar>
          <w:top w:w="0" w:type="dxa"/>
          <w:left w:w="0" w:type="dxa"/>
          <w:bottom w:w="0" w:type="dxa"/>
          <w:right w:w="0" w:type="dxa"/>
        </w:tblCellMar>
      </w:tblPr>
      <w:tr>
        <w:trPr>
          <w:trHeight w:val="225"/>
        </w:trPr>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1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r>
      <w:tr>
        <w:trPr>
          <w:trHeight w:val="212"/>
        </w:trPr>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center"/>
              <w:ind w:right="774"/>
              <w:spacing w:after="0"/>
              <w:rPr>
                <w:sz w:val="20"/>
                <w:szCs w:val="20"/>
                <w:color w:val="auto"/>
              </w:rPr>
            </w:pPr>
            <w:r>
              <w:rPr>
                <w:rFonts w:ascii="Times New Roman" w:cs="Times New Roman" w:eastAsia="Times New Roman" w:hAnsi="Times New Roman"/>
                <w:sz w:val="17"/>
                <w:szCs w:val="17"/>
                <w:color w:val="auto"/>
                <w:w w:val="98"/>
              </w:rPr>
              <w:t>5 years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49%</w:t>
            </w:r>
          </w:p>
        </w:tc>
      </w:tr>
      <w:tr>
        <w:trPr>
          <w:trHeight w:val="219"/>
        </w:trPr>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center"/>
              <w:ind w:right="774"/>
              <w:spacing w:after="0"/>
              <w:rPr>
                <w:sz w:val="20"/>
                <w:szCs w:val="20"/>
                <w:color w:val="auto"/>
              </w:rPr>
            </w:pPr>
            <w:r>
              <w:rPr>
                <w:rFonts w:ascii="Times New Roman" w:cs="Times New Roman" w:eastAsia="Times New Roman" w:hAnsi="Times New Roman"/>
                <w:sz w:val="17"/>
                <w:szCs w:val="17"/>
                <w:color w:val="auto"/>
                <w:w w:val="97"/>
              </w:rPr>
              <w:t>10 years</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r>
      <w:tr>
        <w:trPr>
          <w:trHeight w:val="244"/>
        </w:trPr>
        <w:tc>
          <w:tcPr>
            <w:tcW w:w="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auto"/>
            </w:tcBorders>
            <w:shd w:val="clear" w:color="auto" w:fill="CCEEFF"/>
          </w:tcPr>
          <w:p>
            <w:pPr>
              <w:jc w:val="center"/>
              <w:ind w:right="794"/>
              <w:spacing w:after="0"/>
              <w:rPr>
                <w:sz w:val="20"/>
                <w:szCs w:val="20"/>
                <w:color w:val="auto"/>
              </w:rPr>
            </w:pPr>
            <w:r>
              <w:rPr>
                <w:rFonts w:ascii="Times New Roman" w:cs="Times New Roman" w:eastAsia="Times New Roman" w:hAnsi="Times New Roman"/>
                <w:sz w:val="17"/>
                <w:szCs w:val="17"/>
                <w:color w:val="auto"/>
              </w:rPr>
              <w:t>20 years</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r>
      <w:tr>
        <w:trPr>
          <w:trHeight w:val="20"/>
        </w:trPr>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Debt</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long-term total debt consisted of the following:</w:t>
      </w:r>
    </w:p>
    <w:p>
      <w:pPr>
        <w:spacing w:after="0" w:line="33"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7"/>
          <w:szCs w:val="17"/>
          <w:color w:val="auto"/>
        </w:rPr>
        <w:t>December 31</w:t>
      </w:r>
    </w:p>
    <w:p>
      <w:pPr>
        <w:spacing w:after="0" w:line="27" w:lineRule="exact"/>
        <w:rPr>
          <w:sz w:val="20"/>
          <w:szCs w:val="20"/>
          <w:color w:val="auto"/>
        </w:rPr>
      </w:pPr>
    </w:p>
    <w:tbl>
      <w:tblPr>
        <w:tblLayout w:type="fixed"/>
        <w:tblInd w:w="680" w:type="dxa"/>
        <w:tblCellMar>
          <w:top w:w="0" w:type="dxa"/>
          <w:left w:w="0" w:type="dxa"/>
          <w:bottom w:w="0" w:type="dxa"/>
          <w:right w:w="0" w:type="dxa"/>
        </w:tblCellMar>
      </w:tblPr>
      <w:tr>
        <w:trPr>
          <w:trHeight w:val="212"/>
        </w:trPr>
        <w:tc>
          <w:tcPr>
            <w:tcW w:w="5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24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2023</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5.0% senior notes due November 2045</w:t>
            </w:r>
          </w:p>
        </w:tc>
        <w:tc>
          <w:tcPr>
            <w:tcW w:w="24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4.85% senior notes due November 2035</w:t>
            </w:r>
          </w:p>
        </w:tc>
        <w:tc>
          <w:tcPr>
            <w:tcW w:w="2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2.92% senior notes due March 2030</w:t>
            </w:r>
          </w:p>
        </w:tc>
        <w:tc>
          <w:tcPr>
            <w:tcW w:w="2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7.45% senior notes due September 2039</w:t>
            </w:r>
          </w:p>
        </w:tc>
        <w:tc>
          <w:tcPr>
            <w:tcW w:w="2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4.75% senior notes due August 2043</w:t>
            </w:r>
          </w:p>
        </w:tc>
        <w:tc>
          <w:tcPr>
            <w:tcW w:w="2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6.7% senior notes due September 2038</w:t>
            </w:r>
          </w:p>
        </w:tc>
        <w:tc>
          <w:tcPr>
            <w:tcW w:w="2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4.5% senior notes due November 2041</w:t>
            </w:r>
          </w:p>
        </w:tc>
        <w:tc>
          <w:tcPr>
            <w:tcW w:w="2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3.8% senior notes due November 2025</w:t>
            </w:r>
          </w:p>
        </w:tc>
        <w:tc>
          <w:tcPr>
            <w:tcW w:w="2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7.6% senior debentures due August 2096</w:t>
            </w:r>
          </w:p>
        </w:tc>
        <w:tc>
          <w:tcPr>
            <w:tcW w:w="2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6.75% notes due February 2027</w:t>
            </w:r>
          </w:p>
        </w:tc>
        <w:tc>
          <w:tcPr>
            <w:tcW w:w="2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 and discounts</w:t>
            </w:r>
          </w:p>
        </w:tc>
        <w:tc>
          <w:tcPr>
            <w:tcW w:w="2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37"/>
        </w:trPr>
        <w:tc>
          <w:tcPr>
            <w:tcW w:w="5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debt</w:t>
            </w:r>
          </w:p>
        </w:tc>
        <w:tc>
          <w:tcPr>
            <w:tcW w:w="24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7,636</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7,928</w:t>
            </w:r>
          </w:p>
        </w:tc>
      </w:tr>
      <w:tr>
        <w:trPr>
          <w:trHeight w:val="20"/>
        </w:trPr>
        <w:tc>
          <w:tcPr>
            <w:tcW w:w="546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the year ended December 31, 2023 and December 31, 2022, there were no short-term borrowings or current maturities of long-term debt.</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Senior debt</w:t>
      </w:r>
    </w:p>
    <w:p>
      <w:pPr>
        <w:spacing w:after="0" w:line="34" w:lineRule="exact"/>
        <w:rPr>
          <w:sz w:val="20"/>
          <w:szCs w:val="20"/>
          <w:color w:val="auto"/>
        </w:rPr>
      </w:pPr>
    </w:p>
    <w:p>
      <w:pPr>
        <w:ind w:firstLine="619"/>
        <w:spacing w:after="0" w:line="266" w:lineRule="auto"/>
        <w:rPr>
          <w:sz w:val="20"/>
          <w:szCs w:val="20"/>
          <w:color w:val="auto"/>
        </w:rPr>
      </w:pPr>
      <w:r>
        <w:rPr>
          <w:rFonts w:ascii="Times New Roman" w:cs="Times New Roman" w:eastAsia="Times New Roman" w:hAnsi="Times New Roman"/>
          <w:sz w:val="17"/>
          <w:szCs w:val="17"/>
          <w:color w:val="auto"/>
        </w:rPr>
        <w:t>We may redeem all of our senior notes from time to time or all of the notes of each series at any time at the applicable redemption prices, plus accrued and unpaid interest. Our 6.75% notes due February 2027 and 7.6% senior debentures due August 2096 may not be redeemed prior to maturity.</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Repurchases of senior debt</w:t>
      </w:r>
    </w:p>
    <w:p>
      <w:pPr>
        <w:spacing w:after="0" w:line="34"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In August of 2023, we repurchased $150 million aggregate principal amount of various maturities of our outstanding debt, including: $15 million of our 3.8% senior notes due November 2025, $14 million of our 6.75% notes due February 2027, $21 million of our 6.7% senior notes due September 2038, $32 million of our 7.45% senior notes due September 2039, $60 million of our 5.0% senior notes due November 2045, and $8 million of our 7.6% senior debentures due August 2096.</w:t>
      </w:r>
    </w:p>
    <w:p>
      <w:pPr>
        <w:spacing w:after="0" w:line="203"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In November of 2023, we repurchased $150 million aggregate principal amount of various maturities of our outstanding debt, including: $3 million of our 3.8% senior notes due November 2025, $16 million of our 6.7% senior notes due September 2038, $22 million of our 7.45% senior notes due September 2039, $21 million of our 4.75% senior notes due August 2043, $29 million of our 5.0% senior notes due November 2045, and $58 million of our 7.6% senior notes due August 2096.</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0" w:name="page61"/>
    <w:bookmarkEnd w:id="60"/>
    <w:p>
      <w:pPr>
        <w:ind w:left="40"/>
        <w:spacing w:after="0"/>
        <w:tabs>
          <w:tab w:leader="none" w:pos="76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Consolidated Financial Statements</w:t>
      </w:r>
    </w:p>
    <w:p>
      <w:pPr>
        <w:spacing w:after="0" w:line="200" w:lineRule="exact"/>
        <w:rPr>
          <w:sz w:val="20"/>
          <w:szCs w:val="20"/>
          <w:color w:val="auto"/>
        </w:rPr>
      </w:pPr>
    </w:p>
    <w:p>
      <w:pPr>
        <w:spacing w:after="0" w:line="339" w:lineRule="exact"/>
        <w:rPr>
          <w:sz w:val="20"/>
          <w:szCs w:val="20"/>
          <w:color w:val="auto"/>
        </w:rPr>
      </w:pPr>
    </w:p>
    <w:p>
      <w:pPr>
        <w:ind w:right="420" w:firstLine="619"/>
        <w:spacing w:after="0" w:line="287" w:lineRule="auto"/>
        <w:rPr>
          <w:sz w:val="20"/>
          <w:szCs w:val="20"/>
          <w:color w:val="auto"/>
        </w:rPr>
      </w:pPr>
      <w:r>
        <w:rPr>
          <w:rFonts w:ascii="Times New Roman" w:cs="Times New Roman" w:eastAsia="Times New Roman" w:hAnsi="Times New Roman"/>
          <w:sz w:val="17"/>
          <w:szCs w:val="17"/>
          <w:color w:val="auto"/>
        </w:rPr>
        <w:t>We used cash on hand to fund these repurchases, which included the principal amount, a net premium, and accrued interest. The remaining principal balance of $5.2 billion in the aggregate of these debt instruments remains outstanding.</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Redemption of 3.8% senior notes due November 2025 redemption</w:t>
      </w:r>
    </w:p>
    <w:p>
      <w:pPr>
        <w:spacing w:after="0" w:line="34" w:lineRule="exact"/>
        <w:rPr>
          <w:sz w:val="20"/>
          <w:szCs w:val="20"/>
          <w:color w:val="auto"/>
        </w:rPr>
      </w:pPr>
    </w:p>
    <w:p>
      <w:pPr>
        <w:ind w:right="40" w:firstLine="619"/>
        <w:spacing w:after="0" w:line="256" w:lineRule="auto"/>
        <w:rPr>
          <w:sz w:val="20"/>
          <w:szCs w:val="20"/>
          <w:color w:val="auto"/>
        </w:rPr>
      </w:pPr>
      <w:r>
        <w:rPr>
          <w:rFonts w:ascii="Times New Roman" w:cs="Times New Roman" w:eastAsia="Times New Roman" w:hAnsi="Times New Roman"/>
          <w:sz w:val="17"/>
          <w:szCs w:val="17"/>
          <w:color w:val="auto"/>
        </w:rPr>
        <w:t>In February of 2022, we redeemed $600 million aggregate principal amount of our 3.8% senior notes due in November 2025. The early redemption of the notes resulted in a loss of $42 million, consisting of premiums and unamortized expenses. The loss is included in "Loss on early extinguishment of debt" in our consolidated statements of operations for the year ended December 31, 2022. We used cash on hand to fund the aggregate redemption price of the notes in the amount of $641 million, which included the principal amount, the make-whole premium, and accrued interest. The remaining $382 million aggregate principal amount of our 3.8% senior notes remains outstanding.</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Revolving credit facilities</w:t>
      </w:r>
    </w:p>
    <w:p>
      <w:pPr>
        <w:spacing w:after="0" w:line="34" w:lineRule="exact"/>
        <w:rPr>
          <w:sz w:val="20"/>
          <w:szCs w:val="20"/>
          <w:color w:val="auto"/>
        </w:rPr>
      </w:pPr>
    </w:p>
    <w:p>
      <w:pPr>
        <w:ind w:right="160" w:firstLine="619"/>
        <w:spacing w:after="0" w:line="266" w:lineRule="auto"/>
        <w:rPr>
          <w:sz w:val="20"/>
          <w:szCs w:val="20"/>
          <w:color w:val="auto"/>
        </w:rPr>
      </w:pPr>
      <w:r>
        <w:rPr>
          <w:rFonts w:ascii="Times New Roman" w:cs="Times New Roman" w:eastAsia="Times New Roman" w:hAnsi="Times New Roman"/>
          <w:sz w:val="17"/>
          <w:szCs w:val="17"/>
          <w:color w:val="auto"/>
        </w:rPr>
        <w:t>We have a revolving credit facility with a capacity of $3.5 billion, which expires in April 2027. The facility is for general working capital purposes. The full amount of the revolving credit facility was available as of December 31, 2023.</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Debt maturities</w:t>
      </w:r>
    </w:p>
    <w:p>
      <w:pPr>
        <w:spacing w:after="0" w:line="34" w:lineRule="exact"/>
        <w:rPr>
          <w:sz w:val="20"/>
          <w:szCs w:val="20"/>
          <w:color w:val="auto"/>
        </w:rPr>
      </w:pPr>
    </w:p>
    <w:p>
      <w:pPr>
        <w:ind w:right="60" w:firstLine="619"/>
        <w:spacing w:after="0" w:line="266" w:lineRule="auto"/>
        <w:rPr>
          <w:sz w:val="20"/>
          <w:szCs w:val="20"/>
          <w:color w:val="auto"/>
        </w:rPr>
      </w:pPr>
      <w:r>
        <w:rPr>
          <w:rFonts w:ascii="Times New Roman" w:cs="Times New Roman" w:eastAsia="Times New Roman" w:hAnsi="Times New Roman"/>
          <w:sz w:val="17"/>
          <w:szCs w:val="17"/>
          <w:color w:val="auto"/>
        </w:rPr>
        <w:t>Our long-term debt matures as follows: no amounts in 2024, $382 million in 2025, no amounts in 2026, $90 million in 2027, no amounts in 2028, and the remainder thereafter.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Commitments and Contingencies</w:t>
      </w:r>
    </w:p>
    <w:p>
      <w:pPr>
        <w:spacing w:after="0" w:line="32" w:lineRule="exact"/>
        <w:rPr>
          <w:sz w:val="20"/>
          <w:szCs w:val="20"/>
          <w:color w:val="auto"/>
        </w:rPr>
      </w:pPr>
    </w:p>
    <w:p>
      <w:pPr>
        <w:ind w:right="80" w:firstLine="619"/>
        <w:spacing w:after="0" w:line="257" w:lineRule="auto"/>
        <w:rPr>
          <w:sz w:val="20"/>
          <w:szCs w:val="20"/>
          <w:color w:val="auto"/>
        </w:rPr>
      </w:pPr>
      <w:r>
        <w:rPr>
          <w:rFonts w:ascii="Times New Roman" w:cs="Times New Roman" w:eastAsia="Times New Roman" w:hAnsi="Times New Roman"/>
          <w:sz w:val="17"/>
          <w:szCs w:val="17"/>
          <w:color w:val="auto"/>
        </w:rPr>
        <w:t>The Company is subject to various legal or governmental proceedings, claims or investigations, including personal injury, property damage, environmental, intellectual property, commercial, tax, and other matters arising in the ordinary course of business, the resolution of which, in the opinion of management, will not have a material adverse effect on our consolidated results of operations or consolidated financial position. There is inherent risk in any legal or governmental proceeding, claim or investigation, and no assurance can be given as to the outcome of these proceedings.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Guarantee arrangements</w:t>
      </w:r>
    </w:p>
    <w:p>
      <w:pPr>
        <w:spacing w:after="0" w:line="34" w:lineRule="exact"/>
        <w:rPr>
          <w:sz w:val="20"/>
          <w:szCs w:val="20"/>
          <w:color w:val="auto"/>
        </w:rPr>
      </w:pPr>
    </w:p>
    <w:p>
      <w:pPr>
        <w:ind w:right="40" w:firstLine="619"/>
        <w:spacing w:after="0" w:line="257" w:lineRule="auto"/>
        <w:rPr>
          <w:sz w:val="20"/>
          <w:szCs w:val="20"/>
          <w:color w:val="auto"/>
        </w:rPr>
      </w:pPr>
      <w:r>
        <w:rPr>
          <w:rFonts w:ascii="Times New Roman" w:cs="Times New Roman" w:eastAsia="Times New Roman" w:hAnsi="Times New Roman"/>
          <w:sz w:val="17"/>
          <w:szCs w:val="17"/>
          <w:color w:val="auto"/>
        </w:rPr>
        <w:t>In the normal course of business, we have in place agreements with financial institutions under which approximately $2.6 billion of letters of credit, bank guarantees, or surety bonds were outstanding as of December 31, 2023. Some of the outstanding letters of credit have triggering events that would entitle a bank to require cash collateralization. None of these off- balance sheet arrangements either has, or is likely to have, a material effect on our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Income Taxes</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components of the (provision) benefit for income taxes on continuing operations were as follows:</w:t>
      </w:r>
    </w:p>
    <w:p>
      <w:pPr>
        <w:spacing w:after="0" w:line="33" w:lineRule="exact"/>
        <w:rPr>
          <w:sz w:val="20"/>
          <w:szCs w:val="20"/>
          <w:color w:val="auto"/>
        </w:rPr>
      </w:pPr>
    </w:p>
    <w:tbl>
      <w:tblPr>
        <w:tblLayout w:type="fixed"/>
        <w:tblInd w:w="1520" w:type="dxa"/>
        <w:tblCellMar>
          <w:top w:w="0" w:type="dxa"/>
          <w:left w:w="0" w:type="dxa"/>
          <w:bottom w:w="0" w:type="dxa"/>
          <w:right w:w="0" w:type="dxa"/>
        </w:tblCellMar>
      </w:tblPr>
      <w:tr>
        <w:trPr>
          <w:trHeight w:val="223"/>
        </w:trPr>
        <w:tc>
          <w:tcPr>
            <w:tcW w:w="5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Year Ended December 31</w:t>
            </w:r>
          </w:p>
        </w:tc>
        <w:tc>
          <w:tcPr>
            <w:tcW w:w="800" w:type="dxa"/>
            <w:vAlign w:val="bottom"/>
            <w:tcBorders>
              <w:bottom w:val="single" w:sz="8" w:color="auto"/>
            </w:tcBorders>
          </w:tcPr>
          <w:p>
            <w:pPr>
              <w:spacing w:after="0"/>
              <w:rPr>
                <w:sz w:val="19"/>
                <w:szCs w:val="19"/>
                <w:color w:val="auto"/>
              </w:rPr>
            </w:pPr>
          </w:p>
        </w:tc>
      </w:tr>
      <w:tr>
        <w:trPr>
          <w:trHeight w:val="212"/>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2023</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2022</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income taxes: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r>
      <w:tr>
        <w:trPr>
          <w:trHeight w:val="219"/>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State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2"/>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income taxes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r>
      <w:tr>
        <w:trPr>
          <w:trHeight w:val="21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w:t>
            </w: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9"/>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deferred income taxes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w:t>
            </w:r>
          </w:p>
        </w:tc>
      </w:tr>
      <w:tr>
        <w:trPr>
          <w:trHeight w:val="237"/>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(provision) benefit</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r>
      <w:tr>
        <w:trPr>
          <w:trHeight w:val="20"/>
        </w:trPr>
        <w:tc>
          <w:tcPr>
            <w:tcW w:w="5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United States and foreign components of income from continuing operations before income taxes were as follows:</w:t>
      </w:r>
    </w:p>
    <w:p>
      <w:pPr>
        <w:spacing w:after="0" w:line="49" w:lineRule="exact"/>
        <w:rPr>
          <w:sz w:val="20"/>
          <w:szCs w:val="20"/>
          <w:color w:val="auto"/>
        </w:rPr>
      </w:pPr>
    </w:p>
    <w:tbl>
      <w:tblPr>
        <w:tblLayout w:type="fixed"/>
        <w:tblInd w:w="1560" w:type="dxa"/>
        <w:tblCellMar>
          <w:top w:w="0" w:type="dxa"/>
          <w:left w:w="0" w:type="dxa"/>
          <w:bottom w:w="0" w:type="dxa"/>
          <w:right w:w="0" w:type="dxa"/>
        </w:tblCellMar>
      </w:tblPr>
      <w:tr>
        <w:trPr>
          <w:trHeight w:val="223"/>
        </w:trPr>
        <w:tc>
          <w:tcPr>
            <w:tcW w:w="5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Year Ended December 31</w:t>
            </w:r>
          </w:p>
        </w:tc>
        <w:tc>
          <w:tcPr>
            <w:tcW w:w="780" w:type="dxa"/>
            <w:vAlign w:val="bottom"/>
            <w:tcBorders>
              <w:bottom w:val="single" w:sz="8" w:color="auto"/>
            </w:tcBorders>
          </w:tcPr>
          <w:p>
            <w:pPr>
              <w:spacing w:after="0"/>
              <w:rPr>
                <w:sz w:val="19"/>
                <w:szCs w:val="19"/>
                <w:color w:val="auto"/>
              </w:rPr>
            </w:pPr>
          </w:p>
        </w:tc>
      </w:tr>
      <w:tr>
        <w:trPr>
          <w:trHeight w:val="212"/>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2023</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2022</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w:t>
            </w:r>
          </w:p>
        </w:tc>
        <w:tc>
          <w:tcPr>
            <w:tcW w:w="2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3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19"/>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Foreign</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1,697</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969</w:t>
            </w:r>
          </w:p>
        </w:tc>
      </w:tr>
      <w:tr>
        <w:trPr>
          <w:trHeight w:val="237"/>
        </w:trPr>
        <w:tc>
          <w:tcPr>
            <w:tcW w:w="5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income from continuing operations before income taxes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3,363</w:t>
            </w:r>
          </w:p>
        </w:tc>
        <w:tc>
          <w:tcPr>
            <w:tcW w:w="2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w:t>
            </w:r>
          </w:p>
        </w:tc>
        <w:tc>
          <w:tcPr>
            <w:tcW w:w="3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w:t>
            </w:r>
          </w:p>
        </w:tc>
      </w:tr>
      <w:tr>
        <w:trPr>
          <w:trHeight w:val="20"/>
        </w:trPr>
        <w:tc>
          <w:tcPr>
            <w:tcW w:w="5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1" w:name="page62"/>
    <w:bookmarkEnd w:id="61"/>
    <w:p>
      <w:pPr>
        <w:ind w:left="40"/>
        <w:spacing w:after="0"/>
        <w:tabs>
          <w:tab w:leader="none" w:pos="76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580" w:firstLine="619"/>
        <w:spacing w:after="0" w:line="276" w:lineRule="auto"/>
        <w:rPr>
          <w:sz w:val="20"/>
          <w:szCs w:val="20"/>
          <w:color w:val="auto"/>
        </w:rPr>
      </w:pPr>
      <w:r>
        <w:rPr>
          <w:rFonts w:ascii="Times New Roman" w:cs="Times New Roman" w:eastAsia="Times New Roman" w:hAnsi="Times New Roman"/>
          <w:sz w:val="17"/>
          <w:szCs w:val="17"/>
          <w:color w:val="auto"/>
        </w:rPr>
        <w:t>Reconciliations between the actual (provision) benefit for income taxes on continuing operations and that computed by applying the United States statutory rate to income from continuing operations before income taxes were as follows:</w:t>
      </w:r>
    </w:p>
    <w:p>
      <w:pPr>
        <w:spacing w:after="0" w:line="2" w:lineRule="exact"/>
        <w:rPr>
          <w:sz w:val="20"/>
          <w:szCs w:val="20"/>
          <w:color w:val="auto"/>
        </w:rPr>
      </w:pPr>
    </w:p>
    <w:tbl>
      <w:tblPr>
        <w:tblLayout w:type="fixed"/>
        <w:tblInd w:w="1560" w:type="dxa"/>
        <w:tblCellMar>
          <w:top w:w="0" w:type="dxa"/>
          <w:left w:w="0" w:type="dxa"/>
          <w:bottom w:w="0" w:type="dxa"/>
          <w:right w:w="0" w:type="dxa"/>
        </w:tblCellMar>
      </w:tblPr>
      <w:tr>
        <w:trPr>
          <w:trHeight w:val="223"/>
        </w:trPr>
        <w:tc>
          <w:tcPr>
            <w:tcW w:w="5160" w:type="dxa"/>
            <w:vAlign w:val="bottom"/>
          </w:tcPr>
          <w:p>
            <w:pPr>
              <w:spacing w:after="0"/>
              <w:rPr>
                <w:sz w:val="19"/>
                <w:szCs w:val="19"/>
                <w:color w:val="auto"/>
              </w:rPr>
            </w:pPr>
          </w:p>
        </w:tc>
        <w:tc>
          <w:tcPr>
            <w:tcW w:w="2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Year Ended December 31</w:t>
            </w:r>
          </w:p>
        </w:tc>
        <w:tc>
          <w:tcPr>
            <w:tcW w:w="840" w:type="dxa"/>
            <w:vAlign w:val="bottom"/>
            <w:tcBorders>
              <w:bottom w:val="single" w:sz="8" w:color="auto"/>
            </w:tcBorders>
          </w:tcPr>
          <w:p>
            <w:pPr>
              <w:spacing w:after="0"/>
              <w:rPr>
                <w:sz w:val="19"/>
                <w:szCs w:val="19"/>
                <w:color w:val="auto"/>
              </w:rPr>
            </w:pPr>
          </w:p>
        </w:tc>
      </w:tr>
      <w:tr>
        <w:trPr>
          <w:trHeight w:val="212"/>
        </w:trPr>
        <w:tc>
          <w:tcPr>
            <w:tcW w:w="5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2023</w:t>
            </w:r>
          </w:p>
        </w:tc>
        <w:tc>
          <w:tcPr>
            <w:tcW w:w="13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rPr>
              <w:t>2022</w:t>
            </w:r>
          </w:p>
        </w:tc>
        <w:tc>
          <w:tcPr>
            <w:tcW w:w="8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 statutory rate</w:t>
            </w: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21.0 %</w:t>
            </w:r>
          </w:p>
        </w:tc>
        <w:tc>
          <w:tcPr>
            <w:tcW w:w="136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21.0 %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19"/>
        </w:trPr>
        <w:tc>
          <w:tcPr>
            <w:tcW w:w="5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Valuation allowance against tax assets</w:t>
            </w:r>
          </w:p>
        </w:tc>
        <w:tc>
          <w:tcPr>
            <w:tcW w:w="140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0.8</w:t>
            </w:r>
          </w:p>
        </w:tc>
        <w:tc>
          <w:tcPr>
            <w:tcW w:w="136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(2.9)</w:t>
            </w:r>
          </w:p>
        </w:tc>
        <w:tc>
          <w:tcPr>
            <w:tcW w:w="8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(44.5)</w:t>
            </w:r>
          </w:p>
        </w:tc>
      </w:tr>
      <w:tr>
        <w:trPr>
          <w:trHeight w:val="219"/>
        </w:trPr>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Impact of foreign income taxed at different rates</w:t>
            </w:r>
          </w:p>
        </w:tc>
        <w:tc>
          <w:tcPr>
            <w:tcW w:w="14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0.2</w:t>
            </w:r>
          </w:p>
        </w:tc>
        <w:tc>
          <w:tcPr>
            <w:tcW w:w="136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3.0</w:t>
            </w:r>
          </w:p>
        </w:tc>
        <w:tc>
          <w:tcPr>
            <w:tcW w:w="8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2.5</w:t>
            </w:r>
          </w:p>
        </w:tc>
      </w:tr>
      <w:tr>
        <w:trPr>
          <w:trHeight w:val="219"/>
        </w:trPr>
        <w:tc>
          <w:tcPr>
            <w:tcW w:w="5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State income taxes</w:t>
            </w:r>
          </w:p>
        </w:tc>
        <w:tc>
          <w:tcPr>
            <w:tcW w:w="140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0.7</w:t>
            </w:r>
          </w:p>
        </w:tc>
        <w:tc>
          <w:tcPr>
            <w:tcW w:w="136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0.8</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Impact of impairments and other charges</w:t>
            </w:r>
          </w:p>
        </w:tc>
        <w:tc>
          <w:tcPr>
            <w:tcW w:w="14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0.6</w:t>
            </w:r>
          </w:p>
        </w:tc>
        <w:tc>
          <w:tcPr>
            <w:tcW w:w="136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0.7</w:t>
            </w:r>
          </w:p>
        </w:tc>
        <w:tc>
          <w:tcPr>
            <w:tcW w:w="8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Adjustments of prior year taxes</w:t>
            </w:r>
          </w:p>
        </w:tc>
        <w:tc>
          <w:tcPr>
            <w:tcW w:w="140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(1.3)</w:t>
            </w:r>
          </w:p>
        </w:tc>
        <w:tc>
          <w:tcPr>
            <w:tcW w:w="136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0.2</w:t>
            </w: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51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items, net</w:t>
            </w:r>
          </w:p>
        </w:tc>
        <w:tc>
          <w:tcPr>
            <w:tcW w:w="140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(1.2)</w:t>
            </w:r>
          </w:p>
        </w:tc>
        <w:tc>
          <w:tcPr>
            <w:tcW w:w="136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1.6</w:t>
            </w:r>
          </w:p>
        </w:tc>
        <w:tc>
          <w:tcPr>
            <w:tcW w:w="8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w:t>
            </w:r>
          </w:p>
        </w:tc>
      </w:tr>
      <w:tr>
        <w:trPr>
          <w:trHeight w:val="212"/>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effective tax rate on continuing operations</w:t>
            </w: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20.8 %</w:t>
            </w:r>
          </w:p>
        </w:tc>
        <w:tc>
          <w:tcPr>
            <w:tcW w:w="13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24.4 %</w:t>
            </w:r>
          </w:p>
        </w:tc>
        <w:tc>
          <w:tcPr>
            <w:tcW w:w="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(17.2)%</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2023, we recorded a total income tax provision of $701 million on pre-tax income of $3.4 billion, resulting in an effective tax rate of 20.8%. The effective tax rate for 2023 was primarily impacted by our geographic mix of earnings, tax adjustments related to the reassessment of prior year tax accruals, and changes of valuation allowance on some of our deferred tax assets.</w:t>
      </w:r>
    </w:p>
    <w:p>
      <w:pPr>
        <w:spacing w:after="0" w:line="191" w:lineRule="exact"/>
        <w:rPr>
          <w:sz w:val="20"/>
          <w:szCs w:val="20"/>
          <w:color w:val="auto"/>
        </w:rPr>
      </w:pPr>
    </w:p>
    <w:p>
      <w:pPr>
        <w:ind w:right="120" w:firstLine="619"/>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2022, we recorded a total income tax provision of $515 million on pre-tax income of $2.1 billion, resulting in an effective tax rate of 24.4%. The effective tax rate for 2022 was primarily impacted by our geographic mix of earnings, tax adjustments related to the reassessment of prior year tax accruals, and valuation allowances on some of our deferred tax assets.</w:t>
      </w:r>
    </w:p>
    <w:p>
      <w:pPr>
        <w:spacing w:after="0" w:line="191"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2021, we recorded a total income tax benefit of $216 million on pre-tax income of $1.3 billion, resulting in an effective tax rate of -17.2%. The effective tax rate for 2021 was primarily impacted by our geographic mix of earnings, tax adjustments related to the reassessment of prior year tax accruals, and valuation allowances on some of our deferred tax assets.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2" w:name="page63"/>
    <w:bookmarkEnd w:id="62"/>
    <w:p>
      <w:pPr>
        <w:ind w:left="40"/>
        <w:spacing w:after="0"/>
        <w:tabs>
          <w:tab w:leader="none" w:pos="76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Consolidated Financial Statements</w:t>
      </w:r>
    </w:p>
    <w:p>
      <w:pPr>
        <w:spacing w:after="0" w:line="200" w:lineRule="exact"/>
        <w:rPr>
          <w:sz w:val="20"/>
          <w:szCs w:val="20"/>
          <w:color w:val="auto"/>
        </w:rPr>
      </w:pPr>
    </w:p>
    <w:p>
      <w:pPr>
        <w:spacing w:after="0" w:line="339"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7"/>
                <w:szCs w:val="17"/>
                <w:color w:val="auto"/>
              </w:rPr>
              <w:t>The primary components of our deferred tax assets and liabilities were as follows: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45"/>
        </w:trPr>
        <w:tc>
          <w:tcPr>
            <w:tcW w:w="87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314"/>
              <w:spacing w:after="0"/>
              <w:rPr>
                <w:sz w:val="20"/>
                <w:szCs w:val="20"/>
                <w:color w:val="auto"/>
              </w:rPr>
            </w:pPr>
            <w:r>
              <w:rPr>
                <w:rFonts w:ascii="Times New Roman" w:cs="Times New Roman" w:eastAsia="Times New Roman" w:hAnsi="Times New Roman"/>
                <w:sz w:val="17"/>
                <w:szCs w:val="17"/>
                <w:color w:val="auto"/>
              </w:rPr>
              <w:t>December 31</w:t>
            </w:r>
          </w:p>
        </w:tc>
      </w:tr>
      <w:tr>
        <w:trPr>
          <w:trHeight w:val="212"/>
        </w:trPr>
        <w:tc>
          <w:tcPr>
            <w:tcW w:w="8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2023</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deferred tax assets: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9"/>
        </w:trPr>
        <w:tc>
          <w:tcPr>
            <w:tcW w:w="8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Foreign tax credit carryforwards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2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9"/>
        </w:trPr>
        <w:tc>
          <w:tcPr>
            <w:tcW w:w="8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Intangible assets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9"/>
        </w:trPr>
        <w:tc>
          <w:tcPr>
            <w:tcW w:w="8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8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liabilities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8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Research and development tax credit carryforwards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8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Employee compensation and benefits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87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2"/>
        </w:trPr>
        <w:tc>
          <w:tcPr>
            <w:tcW w:w="8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gross deferred tax assets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3,592</w:t>
            </w: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2"/>
        </w:trPr>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deferred tax liabilities: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8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87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9"/>
        </w:trPr>
        <w:tc>
          <w:tcPr>
            <w:tcW w:w="87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r>
      <w:tr>
        <w:trPr>
          <w:trHeight w:val="212"/>
        </w:trPr>
        <w:tc>
          <w:tcPr>
            <w:tcW w:w="8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gross deferred tax liabilities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8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Valuation allowances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2"/>
        </w:trPr>
        <w:tc>
          <w:tcPr>
            <w:tcW w:w="8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deferred income tax asset</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2,476</w:t>
            </w:r>
          </w:p>
        </w:tc>
        <w:tc>
          <w:tcPr>
            <w:tcW w:w="2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0"/>
        </w:trPr>
        <w:tc>
          <w:tcPr>
            <w:tcW w:w="8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80" w:firstLine="619"/>
        <w:spacing w:after="0" w:line="264" w:lineRule="auto"/>
        <w:rPr>
          <w:sz w:val="20"/>
          <w:szCs w:val="20"/>
          <w:color w:val="auto"/>
        </w:rPr>
      </w:pPr>
      <w:r>
        <w:rPr>
          <w:rFonts w:ascii="Times New Roman" w:cs="Times New Roman" w:eastAsia="Times New Roman" w:hAnsi="Times New Roman"/>
          <w:sz w:val="17"/>
          <w:szCs w:val="17"/>
          <w:color w:val="auto"/>
        </w:rPr>
        <w:t>At December 31, 2023, we had $686 million of domestic and foreign tax-effected net operating loss carryforwards, with approximately $23 million estimated to be utilized against our unrecognized tax benefits. In addition, we had approximately $924 million of foreign tax credit carryforwards which are offset by $22 million of foreign branch deferred activity and unrecognized tax benefits reflected in the table above. The ultimate realization of these deferred tax assets depends on our ability to generate sufficient taxable income in the appropriate taxing jurisdiction.</w:t>
      </w:r>
    </w:p>
    <w:p>
      <w:pPr>
        <w:spacing w:after="0" w:line="197"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9380" w:type="dxa"/>
            <w:vAlign w:val="bottom"/>
            <w:gridSpan w:val="8"/>
          </w:tcPr>
          <w:p>
            <w:pPr>
              <w:ind w:left="40"/>
              <w:spacing w:after="0"/>
              <w:rPr>
                <w:sz w:val="20"/>
                <w:szCs w:val="20"/>
                <w:color w:val="auto"/>
              </w:rPr>
            </w:pPr>
            <w:r>
              <w:rPr>
                <w:rFonts w:ascii="Times New Roman" w:cs="Times New Roman" w:eastAsia="Times New Roman" w:hAnsi="Times New Roman"/>
                <w:sz w:val="17"/>
                <w:szCs w:val="17"/>
                <w:color w:val="auto"/>
              </w:rPr>
              <w:t>Our deferred tax assets from net operating losses, foreign tax credits, and research and development credits will expire as follows:</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ind w:right="54"/>
              <w:spacing w:after="0" w:line="193" w:lineRule="exact"/>
              <w:rPr>
                <w:sz w:val="20"/>
                <w:szCs w:val="20"/>
                <w:color w:val="auto"/>
              </w:rPr>
            </w:pPr>
            <w:r>
              <w:rPr>
                <w:rFonts w:ascii="Times New Roman" w:cs="Times New Roman" w:eastAsia="Times New Roman" w:hAnsi="Times New Roman"/>
                <w:sz w:val="17"/>
                <w:szCs w:val="17"/>
                <w:color w:val="auto"/>
              </w:rPr>
              <w:t>Foreign Net Operating</w:t>
            </w: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Research and</w:t>
            </w:r>
          </w:p>
        </w:tc>
        <w:tc>
          <w:tcPr>
            <w:tcW w:w="380" w:type="dxa"/>
            <w:vAlign w:val="bottom"/>
          </w:tcPr>
          <w:p>
            <w:pPr>
              <w:spacing w:after="0"/>
              <w:rPr>
                <w:sz w:val="16"/>
                <w:szCs w:val="16"/>
                <w:color w:val="auto"/>
              </w:rPr>
            </w:pPr>
          </w:p>
        </w:tc>
        <w:tc>
          <w:tcPr>
            <w:tcW w:w="96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Total Deferr</w:t>
            </w:r>
          </w:p>
        </w:tc>
        <w:tc>
          <w:tcPr>
            <w:tcW w:w="0" w:type="dxa"/>
            <w:vAlign w:val="bottom"/>
          </w:tcPr>
          <w:p>
            <w:pPr>
              <w:spacing w:after="0"/>
              <w:rPr>
                <w:sz w:val="1"/>
                <w:szCs w:val="1"/>
                <w:color w:val="auto"/>
              </w:rPr>
            </w:pPr>
          </w:p>
        </w:tc>
      </w:tr>
      <w:tr>
        <w:trPr>
          <w:trHeight w:val="232"/>
        </w:trPr>
        <w:tc>
          <w:tcPr>
            <w:tcW w:w="21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 Net Operating Loss</w:t>
            </w: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Loss</w:t>
            </w: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Foreign Tax Credits</w:t>
            </w:r>
          </w:p>
        </w:tc>
        <w:tc>
          <w:tcPr>
            <w:tcW w:w="1900" w:type="dxa"/>
            <w:vAlign w:val="bottom"/>
            <w:tcBorders>
              <w:bottom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Development Credit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Assets</w:t>
            </w:r>
          </w:p>
        </w:tc>
        <w:tc>
          <w:tcPr>
            <w:tcW w:w="0" w:type="dxa"/>
            <w:vAlign w:val="bottom"/>
          </w:tcPr>
          <w:p>
            <w:pPr>
              <w:spacing w:after="0"/>
              <w:rPr>
                <w:sz w:val="1"/>
                <w:szCs w:val="1"/>
                <w:color w:val="auto"/>
              </w:rPr>
            </w:pPr>
          </w:p>
        </w:tc>
      </w:tr>
      <w:tr>
        <w:trPr>
          <w:trHeight w:val="212"/>
        </w:trPr>
        <w:tc>
          <w:tcPr>
            <w:tcW w:w="2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2024-2028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520" w:type="dxa"/>
            <w:vAlign w:val="bottom"/>
          </w:tcPr>
          <w:p>
            <w:pPr>
              <w:jc w:val="right"/>
              <w:ind w:right="131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734"/>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2029-2033</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5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2034-2043</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Non-Expiring</w:t>
            </w:r>
          </w:p>
        </w:tc>
        <w:tc>
          <w:tcPr>
            <w:tcW w:w="1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924</w:t>
            </w:r>
          </w:p>
        </w:tc>
        <w:tc>
          <w:tcPr>
            <w:tcW w:w="1520" w:type="dxa"/>
            <w:vAlign w:val="bottom"/>
            <w:tcBorders>
              <w:bottom w:val="single" w:sz="8" w:color="auto"/>
            </w:tcBorders>
          </w:tcPr>
          <w:p>
            <w:pPr>
              <w:jc w:val="right"/>
              <w:ind w:right="131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96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right="140" w:firstLine="619"/>
        <w:spacing w:after="0" w:line="270" w:lineRule="auto"/>
        <w:rPr>
          <w:sz w:val="20"/>
          <w:szCs w:val="20"/>
          <w:color w:val="auto"/>
        </w:rPr>
      </w:pPr>
      <w:r>
        <w:rPr>
          <w:rFonts w:ascii="Times New Roman" w:cs="Times New Roman" w:eastAsia="Times New Roman" w:hAnsi="Times New Roman"/>
          <w:sz w:val="17"/>
          <w:szCs w:val="17"/>
          <w:color w:val="auto"/>
        </w:rPr>
        <w:t>We have not provided incremental United States income taxes or foreign withholding taxes on undistributed foreign subsidiaries' earnings after December 31, 2017. We generally do not provide for taxes related to undistributed earnings because such earnings either would not be taxable when remitted or they are considered to be indefinitely reinvested.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7"/>
          <w:szCs w:val="17"/>
          <w:color w:val="auto"/>
        </w:rPr>
        <w:t>HAL 2023 FORM 10-K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62" w:right="239" w:bottom="1440" w:gutter="0" w:footer="0" w:header="0"/>
        </w:sectPr>
      </w:pPr>
    </w:p>
    <w:bookmarkStart w:id="63" w:name="page64"/>
    <w:bookmarkEnd w:id="63"/>
    <w:tbl>
      <w:tblPr>
        <w:tblLayout w:type="fixed"/>
        <w:tblInd w:w="40" w:type="dxa"/>
        <w:tblCellMar>
          <w:top w:w="0" w:type="dxa"/>
          <w:left w:w="0" w:type="dxa"/>
          <w:bottom w:w="0" w:type="dxa"/>
          <w:right w:w="0" w:type="dxa"/>
        </w:tblCellMar>
      </w:tblPr>
      <w:tr>
        <w:trPr>
          <w:trHeight w:val="195"/>
        </w:trPr>
        <w:tc>
          <w:tcPr>
            <w:tcW w:w="1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4300" w:type="dxa"/>
            <w:vAlign w:val="bottom"/>
          </w:tcPr>
          <w:p>
            <w:pPr>
              <w:spacing w:after="0"/>
              <w:rPr>
                <w:sz w:val="17"/>
                <w:szCs w:val="17"/>
                <w:color w:val="auto"/>
              </w:rPr>
            </w:pPr>
          </w:p>
        </w:tc>
        <w:tc>
          <w:tcPr>
            <w:tcW w:w="5660" w:type="dxa"/>
            <w:vAlign w:val="bottom"/>
            <w:gridSpan w:val="6"/>
          </w:tcPr>
          <w:p>
            <w:pPr>
              <w:ind w:left="2080"/>
              <w:spacing w:after="0"/>
              <w:rPr>
                <w:sz w:val="20"/>
                <w:szCs w:val="20"/>
                <w:color w:val="auto"/>
              </w:rPr>
            </w:pPr>
            <w:r>
              <w:rPr>
                <w:rFonts w:ascii="Times New Roman" w:cs="Times New Roman" w:eastAsia="Times New Roman" w:hAnsi="Times New Roman"/>
                <w:sz w:val="17"/>
                <w:szCs w:val="17"/>
                <w:color w:val="auto"/>
              </w:rPr>
              <w:t>Item 8 | Notes to Consolidated Financial Statements</w:t>
            </w:r>
          </w:p>
        </w:tc>
        <w:tc>
          <w:tcPr>
            <w:tcW w:w="0" w:type="dxa"/>
            <w:vAlign w:val="bottom"/>
          </w:tcPr>
          <w:p>
            <w:pPr>
              <w:spacing w:after="0"/>
              <w:rPr>
                <w:sz w:val="1"/>
                <w:szCs w:val="1"/>
                <w:color w:val="auto"/>
              </w:rPr>
            </w:pPr>
          </w:p>
        </w:tc>
      </w:tr>
      <w:tr>
        <w:trPr>
          <w:trHeight w:val="754"/>
        </w:trPr>
        <w:tc>
          <w:tcPr>
            <w:tcW w:w="8600" w:type="dxa"/>
            <w:vAlign w:val="bottom"/>
            <w:gridSpan w:val="4"/>
          </w:tcPr>
          <w:p>
            <w:pPr>
              <w:jc w:val="right"/>
              <w:ind w:right="174"/>
              <w:spacing w:after="0"/>
              <w:rPr>
                <w:sz w:val="20"/>
                <w:szCs w:val="20"/>
                <w:color w:val="auto"/>
              </w:rPr>
            </w:pPr>
            <w:r>
              <w:rPr>
                <w:rFonts w:ascii="Times New Roman" w:cs="Times New Roman" w:eastAsia="Times New Roman" w:hAnsi="Times New Roman"/>
                <w:sz w:val="17"/>
                <w:szCs w:val="17"/>
                <w:color w:val="auto"/>
              </w:rPr>
              <w:t>The following table presents a rollforward of our unrecognized tax benefits and associated interest and penalties.</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4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344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7"/>
                <w:szCs w:val="17"/>
                <w:color w:val="auto"/>
              </w:rPr>
              <w:t>Unrecognized Tax</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ind w:left="260"/>
              <w:spacing w:after="0" w:line="193" w:lineRule="exact"/>
              <w:rPr>
                <w:sz w:val="20"/>
                <w:szCs w:val="20"/>
                <w:color w:val="auto"/>
              </w:rPr>
            </w:pPr>
            <w:r>
              <w:rPr>
                <w:rFonts w:ascii="Times New Roman" w:cs="Times New Roman" w:eastAsia="Times New Roman" w:hAnsi="Times New Roman"/>
                <w:sz w:val="17"/>
                <w:szCs w:val="17"/>
                <w:color w:val="auto"/>
              </w:rPr>
              <w:t>Interest</w:t>
            </w:r>
          </w:p>
        </w:tc>
        <w:tc>
          <w:tcPr>
            <w:tcW w:w="0" w:type="dxa"/>
            <w:vAlign w:val="bottom"/>
          </w:tcPr>
          <w:p>
            <w:pPr>
              <w:spacing w:after="0"/>
              <w:rPr>
                <w:sz w:val="1"/>
                <w:szCs w:val="1"/>
                <w:color w:val="auto"/>
              </w:rPr>
            </w:pPr>
          </w:p>
        </w:tc>
      </w:tr>
      <w:tr>
        <w:trPr>
          <w:trHeight w:val="232"/>
        </w:trPr>
        <w:tc>
          <w:tcPr>
            <w:tcW w:w="680" w:type="dxa"/>
            <w:vAlign w:val="bottom"/>
          </w:tcPr>
          <w:p>
            <w:pPr>
              <w:spacing w:after="0"/>
              <w:rPr>
                <w:sz w:val="20"/>
                <w:szCs w:val="20"/>
                <w:color w:val="auto"/>
              </w:rPr>
            </w:pPr>
          </w:p>
        </w:tc>
        <w:tc>
          <w:tcPr>
            <w:tcW w:w="4840" w:type="dxa"/>
            <w:vAlign w:val="bottom"/>
            <w:gridSpan w:val="2"/>
            <w:vMerge w:val="continue"/>
          </w:tcPr>
          <w:p>
            <w:pPr>
              <w:spacing w:after="0"/>
              <w:rPr>
                <w:sz w:val="20"/>
                <w:szCs w:val="20"/>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Benefits</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and Penalties</w:t>
            </w:r>
          </w:p>
        </w:tc>
        <w:tc>
          <w:tcPr>
            <w:tcW w:w="0" w:type="dxa"/>
            <w:vAlign w:val="bottom"/>
          </w:tcPr>
          <w:p>
            <w:pPr>
              <w:spacing w:after="0"/>
              <w:rPr>
                <w:sz w:val="1"/>
                <w:szCs w:val="1"/>
                <w:color w:val="auto"/>
              </w:rPr>
            </w:pPr>
          </w:p>
        </w:tc>
      </w:tr>
      <w:tr>
        <w:trPr>
          <w:trHeight w:val="212"/>
        </w:trPr>
        <w:tc>
          <w:tcPr>
            <w:tcW w:w="680" w:type="dxa"/>
            <w:vAlign w:val="bottom"/>
          </w:tcPr>
          <w:p>
            <w:pPr>
              <w:spacing w:after="0"/>
              <w:rPr>
                <w:sz w:val="18"/>
                <w:szCs w:val="18"/>
                <w:color w:val="auto"/>
              </w:rPr>
            </w:pPr>
          </w:p>
        </w:tc>
        <w:tc>
          <w:tcPr>
            <w:tcW w:w="48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January 1, 2021</w:t>
            </w:r>
          </w:p>
        </w:tc>
        <w:tc>
          <w:tcPr>
            <w:tcW w:w="3080" w:type="dxa"/>
            <w:vAlign w:val="bottom"/>
            <w:tcBorders>
              <w:top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 w:type="dxa"/>
            <w:vAlign w:val="bottom"/>
          </w:tcPr>
          <w:p>
            <w:pPr>
              <w:spacing w:after="0"/>
              <w:rPr>
                <w:sz w:val="19"/>
                <w:szCs w:val="19"/>
                <w:color w:val="auto"/>
              </w:rPr>
            </w:pP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Change in prior year tax positions</w:t>
            </w:r>
          </w:p>
        </w:tc>
        <w:tc>
          <w:tcPr>
            <w:tcW w:w="3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0" w:type="dxa"/>
            <w:vAlign w:val="bottom"/>
          </w:tcPr>
          <w:p>
            <w:pPr>
              <w:spacing w:after="0"/>
              <w:rPr>
                <w:sz w:val="19"/>
                <w:szCs w:val="19"/>
                <w:color w:val="auto"/>
              </w:rPr>
            </w:pPr>
          </w:p>
        </w:tc>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current year tax positions</w:t>
            </w:r>
          </w:p>
        </w:tc>
        <w:tc>
          <w:tcPr>
            <w:tcW w:w="3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0" w:type="dxa"/>
            <w:vAlign w:val="bottom"/>
          </w:tcPr>
          <w:p>
            <w:pPr>
              <w:spacing w:after="0"/>
              <w:rPr>
                <w:sz w:val="19"/>
                <w:szCs w:val="19"/>
                <w:color w:val="auto"/>
              </w:rPr>
            </w:pP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settlements with taxing authorities</w:t>
            </w:r>
          </w:p>
        </w:tc>
        <w:tc>
          <w:tcPr>
            <w:tcW w:w="3080" w:type="dxa"/>
            <w:vAlign w:val="bottom"/>
          </w:tcPr>
          <w:p>
            <w:pPr>
              <w:spacing w:after="0"/>
              <w:rPr>
                <w:sz w:val="19"/>
                <w:szCs w:val="19"/>
                <w:color w:val="auto"/>
              </w:rPr>
            </w:pPr>
          </w:p>
        </w:tc>
        <w:tc>
          <w:tcPr>
            <w:tcW w:w="940" w:type="dxa"/>
            <w:vAlign w:val="bottom"/>
            <w:gridSpan w:val="2"/>
          </w:tcPr>
          <w:p>
            <w:pPr>
              <w:jc w:val="right"/>
              <w:ind w:right="494"/>
              <w:spacing w:after="0"/>
              <w:rPr>
                <w:sz w:val="20"/>
                <w:szCs w:val="20"/>
                <w:color w:val="auto"/>
              </w:rPr>
            </w:pPr>
            <w:r>
              <w:rPr>
                <w:rFonts w:ascii="Times New Roman" w:cs="Times New Roman" w:eastAsia="Times New Roman" w:hAnsi="Times New Roman"/>
                <w:sz w:val="17"/>
                <w:szCs w:val="17"/>
                <w:color w:val="auto"/>
              </w:rPr>
              <w:t>(10)</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0" w:type="dxa"/>
            <w:vAlign w:val="bottom"/>
          </w:tcPr>
          <w:p>
            <w:pPr>
              <w:spacing w:after="0"/>
              <w:rPr>
                <w:sz w:val="19"/>
                <w:szCs w:val="19"/>
                <w:color w:val="auto"/>
              </w:rPr>
            </w:pPr>
          </w:p>
        </w:tc>
        <w:tc>
          <w:tcPr>
            <w:tcW w:w="48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Lapse of statute of limitations</w:t>
            </w:r>
          </w:p>
        </w:tc>
        <w:tc>
          <w:tcPr>
            <w:tcW w:w="30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(21)</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80" w:type="dxa"/>
            <w:vAlign w:val="bottom"/>
          </w:tcPr>
          <w:p>
            <w:pPr>
              <w:spacing w:after="0"/>
              <w:rPr>
                <w:sz w:val="18"/>
                <w:szCs w:val="18"/>
                <w:color w:val="auto"/>
              </w:rPr>
            </w:pPr>
          </w:p>
        </w:tc>
        <w:tc>
          <w:tcPr>
            <w:tcW w:w="4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308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0" w:type="dxa"/>
            <w:vAlign w:val="bottom"/>
          </w:tcPr>
          <w:p>
            <w:pPr>
              <w:spacing w:after="0"/>
              <w:rPr>
                <w:sz w:val="18"/>
                <w:szCs w:val="18"/>
                <w:color w:val="auto"/>
              </w:rPr>
            </w:pPr>
          </w:p>
        </w:tc>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prior year tax positions</w:t>
            </w:r>
          </w:p>
        </w:tc>
        <w:tc>
          <w:tcPr>
            <w:tcW w:w="3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(36)</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 w:type="dxa"/>
            <w:vAlign w:val="bottom"/>
          </w:tcPr>
          <w:p>
            <w:pPr>
              <w:spacing w:after="0"/>
              <w:rPr>
                <w:sz w:val="19"/>
                <w:szCs w:val="19"/>
                <w:color w:val="auto"/>
              </w:rPr>
            </w:pP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Change in current year tax positions</w:t>
            </w:r>
          </w:p>
        </w:tc>
        <w:tc>
          <w:tcPr>
            <w:tcW w:w="3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0" w:type="dxa"/>
            <w:vAlign w:val="bottom"/>
          </w:tcPr>
          <w:p>
            <w:pPr>
              <w:spacing w:after="0"/>
              <w:rPr>
                <w:sz w:val="19"/>
                <w:szCs w:val="19"/>
                <w:color w:val="auto"/>
              </w:rPr>
            </w:pPr>
          </w:p>
        </w:tc>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settlements with taxing authorities</w:t>
            </w:r>
          </w:p>
        </w:tc>
        <w:tc>
          <w:tcPr>
            <w:tcW w:w="30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(6)</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0" w:type="dxa"/>
            <w:vAlign w:val="bottom"/>
          </w:tcPr>
          <w:p>
            <w:pPr>
              <w:spacing w:after="0"/>
              <w:rPr>
                <w:sz w:val="19"/>
                <w:szCs w:val="19"/>
                <w:color w:val="auto"/>
              </w:rPr>
            </w:pPr>
          </w:p>
        </w:tc>
        <w:tc>
          <w:tcPr>
            <w:tcW w:w="4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Lapse of statute of limitations</w:t>
            </w:r>
          </w:p>
        </w:tc>
        <w:tc>
          <w:tcPr>
            <w:tcW w:w="30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494"/>
              <w:spacing w:after="0"/>
              <w:rPr>
                <w:sz w:val="20"/>
                <w:szCs w:val="20"/>
                <w:color w:val="auto"/>
              </w:rPr>
            </w:pPr>
            <w:r>
              <w:rPr>
                <w:rFonts w:ascii="Times New Roman" w:cs="Times New Roman" w:eastAsia="Times New Roman" w:hAnsi="Times New Roman"/>
                <w:sz w:val="17"/>
                <w:szCs w:val="17"/>
                <w:color w:val="auto"/>
              </w:rPr>
              <w:t>(12)</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48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308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5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40" w:type="dxa"/>
            <w:vAlign w:val="bottom"/>
            <w:tcBorders>
              <w:top w:val="single" w:sz="8" w:color="CCEEFF"/>
              <w:bottom w:val="single" w:sz="8" w:color="auto"/>
            </w:tcBorders>
            <w:gridSpan w:val="2"/>
          </w:tcPr>
          <w:p>
            <w:pPr>
              <w:spacing w:after="0" w:line="20" w:lineRule="exact"/>
              <w:rPr>
                <w:sz w:val="1"/>
                <w:szCs w:val="1"/>
                <w:color w:val="auto"/>
              </w:rPr>
            </w:pPr>
          </w:p>
        </w:tc>
        <w:tc>
          <w:tcPr>
            <w:tcW w:w="30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80" w:type="dxa"/>
            <w:vAlign w:val="bottom"/>
          </w:tcPr>
          <w:p>
            <w:pPr>
              <w:spacing w:after="0"/>
              <w:rPr>
                <w:sz w:val="16"/>
                <w:szCs w:val="16"/>
                <w:color w:val="auto"/>
              </w:rPr>
            </w:pPr>
          </w:p>
        </w:tc>
        <w:tc>
          <w:tcPr>
            <w:tcW w:w="484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7"/>
                <w:szCs w:val="17"/>
                <w:color w:val="auto"/>
              </w:rPr>
              <w:t>Change in prior year tax positions</w:t>
            </w:r>
          </w:p>
        </w:tc>
        <w:tc>
          <w:tcPr>
            <w:tcW w:w="3080" w:type="dxa"/>
            <w:vAlign w:val="bottom"/>
          </w:tcPr>
          <w:p>
            <w:pPr>
              <w:spacing w:after="0"/>
              <w:rPr>
                <w:sz w:val="16"/>
                <w:szCs w:val="16"/>
                <w:color w:val="auto"/>
              </w:rPr>
            </w:pPr>
          </w:p>
        </w:tc>
        <w:tc>
          <w:tcPr>
            <w:tcW w:w="940" w:type="dxa"/>
            <w:vAlign w:val="bottom"/>
            <w:gridSpan w:val="2"/>
          </w:tcPr>
          <w:p>
            <w:pPr>
              <w:jc w:val="right"/>
              <w:ind w:right="494"/>
              <w:spacing w:after="0" w:line="191" w:lineRule="exact"/>
              <w:rPr>
                <w:sz w:val="20"/>
                <w:szCs w:val="20"/>
                <w:color w:val="auto"/>
              </w:rPr>
            </w:pPr>
            <w:r>
              <w:rPr>
                <w:rFonts w:ascii="Times New Roman" w:cs="Times New Roman" w:eastAsia="Times New Roman" w:hAnsi="Times New Roman"/>
                <w:sz w:val="17"/>
                <w:szCs w:val="17"/>
                <w:color w:val="auto"/>
              </w:rPr>
              <w:t>(38)</w:t>
            </w:r>
          </w:p>
        </w:tc>
        <w:tc>
          <w:tcPr>
            <w:tcW w:w="30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80" w:type="dxa"/>
            <w:vAlign w:val="bottom"/>
          </w:tcPr>
          <w:p>
            <w:pPr>
              <w:spacing w:after="0"/>
              <w:rPr>
                <w:sz w:val="19"/>
                <w:szCs w:val="19"/>
                <w:color w:val="auto"/>
              </w:rPr>
            </w:pPr>
          </w:p>
        </w:tc>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current year tax positions</w:t>
            </w:r>
          </w:p>
        </w:tc>
        <w:tc>
          <w:tcPr>
            <w:tcW w:w="3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0" w:type="dxa"/>
            <w:vAlign w:val="bottom"/>
          </w:tcPr>
          <w:p>
            <w:pPr>
              <w:spacing w:after="0"/>
              <w:rPr>
                <w:sz w:val="19"/>
                <w:szCs w:val="19"/>
                <w:color w:val="auto"/>
              </w:rPr>
            </w:pP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settlements with taxing authorities</w:t>
            </w:r>
          </w:p>
        </w:tc>
        <w:tc>
          <w:tcPr>
            <w:tcW w:w="3080" w:type="dxa"/>
            <w:vAlign w:val="bottom"/>
          </w:tcPr>
          <w:p>
            <w:pPr>
              <w:spacing w:after="0"/>
              <w:rPr>
                <w:sz w:val="19"/>
                <w:szCs w:val="19"/>
                <w:color w:val="auto"/>
              </w:rPr>
            </w:pPr>
          </w:p>
        </w:tc>
        <w:tc>
          <w:tcPr>
            <w:tcW w:w="940" w:type="dxa"/>
            <w:vAlign w:val="bottom"/>
            <w:gridSpan w:val="2"/>
          </w:tcPr>
          <w:p>
            <w:pPr>
              <w:jc w:val="right"/>
              <w:ind w:right="494"/>
              <w:spacing w:after="0"/>
              <w:rPr>
                <w:sz w:val="20"/>
                <w:szCs w:val="20"/>
                <w:color w:val="auto"/>
              </w:rPr>
            </w:pPr>
            <w:r>
              <w:rPr>
                <w:rFonts w:ascii="Times New Roman" w:cs="Times New Roman" w:eastAsia="Times New Roman" w:hAnsi="Times New Roman"/>
                <w:sz w:val="17"/>
                <w:szCs w:val="17"/>
                <w:color w:val="auto"/>
              </w:rPr>
              <w:t>(4)</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0" w:type="dxa"/>
            <w:vAlign w:val="bottom"/>
          </w:tcPr>
          <w:p>
            <w:pPr>
              <w:spacing w:after="0"/>
              <w:rPr>
                <w:sz w:val="19"/>
                <w:szCs w:val="19"/>
                <w:color w:val="auto"/>
              </w:rPr>
            </w:pPr>
          </w:p>
        </w:tc>
        <w:tc>
          <w:tcPr>
            <w:tcW w:w="48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Lapse of statute of limitations</w:t>
            </w:r>
          </w:p>
        </w:tc>
        <w:tc>
          <w:tcPr>
            <w:tcW w:w="30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(9)</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80" w:type="dxa"/>
            <w:vAlign w:val="bottom"/>
          </w:tcPr>
          <w:p>
            <w:pPr>
              <w:spacing w:after="0"/>
              <w:rPr>
                <w:sz w:val="18"/>
                <w:szCs w:val="18"/>
                <w:color w:val="auto"/>
              </w:rPr>
            </w:pPr>
          </w:p>
        </w:tc>
        <w:tc>
          <w:tcPr>
            <w:tcW w:w="4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308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(a)(b)</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060" w:right="140" w:hanging="318"/>
        <w:spacing w:after="0" w:line="220" w:lineRule="auto"/>
        <w:tabs>
          <w:tab w:leader="none" w:pos="10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$43 million as of December 31, 2023, $51 million as of December 31, 2022, and $20 million as of December 31, 2021 in foreign unrecognized tax benefits that would give rise to a United States tax credit. As of December 31, 2023, December 31, 2022, and December 31, 2021 a net $192 million, $208 million and $272 million after a net operating loss carryforward offset, respectively, of unrecognized tax benefits would positively impact the effective tax rate and be recognized as additional tax benefits in our statement of operations if resolved in our favor.</w:t>
      </w:r>
    </w:p>
    <w:p>
      <w:pPr>
        <w:spacing w:after="0" w:line="15" w:lineRule="exact"/>
        <w:rPr>
          <w:rFonts w:ascii="Times New Roman" w:cs="Times New Roman" w:eastAsia="Times New Roman" w:hAnsi="Times New Roman"/>
          <w:sz w:val="14"/>
          <w:szCs w:val="14"/>
          <w:color w:val="auto"/>
        </w:rPr>
      </w:pPr>
    </w:p>
    <w:p>
      <w:pPr>
        <w:ind w:left="1060" w:hanging="318"/>
        <w:spacing w:after="0"/>
        <w:tabs>
          <w:tab w:leader="none" w:pos="10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$85 million as of December 31, 2023 that we believe could be resolved within the next 12 months.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40" w:firstLine="619"/>
        <w:spacing w:after="0" w:line="249" w:lineRule="auto"/>
        <w:rPr>
          <w:sz w:val="20"/>
          <w:szCs w:val="20"/>
          <w:color w:val="auto"/>
        </w:rPr>
      </w:pPr>
      <w:r>
        <w:rPr>
          <w:rFonts w:ascii="Times New Roman" w:cs="Times New Roman" w:eastAsia="Times New Roman" w:hAnsi="Times New Roman"/>
          <w:sz w:val="17"/>
          <w:szCs w:val="17"/>
          <w:color w:val="auto"/>
        </w:rPr>
        <w:t>Our tax returns are subject to review by the taxing authorities in the jurisdictions where we file tax returns. In most cases we are no longer subject to examination by tax authorities for years before 2012. The only significant operating jurisdiction that has tax filings under review or subject to examination by the tax authorities is the United States. The United States federal income tax filings for tax years 2016 through 2022 are currently under review or remain open for</w:t>
      </w:r>
    </w:p>
    <w:p>
      <w:pPr>
        <w:spacing w:after="0" w:line="224" w:lineRule="auto"/>
        <w:rPr>
          <w:sz w:val="20"/>
          <w:szCs w:val="20"/>
          <w:color w:val="auto"/>
        </w:rPr>
      </w:pPr>
      <w:r>
        <w:rPr>
          <w:rFonts w:ascii="Times New Roman" w:cs="Times New Roman" w:eastAsia="Times New Roman" w:hAnsi="Times New Roman"/>
          <w:sz w:val="17"/>
          <w:szCs w:val="17"/>
          <w:color w:val="auto"/>
        </w:rPr>
        <w:t>review by the IRS.</w:t>
      </w:r>
    </w:p>
    <w:p>
      <w:pPr>
        <w:spacing w:after="0" w:line="1"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As of December 31, 2023, the primary unresolved issue for the IRS audit for 2016 relates to the classification of the $3.5 billion ordinary deduction that we claimed for the termination fee we paid to Baker Hughes in the second quarter of 2016 for which we received a NOPA from the IRS on September 28, 2023. We regularly assess the likelihood of adverse outcomes resulting from tax examinations to determine the adequacy of our tax reserves, and we believe our income tax reserves are appropriately provided for all open tax years. We do not expect a final resolution of this issue in the next 12 months.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Based on the information currently available, we do not anticipate a significant increase or decrease to our tax contingencies within the next 12 months.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Shareholders’ Equity</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Shares of common stock</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total shares of common stock outstanding:</w:t>
      </w:r>
    </w:p>
    <w:p>
      <w:pPr>
        <w:spacing w:after="0" w:line="33" w:lineRule="exact"/>
        <w:rPr>
          <w:sz w:val="20"/>
          <w:szCs w:val="20"/>
          <w:color w:val="auto"/>
        </w:rPr>
      </w:pPr>
    </w:p>
    <w:tbl>
      <w:tblPr>
        <w:tblLayout w:type="fixed"/>
        <w:tblInd w:w="1560" w:type="dxa"/>
        <w:tblCellMar>
          <w:top w:w="0" w:type="dxa"/>
          <w:left w:w="0" w:type="dxa"/>
          <w:bottom w:w="0" w:type="dxa"/>
          <w:right w:w="0" w:type="dxa"/>
        </w:tblCellMar>
      </w:tblPr>
      <w:tr>
        <w:trPr>
          <w:trHeight w:val="223"/>
        </w:trPr>
        <w:tc>
          <w:tcPr>
            <w:tcW w:w="6560" w:type="dxa"/>
            <w:vAlign w:val="bottom"/>
          </w:tcPr>
          <w:p>
            <w:pPr>
              <w:spacing w:after="0"/>
              <w:rPr>
                <w:sz w:val="19"/>
                <w:szCs w:val="19"/>
                <w:color w:val="auto"/>
              </w:rPr>
            </w:pPr>
          </w:p>
        </w:tc>
        <w:tc>
          <w:tcPr>
            <w:tcW w:w="2200" w:type="dxa"/>
            <w:vAlign w:val="bottom"/>
            <w:tcBorders>
              <w:bottom w:val="single" w:sz="8" w:color="auto"/>
            </w:tcBorders>
            <w:gridSpan w:val="2"/>
          </w:tcPr>
          <w:p>
            <w:pPr>
              <w:jc w:val="right"/>
              <w:ind w:right="554"/>
              <w:spacing w:after="0"/>
              <w:rPr>
                <w:sz w:val="20"/>
                <w:szCs w:val="20"/>
                <w:color w:val="auto"/>
              </w:rPr>
            </w:pPr>
            <w:r>
              <w:rPr>
                <w:rFonts w:ascii="Times New Roman" w:cs="Times New Roman" w:eastAsia="Times New Roman" w:hAnsi="Times New Roman"/>
                <w:sz w:val="17"/>
                <w:szCs w:val="17"/>
                <w:color w:val="auto"/>
              </w:rPr>
              <w:t>December 31</w:t>
            </w:r>
          </w:p>
        </w:tc>
      </w:tr>
      <w:tr>
        <w:trPr>
          <w:trHeight w:val="212"/>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Millions of shares</w:t>
            </w:r>
          </w:p>
        </w:tc>
        <w:tc>
          <w:tcPr>
            <w:tcW w:w="12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2023</w:t>
            </w:r>
          </w:p>
        </w:tc>
        <w:tc>
          <w:tcPr>
            <w:tcW w:w="9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w:t>
            </w:r>
          </w:p>
        </w:tc>
        <w:tc>
          <w:tcPr>
            <w:tcW w:w="12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1,065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w:t>
            </w:r>
          </w:p>
        </w:tc>
      </w:tr>
      <w:tr>
        <w:trPr>
          <w:trHeight w:val="219"/>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In treasury</w:t>
            </w:r>
          </w:p>
        </w:tc>
        <w:tc>
          <w:tcPr>
            <w:tcW w:w="12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(176)</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37"/>
        </w:trPr>
        <w:tc>
          <w:tcPr>
            <w:tcW w:w="6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shares of common stock outstanding</w:t>
            </w:r>
          </w:p>
        </w:tc>
        <w:tc>
          <w:tcPr>
            <w:tcW w:w="12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889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w:t>
            </w:r>
          </w:p>
        </w:tc>
      </w:tr>
      <w:tr>
        <w:trPr>
          <w:trHeight w:val="20"/>
        </w:trPr>
        <w:tc>
          <w:tcPr>
            <w:tcW w:w="65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64" w:name="page65"/>
    <w:bookmarkEnd w:id="64"/>
    <w:p>
      <w:pPr>
        <w:ind w:left="40"/>
        <w:spacing w:after="0"/>
        <w:tabs>
          <w:tab w:leader="none" w:pos="76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Consolidated Financial Statements</w:t>
      </w:r>
    </w:p>
    <w:p>
      <w:pPr>
        <w:spacing w:after="0" w:line="200" w:lineRule="exact"/>
        <w:rPr>
          <w:sz w:val="20"/>
          <w:szCs w:val="20"/>
          <w:color w:val="auto"/>
        </w:rPr>
      </w:pPr>
    </w:p>
    <w:p>
      <w:pPr>
        <w:spacing w:after="0" w:line="339" w:lineRule="exact"/>
        <w:rPr>
          <w:sz w:val="20"/>
          <w:szCs w:val="20"/>
          <w:color w:val="auto"/>
        </w:rPr>
      </w:pPr>
    </w:p>
    <w:p>
      <w:pPr>
        <w:ind w:right="140" w:firstLine="619"/>
        <w:spacing w:after="0" w:line="260" w:lineRule="auto"/>
        <w:rPr>
          <w:sz w:val="20"/>
          <w:szCs w:val="20"/>
          <w:color w:val="auto"/>
        </w:rPr>
      </w:pPr>
      <w:r>
        <w:rPr>
          <w:rFonts w:ascii="Times New Roman" w:cs="Times New Roman" w:eastAsia="Times New Roman" w:hAnsi="Times New Roman"/>
          <w:sz w:val="17"/>
          <w:szCs w:val="17"/>
          <w:color w:val="auto"/>
        </w:rPr>
        <w:t>Our Board of Directors has authorized a program to repurchase a specified dollar amount of our common stock from time to time. The program does not require a specific number of shares to be purchased and the program may be effected through solicited or unsolicited transactions in the market or in privately negotiated transactions. The program may be terminated or suspended at any time. We purchased 22.7 million shares of our common stock under the program during the year ended December 31, 2023. During the year ended December 31, 2022 we purchased 6.8 million shares of our common stock under the program. Approximately $4.1 billion remained authorized for repurchases as of December 31, 2023. From the inception of this program in February 2006 through December 31, 2023, we repurchased approximately 253 million shares of our common stock for a total cost of approximately $10.1 billion.</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Paid-in Capital in Excess of Par Value</w:t>
      </w:r>
    </w:p>
    <w:p>
      <w:pPr>
        <w:spacing w:after="0" w:line="34"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7"/>
          <w:szCs w:val="17"/>
          <w:color w:val="auto"/>
        </w:rPr>
        <w:t>During 2023, 2022 and 2021, we issued common stock from treasury shares under our employee stock purchase plan awards and for restricted stock grants. As a result, additional paid in capital would have resulted in a balance below zero. Therefore, for the years ended December 31, 2023, 2022 and 2021, we reduced retained earnings by $98 million, $275 million, and $277 million, respectively. Additional issuances from treasury shares could similarly impact additional paid in capital and retained earnings.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preferred stock consists of five million total authorized shares at December 31, 2023, of which none are issued.</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loss</w:t>
      </w:r>
    </w:p>
    <w:p>
      <w:pPr>
        <w:spacing w:after="0" w:line="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Accumulated other comprehensive loss consisted of the following:</w:t>
      </w:r>
    </w:p>
    <w:p>
      <w:pPr>
        <w:spacing w:after="0" w:line="33" w:lineRule="exact"/>
        <w:rPr>
          <w:sz w:val="20"/>
          <w:szCs w:val="20"/>
          <w:color w:val="auto"/>
        </w:rPr>
      </w:pPr>
    </w:p>
    <w:tbl>
      <w:tblPr>
        <w:tblLayout w:type="fixed"/>
        <w:tblInd w:w="1380" w:type="dxa"/>
        <w:tblCellMar>
          <w:top w:w="0" w:type="dxa"/>
          <w:left w:w="0" w:type="dxa"/>
          <w:bottom w:w="0" w:type="dxa"/>
          <w:right w:w="0" w:type="dxa"/>
        </w:tblCellMar>
      </w:tblPr>
      <w:tr>
        <w:trPr>
          <w:trHeight w:val="223"/>
        </w:trPr>
        <w:tc>
          <w:tcPr>
            <w:tcW w:w="6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574"/>
              <w:spacing w:after="0"/>
              <w:rPr>
                <w:sz w:val="20"/>
                <w:szCs w:val="20"/>
                <w:color w:val="auto"/>
              </w:rPr>
            </w:pPr>
            <w:r>
              <w:rPr>
                <w:rFonts w:ascii="Times New Roman" w:cs="Times New Roman" w:eastAsia="Times New Roman" w:hAnsi="Times New Roman"/>
                <w:sz w:val="17"/>
                <w:szCs w:val="17"/>
                <w:color w:val="auto"/>
              </w:rPr>
              <w:t>December 31</w:t>
            </w:r>
          </w:p>
        </w:tc>
      </w:tr>
      <w:tr>
        <w:trPr>
          <w:trHeight w:val="212"/>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Cumulative translation adjustment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19"/>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Defined benefit and other postretirement liability adjustments (a)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19"/>
        </w:trPr>
        <w:tc>
          <w:tcPr>
            <w:tcW w:w="6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12"/>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accumulated other comprehensive loss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w:t>
            </w:r>
          </w:p>
        </w:tc>
      </w:tr>
      <w:tr>
        <w:trPr>
          <w:trHeight w:val="20"/>
        </w:trPr>
        <w:tc>
          <w:tcPr>
            <w:tcW w:w="6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720" w:hanging="320"/>
        <w:spacing w:after="0"/>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net actuarial losses for our international pension plans of $209 million at December 31, 2023 and $98 million at December 31, 2022.</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Stock-based Compensation</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stock-based compensation costs for the years ended December 31, 2023, 2022, and 2021.</w:t>
      </w:r>
    </w:p>
    <w:p>
      <w:pPr>
        <w:spacing w:after="0" w:line="33"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7"/>
          <w:szCs w:val="17"/>
          <w:color w:val="auto"/>
        </w:rPr>
        <w:t>Year Ended December 31</w:t>
      </w:r>
    </w:p>
    <w:p>
      <w:pPr>
        <w:spacing w:after="0" w:line="27" w:lineRule="exact"/>
        <w:rPr>
          <w:sz w:val="20"/>
          <w:szCs w:val="20"/>
          <w:color w:val="auto"/>
        </w:rPr>
      </w:pPr>
    </w:p>
    <w:tbl>
      <w:tblPr>
        <w:tblLayout w:type="fixed"/>
        <w:tblInd w:w="98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2022</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2021</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cost</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219</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219</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214</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Tax benefit</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(36)</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w w:val="98"/>
              </w:rPr>
              <w:t>(33)</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37"/>
        </w:trPr>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0"/>
              </w:rPr>
              <w:t>.</w:t>
            </w:r>
          </w:p>
        </w:tc>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cost, net of tax</w:t>
            </w: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183</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186</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182</w:t>
            </w:r>
          </w:p>
        </w:tc>
        <w:tc>
          <w:tcPr>
            <w:tcW w:w="0" w:type="dxa"/>
            <w:vAlign w:val="bottom"/>
          </w:tcPr>
          <w:p>
            <w:pPr>
              <w:spacing w:after="0"/>
              <w:rPr>
                <w:sz w:val="1"/>
                <w:szCs w:val="1"/>
                <w:color w:val="auto"/>
              </w:rPr>
            </w:pPr>
          </w:p>
        </w:tc>
      </w:tr>
      <w:tr>
        <w:trPr>
          <w:trHeight w:val="20"/>
        </w:trPr>
        <w:tc>
          <w:tcPr>
            <w:tcW w:w="40" w:type="dxa"/>
            <w:vAlign w:val="bottom"/>
            <w:vMerge w:val="continue"/>
          </w:tcPr>
          <w:p>
            <w:pPr>
              <w:spacing w:after="0" w:line="20" w:lineRule="exact"/>
              <w:rPr>
                <w:sz w:val="1"/>
                <w:szCs w:val="1"/>
                <w:color w:val="auto"/>
              </w:rPr>
            </w:pPr>
          </w:p>
        </w:tc>
        <w:tc>
          <w:tcPr>
            <w:tcW w:w="6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0" w:type="dxa"/>
            <w:vAlign w:val="bottom"/>
            <w:vMerge w:val="continue"/>
          </w:tcPr>
          <w:p>
            <w:pPr>
              <w:spacing w:after="0"/>
              <w:rPr>
                <w:sz w:val="5"/>
                <w:szCs w:val="5"/>
                <w:color w:val="auto"/>
              </w:rPr>
            </w:pPr>
          </w:p>
        </w:tc>
        <w:tc>
          <w:tcPr>
            <w:tcW w:w="6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Stock and Incentive Plan, as amended (Stock Plan), provides for the grant of any or all of the following types of stock-based awards:</w:t>
      </w:r>
    </w:p>
    <w:p>
      <w:pPr>
        <w:spacing w:after="0" w:line="62" w:lineRule="exact"/>
        <w:rPr>
          <w:sz w:val="20"/>
          <w:szCs w:val="20"/>
          <w:color w:val="auto"/>
        </w:rPr>
      </w:pPr>
    </w:p>
    <w:p>
      <w:pPr>
        <w:ind w:left="860" w:hanging="238"/>
        <w:spacing w:after="0"/>
        <w:tabs>
          <w:tab w:leader="none" w:pos="8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options, including incentive stock options and nonqualified stock options;</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awards;</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unit awards;</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appreciation rights; and</w:t>
      </w:r>
    </w:p>
    <w:p>
      <w:pPr>
        <w:spacing w:after="0" w:line="6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value equivalent awards.</w:t>
      </w:r>
    </w:p>
    <w:p>
      <w:pPr>
        <w:spacing w:after="0" w:line="243"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There are currently no stock appreciation rights, stock value equivalent awards, or incentive stock options outstanding. Under the terms of the Stock Plan, approximately 264 million shares of common stock have been reserved for issuance to employees and non-employee directors. At December 31, 2023, approximately 11 million shares were available for future grants under the Stock Plan. The stock to be offered pursuant to the grant of an award under the Stock Plan may be authorized but unissued common shares or treasury shares.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5" w:name="page66"/>
    <w:bookmarkEnd w:id="65"/>
    <w:p>
      <w:pPr>
        <w:ind w:left="40"/>
        <w:spacing w:after="0"/>
        <w:tabs>
          <w:tab w:leader="none" w:pos="76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Consolidated Financial Statements</w:t>
      </w:r>
    </w:p>
    <w:p>
      <w:pPr>
        <w:spacing w:after="0" w:line="200" w:lineRule="exact"/>
        <w:rPr>
          <w:sz w:val="20"/>
          <w:szCs w:val="20"/>
          <w:color w:val="auto"/>
        </w:rPr>
      </w:pPr>
    </w:p>
    <w:p>
      <w:pPr>
        <w:spacing w:after="0" w:line="339" w:lineRule="exact"/>
        <w:rPr>
          <w:sz w:val="20"/>
          <w:szCs w:val="20"/>
          <w:color w:val="auto"/>
        </w:rPr>
      </w:pPr>
    </w:p>
    <w:p>
      <w:pPr>
        <w:ind w:right="320" w:firstLine="619"/>
        <w:spacing w:after="0" w:line="287" w:lineRule="auto"/>
        <w:rPr>
          <w:sz w:val="20"/>
          <w:szCs w:val="20"/>
          <w:color w:val="auto"/>
        </w:rPr>
      </w:pPr>
      <w:r>
        <w:rPr>
          <w:rFonts w:ascii="Times New Roman" w:cs="Times New Roman" w:eastAsia="Times New Roman" w:hAnsi="Times New Roman"/>
          <w:sz w:val="17"/>
          <w:szCs w:val="17"/>
          <w:color w:val="auto"/>
        </w:rPr>
        <w:t>In addition to the provisions of the Stock Plan, we also have stock-based compensation provisions under the Restricted Stock Plan for Non-Employee Directors and the Employee Stock Purchase Plan (ESPP).</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Each of the active stock-based compensation arrangements is discussed below.</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34" w:lineRule="exact"/>
        <w:rPr>
          <w:sz w:val="20"/>
          <w:szCs w:val="20"/>
          <w:color w:val="auto"/>
        </w:rPr>
      </w:pPr>
    </w:p>
    <w:p>
      <w:pPr>
        <w:ind w:right="260" w:firstLine="619"/>
        <w:spacing w:after="0" w:line="259" w:lineRule="auto"/>
        <w:rPr>
          <w:sz w:val="20"/>
          <w:szCs w:val="20"/>
          <w:color w:val="auto"/>
        </w:rPr>
      </w:pPr>
      <w:r>
        <w:rPr>
          <w:rFonts w:ascii="Times New Roman" w:cs="Times New Roman" w:eastAsia="Times New Roman" w:hAnsi="Times New Roman"/>
          <w:sz w:val="17"/>
          <w:szCs w:val="17"/>
          <w:color w:val="auto"/>
        </w:rPr>
        <w:t>There were no stock options granted during 2023 and there are no plans to grant stock options in 2024. All stock options under the Stock Plan were granted at the fair market value of our common stock at the grant date. Employee stock options generally vest ratably over a period of three years and expire 10 years from the grant date. Compensation expense for stock options is generally recognized on a straight line basis over the entire vesting period.</w:t>
      </w:r>
    </w:p>
    <w:p>
      <w:pPr>
        <w:spacing w:after="0" w:line="201"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represents our stock options activity during 2023.</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center"/>
              <w:ind w:right="114"/>
              <w:spacing w:after="0" w:line="193" w:lineRule="exact"/>
              <w:rPr>
                <w:sz w:val="20"/>
                <w:szCs w:val="20"/>
                <w:color w:val="auto"/>
              </w:rPr>
            </w:pPr>
            <w:r>
              <w:rPr>
                <w:rFonts w:ascii="Times New Roman" w:cs="Times New Roman" w:eastAsia="Times New Roman" w:hAnsi="Times New Roman"/>
                <w:sz w:val="17"/>
                <w:szCs w:val="17"/>
                <w:color w:val="auto"/>
                <w:w w:val="99"/>
              </w:rPr>
              <w:t>Weighted</w:t>
            </w:r>
          </w:p>
        </w:tc>
        <w:tc>
          <w:tcPr>
            <w:tcW w:w="1320" w:type="dxa"/>
            <w:vAlign w:val="bottom"/>
          </w:tcPr>
          <w:p>
            <w:pPr>
              <w:jc w:val="center"/>
              <w:spacing w:after="0" w:line="193" w:lineRule="exact"/>
              <w:rPr>
                <w:sz w:val="20"/>
                <w:szCs w:val="20"/>
                <w:color w:val="auto"/>
              </w:rPr>
            </w:pPr>
            <w:r>
              <w:rPr>
                <w:rFonts w:ascii="Times New Roman" w:cs="Times New Roman" w:eastAsia="Times New Roman" w:hAnsi="Times New Roman"/>
                <w:sz w:val="17"/>
                <w:szCs w:val="17"/>
                <w:color w:val="auto"/>
                <w:w w:val="99"/>
              </w:rPr>
              <w:t>Weighted</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Number</w:t>
            </w:r>
          </w:p>
        </w:tc>
        <w:tc>
          <w:tcPr>
            <w:tcW w:w="320" w:type="dxa"/>
            <w:vAlign w:val="bottom"/>
          </w:tcPr>
          <w:p>
            <w:pPr>
              <w:spacing w:after="0"/>
              <w:rPr>
                <w:sz w:val="15"/>
                <w:szCs w:val="15"/>
                <w:color w:val="auto"/>
              </w:rPr>
            </w:pPr>
          </w:p>
        </w:tc>
        <w:tc>
          <w:tcPr>
            <w:tcW w:w="1100" w:type="dxa"/>
            <w:vAlign w:val="bottom"/>
          </w:tcPr>
          <w:p>
            <w:pPr>
              <w:jc w:val="center"/>
              <w:ind w:right="114"/>
              <w:spacing w:after="0" w:line="181" w:lineRule="exact"/>
              <w:rPr>
                <w:sz w:val="20"/>
                <w:szCs w:val="20"/>
                <w:color w:val="auto"/>
              </w:rPr>
            </w:pPr>
            <w:r>
              <w:rPr>
                <w:rFonts w:ascii="Times New Roman" w:cs="Times New Roman" w:eastAsia="Times New Roman" w:hAnsi="Times New Roman"/>
                <w:sz w:val="17"/>
                <w:szCs w:val="17"/>
                <w:color w:val="auto"/>
              </w:rPr>
              <w:t>Average</w:t>
            </w: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rPr>
              <w:t>Average</w:t>
            </w:r>
          </w:p>
        </w:tc>
        <w:tc>
          <w:tcPr>
            <w:tcW w:w="180" w:type="dxa"/>
            <w:vAlign w:val="bottom"/>
          </w:tcPr>
          <w:p>
            <w:pPr>
              <w:spacing w:after="0"/>
              <w:rPr>
                <w:sz w:val="15"/>
                <w:szCs w:val="15"/>
                <w:color w:val="auto"/>
              </w:rPr>
            </w:pPr>
          </w:p>
        </w:tc>
        <w:tc>
          <w:tcPr>
            <w:tcW w:w="1160" w:type="dxa"/>
            <w:vAlign w:val="bottom"/>
          </w:tcPr>
          <w:p>
            <w:pPr>
              <w:jc w:val="center"/>
              <w:ind w:right="74"/>
              <w:spacing w:after="0" w:line="181" w:lineRule="exact"/>
              <w:rPr>
                <w:sz w:val="20"/>
                <w:szCs w:val="20"/>
                <w:color w:val="auto"/>
              </w:rPr>
            </w:pPr>
            <w:r>
              <w:rPr>
                <w:rFonts w:ascii="Times New Roman" w:cs="Times New Roman" w:eastAsia="Times New Roman" w:hAnsi="Times New Roman"/>
                <w:sz w:val="17"/>
                <w:szCs w:val="17"/>
                <w:color w:val="auto"/>
              </w:rPr>
              <w:t>Aggregate</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w w:val="99"/>
              </w:rPr>
              <w:t>Exercise</w:t>
            </w:r>
          </w:p>
        </w:tc>
        <w:tc>
          <w:tcPr>
            <w:tcW w:w="132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9"/>
              </w:rPr>
              <w:t>Remaining</w:t>
            </w:r>
          </w:p>
        </w:tc>
        <w:tc>
          <w:tcPr>
            <w:tcW w:w="180" w:type="dxa"/>
            <w:vAlign w:val="bottom"/>
          </w:tcPr>
          <w:p>
            <w:pPr>
              <w:spacing w:after="0"/>
              <w:rPr>
                <w:sz w:val="14"/>
                <w:szCs w:val="14"/>
                <w:color w:val="auto"/>
              </w:rPr>
            </w:pPr>
          </w:p>
        </w:tc>
        <w:tc>
          <w:tcPr>
            <w:tcW w:w="1160" w:type="dxa"/>
            <w:vAlign w:val="bottom"/>
          </w:tcPr>
          <w:p>
            <w:pPr>
              <w:jc w:val="center"/>
              <w:ind w:right="94"/>
              <w:spacing w:after="0" w:line="167" w:lineRule="exact"/>
              <w:rPr>
                <w:sz w:val="20"/>
                <w:szCs w:val="20"/>
                <w:color w:val="auto"/>
              </w:rPr>
            </w:pPr>
            <w:r>
              <w:rPr>
                <w:rFonts w:ascii="Times New Roman" w:cs="Times New Roman" w:eastAsia="Times New Roman" w:hAnsi="Times New Roman"/>
                <w:sz w:val="17"/>
                <w:szCs w:val="17"/>
                <w:color w:val="auto"/>
              </w:rPr>
              <w:t>Intrinsic</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160" w:type="dxa"/>
            <w:vAlign w:val="bottom"/>
          </w:tcPr>
          <w:p>
            <w:pPr>
              <w:ind w:left="260"/>
              <w:spacing w:after="0" w:line="181" w:lineRule="exact"/>
              <w:rPr>
                <w:sz w:val="20"/>
                <w:szCs w:val="20"/>
                <w:color w:val="auto"/>
              </w:rPr>
            </w:pPr>
            <w:r>
              <w:rPr>
                <w:rFonts w:ascii="Times New Roman" w:cs="Times New Roman" w:eastAsia="Times New Roman" w:hAnsi="Times New Roman"/>
                <w:sz w:val="17"/>
                <w:szCs w:val="17"/>
                <w:color w:val="auto"/>
              </w:rPr>
              <w:t>of Shares</w:t>
            </w:r>
          </w:p>
        </w:tc>
        <w:tc>
          <w:tcPr>
            <w:tcW w:w="320" w:type="dxa"/>
            <w:vAlign w:val="bottom"/>
          </w:tcPr>
          <w:p>
            <w:pPr>
              <w:spacing w:after="0"/>
              <w:rPr>
                <w:sz w:val="15"/>
                <w:szCs w:val="15"/>
                <w:color w:val="auto"/>
              </w:rPr>
            </w:pPr>
          </w:p>
        </w:tc>
        <w:tc>
          <w:tcPr>
            <w:tcW w:w="1100" w:type="dxa"/>
            <w:vAlign w:val="bottom"/>
          </w:tcPr>
          <w:p>
            <w:pPr>
              <w:jc w:val="center"/>
              <w:ind w:right="154"/>
              <w:spacing w:after="0" w:line="181" w:lineRule="exact"/>
              <w:rPr>
                <w:sz w:val="20"/>
                <w:szCs w:val="20"/>
                <w:color w:val="auto"/>
              </w:rPr>
            </w:pPr>
            <w:r>
              <w:rPr>
                <w:rFonts w:ascii="Times New Roman" w:cs="Times New Roman" w:eastAsia="Times New Roman" w:hAnsi="Times New Roman"/>
                <w:sz w:val="17"/>
                <w:szCs w:val="17"/>
                <w:color w:val="auto"/>
                <w:w w:val="97"/>
              </w:rPr>
              <w:t>Price</w:t>
            </w: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Contractual Term</w:t>
            </w:r>
          </w:p>
        </w:tc>
        <w:tc>
          <w:tcPr>
            <w:tcW w:w="180" w:type="dxa"/>
            <w:vAlign w:val="bottom"/>
          </w:tcPr>
          <w:p>
            <w:pPr>
              <w:spacing w:after="0"/>
              <w:rPr>
                <w:sz w:val="15"/>
                <w:szCs w:val="15"/>
                <w:color w:val="auto"/>
              </w:rPr>
            </w:pPr>
          </w:p>
        </w:tc>
        <w:tc>
          <w:tcPr>
            <w:tcW w:w="1160" w:type="dxa"/>
            <w:vAlign w:val="bottom"/>
          </w:tcPr>
          <w:p>
            <w:pPr>
              <w:jc w:val="right"/>
              <w:ind w:right="414"/>
              <w:spacing w:after="0" w:line="181" w:lineRule="exact"/>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4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 millions)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per Share</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(years)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(in millions)</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2023</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18.2</w:t>
            </w:r>
          </w:p>
        </w:tc>
        <w:tc>
          <w:tcPr>
            <w:tcW w:w="3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43.88</w:t>
            </w:r>
          </w:p>
        </w:tc>
        <w:tc>
          <w:tcPr>
            <w:tcW w:w="13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4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Exercised</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28.14</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46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Forfeited/expired</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45.07</w:t>
            </w:r>
          </w:p>
        </w:tc>
        <w:tc>
          <w:tcPr>
            <w:tcW w:w="13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14.3</w:t>
            </w:r>
          </w:p>
        </w:tc>
        <w:tc>
          <w:tcPr>
            <w:tcW w:w="3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45.47</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0" w:type="dxa"/>
            <w:vAlign w:val="bottom"/>
          </w:tcPr>
          <w:p>
            <w:pPr>
              <w:spacing w:after="0"/>
              <w:rPr>
                <w:sz w:val="20"/>
                <w:szCs w:val="20"/>
                <w:color w:val="auto"/>
              </w:rPr>
            </w:pPr>
          </w:p>
        </w:tc>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at December 31, 2023</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14.3</w:t>
            </w:r>
          </w:p>
        </w:tc>
        <w:tc>
          <w:tcPr>
            <w:tcW w:w="3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45.47</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total intrinsic value of options exercised was $20 million in 2023, $43 million in 2022, and $315,000 in 2021. As of December 31, 2023, there was no unrecognized compensation cost, net of estimated forfeitures, related to nonvested stock options.</w:t>
      </w:r>
    </w:p>
    <w:p>
      <w:pPr>
        <w:spacing w:after="0" w:line="177"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Cash received from issuance of common stock for 2023, 2022, and 2021 was $136 million, $229 million, and $79 million, respectively, of which $48 million, $148 million, and $4 million, respectively, are related to proceeds from exercises of stock options. All other cash received from issuance of common stock during 2023, 2022 and 2021 relates to cash proceeds from the issuance of shares under our employee stock purchase plan.</w:t>
      </w:r>
    </w:p>
    <w:p>
      <w:pPr>
        <w:spacing w:after="0" w:line="191"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The fair value of options at the date of grant was estimated using the Black-Scholes option pricing model. The expected volatility of options granted was a blended rate based upon implied volatility calculated on actively traded options on our common stock and upon the historical volatility of our common stock. The expected term of options granted was based upon historical observation of actual time elapsed between date of grant and exercise of options for all employees. There were no stock options granted for the years ended December 31, 2023, 2022 and 2021.</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w:t>
      </w:r>
    </w:p>
    <w:p>
      <w:pPr>
        <w:spacing w:after="0" w:line="34" w:lineRule="exact"/>
        <w:rPr>
          <w:sz w:val="20"/>
          <w:szCs w:val="20"/>
          <w:color w:val="auto"/>
        </w:rPr>
      </w:pPr>
    </w:p>
    <w:p>
      <w:pPr>
        <w:ind w:right="180" w:firstLine="619"/>
        <w:spacing w:after="0" w:line="257" w:lineRule="auto"/>
        <w:rPr>
          <w:sz w:val="20"/>
          <w:szCs w:val="20"/>
          <w:color w:val="auto"/>
        </w:rPr>
      </w:pPr>
      <w:r>
        <w:rPr>
          <w:rFonts w:ascii="Times New Roman" w:cs="Times New Roman" w:eastAsia="Times New Roman" w:hAnsi="Times New Roman"/>
          <w:sz w:val="17"/>
          <w:szCs w:val="17"/>
          <w:color w:val="auto"/>
        </w:rPr>
        <w:t>Restricted shares issued under the Stock Plan are restricted as to sale or disposition. These restrictions generally lapse periodically over a period of five years. Restrictions may also lapse for early retirement and other conditions in accordance with our established policies. Upon termination of employment, shares on which restrictions have not lapsed must be returned to us, resulting in restricted stock forfeitures. The fair market value of the stock on the date of grant is amortized and charged to income on a straight-line basis over the requisite service period for the entire award.</w:t>
      </w:r>
    </w:p>
    <w:p>
      <w:pPr>
        <w:spacing w:after="0" w:line="203"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color w:val="auto"/>
        </w:rPr>
        <w:t>In 2023, we also granted performance based restricted stock units, with the actual number of shares earned to be determined at the end of a three year performance period based on our achievement of certain predefined targets. These targets are based upon our average return on capital employed as compared to certain competitors and a modifier based upon stock performance compared to the Oilfield Services Index (OSX). A Monte Carlo simulation that uses a probabilistic approach was performed by an actuary to measure grant date fair value. The fair value of these performance based restricted stock units is recognized on a straight-line basis over the three year performance cycle.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6" w:name="page67"/>
    <w:bookmarkEnd w:id="66"/>
    <w:tbl>
      <w:tblPr>
        <w:tblLayout w:type="fixed"/>
        <w:tblInd w:w="40" w:type="dxa"/>
        <w:tblCellMar>
          <w:top w:w="0" w:type="dxa"/>
          <w:left w:w="0" w:type="dxa"/>
          <w:bottom w:w="0" w:type="dxa"/>
          <w:right w:w="0" w:type="dxa"/>
        </w:tblCellMar>
      </w:tblPr>
      <w:tr>
        <w:trPr>
          <w:trHeight w:val="195"/>
        </w:trPr>
        <w:tc>
          <w:tcPr>
            <w:tcW w:w="1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4600" w:type="dxa"/>
            <w:vAlign w:val="bottom"/>
            <w:gridSpan w:val="2"/>
          </w:tcPr>
          <w:p>
            <w:pPr>
              <w:spacing w:after="0"/>
              <w:rPr>
                <w:sz w:val="17"/>
                <w:szCs w:val="17"/>
                <w:color w:val="auto"/>
              </w:rPr>
            </w:pPr>
          </w:p>
        </w:tc>
        <w:tc>
          <w:tcPr>
            <w:tcW w:w="5360" w:type="dxa"/>
            <w:vAlign w:val="bottom"/>
            <w:gridSpan w:val="4"/>
          </w:tcPr>
          <w:p>
            <w:pPr>
              <w:jc w:val="center"/>
              <w:ind w:left="1694"/>
              <w:spacing w:after="0"/>
              <w:rPr>
                <w:sz w:val="20"/>
                <w:szCs w:val="20"/>
                <w:color w:val="auto"/>
              </w:rPr>
            </w:pPr>
            <w:r>
              <w:rPr>
                <w:rFonts w:ascii="Times New Roman" w:cs="Times New Roman" w:eastAsia="Times New Roman" w:hAnsi="Times New Roman"/>
                <w:sz w:val="17"/>
                <w:szCs w:val="17"/>
                <w:color w:val="auto"/>
              </w:rPr>
              <w:t>Item 8 | Notes to Consolidated Financial Statements</w:t>
            </w:r>
          </w:p>
        </w:tc>
        <w:tc>
          <w:tcPr>
            <w:tcW w:w="0" w:type="dxa"/>
            <w:vAlign w:val="bottom"/>
          </w:tcPr>
          <w:p>
            <w:pPr>
              <w:spacing w:after="0"/>
              <w:rPr>
                <w:sz w:val="1"/>
                <w:szCs w:val="1"/>
                <w:color w:val="auto"/>
              </w:rPr>
            </w:pPr>
          </w:p>
        </w:tc>
      </w:tr>
      <w:tr>
        <w:trPr>
          <w:trHeight w:val="754"/>
        </w:trPr>
        <w:tc>
          <w:tcPr>
            <w:tcW w:w="11180" w:type="dxa"/>
            <w:vAlign w:val="bottom"/>
            <w:gridSpan w:val="7"/>
          </w:tcPr>
          <w:p>
            <w:pPr>
              <w:ind w:left="580"/>
              <w:spacing w:after="0"/>
              <w:rPr>
                <w:sz w:val="20"/>
                <w:szCs w:val="20"/>
                <w:color w:val="auto"/>
              </w:rPr>
            </w:pPr>
            <w:r>
              <w:rPr>
                <w:rFonts w:ascii="Times New Roman" w:cs="Times New Roman" w:eastAsia="Times New Roman" w:hAnsi="Times New Roman"/>
                <w:sz w:val="17"/>
                <w:szCs w:val="17"/>
                <w:color w:val="auto"/>
              </w:rPr>
              <w:t>The following table represents our restricted stock awards and restricted stock units granted, vested, and forfeited during 2023.</w:t>
            </w:r>
          </w:p>
        </w:tc>
        <w:tc>
          <w:tcPr>
            <w:tcW w:w="0" w:type="dxa"/>
            <w:vAlign w:val="bottom"/>
          </w:tcPr>
          <w:p>
            <w:pPr>
              <w:spacing w:after="0"/>
              <w:rPr>
                <w:sz w:val="1"/>
                <w:szCs w:val="1"/>
                <w:color w:val="auto"/>
              </w:rPr>
            </w:pPr>
          </w:p>
        </w:tc>
      </w:tr>
      <w:tr>
        <w:trPr>
          <w:trHeight w:val="193"/>
        </w:trPr>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720" w:type="dxa"/>
            <w:vAlign w:val="bottom"/>
            <w:vMerge w:val="restart"/>
          </w:tcPr>
          <w:p>
            <w:pPr>
              <w:jc w:val="center"/>
              <w:ind w:left="1214"/>
              <w:spacing w:after="0"/>
              <w:rPr>
                <w:sz w:val="20"/>
                <w:szCs w:val="20"/>
                <w:color w:val="auto"/>
              </w:rPr>
            </w:pPr>
            <w:r>
              <w:rPr>
                <w:rFonts w:ascii="Times New Roman" w:cs="Times New Roman" w:eastAsia="Times New Roman" w:hAnsi="Times New Roman"/>
                <w:sz w:val="17"/>
                <w:szCs w:val="17"/>
                <w:color w:val="auto"/>
              </w:rPr>
              <w:t>Number of Shares</w:t>
            </w:r>
          </w:p>
        </w:tc>
        <w:tc>
          <w:tcPr>
            <w:tcW w:w="180" w:type="dxa"/>
            <w:vAlign w:val="bottom"/>
          </w:tcPr>
          <w:p>
            <w:pPr>
              <w:spacing w:after="0"/>
              <w:rPr>
                <w:sz w:val="16"/>
                <w:szCs w:val="16"/>
                <w:color w:val="auto"/>
              </w:rPr>
            </w:pPr>
          </w:p>
        </w:tc>
        <w:tc>
          <w:tcPr>
            <w:tcW w:w="2460" w:type="dxa"/>
            <w:vAlign w:val="bottom"/>
            <w:gridSpan w:val="2"/>
          </w:tcPr>
          <w:p>
            <w:pPr>
              <w:jc w:val="center"/>
              <w:ind w:right="1160"/>
              <w:spacing w:after="0" w:line="193" w:lineRule="exact"/>
              <w:rPr>
                <w:sz w:val="20"/>
                <w:szCs w:val="20"/>
                <w:color w:val="auto"/>
              </w:rPr>
            </w:pPr>
            <w:r>
              <w:rPr>
                <w:rFonts w:ascii="Times New Roman" w:cs="Times New Roman" w:eastAsia="Times New Roman" w:hAnsi="Times New Roman"/>
                <w:sz w:val="17"/>
                <w:szCs w:val="17"/>
                <w:color w:val="auto"/>
                <w:w w:val="98"/>
              </w:rPr>
              <w:t>Weighted Average</w:t>
            </w: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2"/>
          </w:tcPr>
          <w:p>
            <w:pPr>
              <w:jc w:val="center"/>
              <w:ind w:right="1160"/>
              <w:spacing w:after="0" w:line="167" w:lineRule="exact"/>
              <w:rPr>
                <w:sz w:val="20"/>
                <w:szCs w:val="20"/>
                <w:color w:val="auto"/>
              </w:rPr>
            </w:pPr>
            <w:r>
              <w:rPr>
                <w:rFonts w:ascii="Times New Roman" w:cs="Times New Roman" w:eastAsia="Times New Roman" w:hAnsi="Times New Roman"/>
                <w:sz w:val="17"/>
                <w:szCs w:val="17"/>
                <w:color w:val="auto"/>
              </w:rPr>
              <w:t>Grant-Date Fair</w:t>
            </w:r>
          </w:p>
        </w:tc>
        <w:tc>
          <w:tcPr>
            <w:tcW w:w="0" w:type="dxa"/>
            <w:vAlign w:val="bottom"/>
          </w:tcPr>
          <w:p>
            <w:pPr>
              <w:spacing w:after="0"/>
              <w:rPr>
                <w:sz w:val="1"/>
                <w:szCs w:val="1"/>
                <w:color w:val="auto"/>
              </w:rPr>
            </w:pPr>
          </w:p>
        </w:tc>
      </w:tr>
      <w:tr>
        <w:trPr>
          <w:trHeight w:val="232"/>
        </w:trPr>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720" w:type="dxa"/>
            <w:vAlign w:val="bottom"/>
          </w:tcPr>
          <w:p>
            <w:pPr>
              <w:jc w:val="center"/>
              <w:ind w:left="1254"/>
              <w:spacing w:after="0"/>
              <w:rPr>
                <w:sz w:val="20"/>
                <w:szCs w:val="20"/>
                <w:color w:val="auto"/>
              </w:rPr>
            </w:pPr>
            <w:r>
              <w:rPr>
                <w:rFonts w:ascii="Times New Roman" w:cs="Times New Roman" w:eastAsia="Times New Roman" w:hAnsi="Times New Roman"/>
                <w:sz w:val="17"/>
                <w:szCs w:val="17"/>
                <w:color w:val="auto"/>
              </w:rPr>
              <w:t>(in millions)</w:t>
            </w:r>
          </w:p>
        </w:tc>
        <w:tc>
          <w:tcPr>
            <w:tcW w:w="180" w:type="dxa"/>
            <w:vAlign w:val="bottom"/>
          </w:tcPr>
          <w:p>
            <w:pPr>
              <w:spacing w:after="0"/>
              <w:rPr>
                <w:sz w:val="20"/>
                <w:szCs w:val="20"/>
                <w:color w:val="auto"/>
              </w:rPr>
            </w:pPr>
          </w:p>
        </w:tc>
        <w:tc>
          <w:tcPr>
            <w:tcW w:w="2460" w:type="dxa"/>
            <w:vAlign w:val="bottom"/>
            <w:gridSpan w:val="2"/>
          </w:tcPr>
          <w:p>
            <w:pPr>
              <w:jc w:val="center"/>
              <w:ind w:right="1100"/>
              <w:spacing w:after="0"/>
              <w:rPr>
                <w:sz w:val="20"/>
                <w:szCs w:val="20"/>
                <w:color w:val="auto"/>
              </w:rPr>
            </w:pPr>
            <w:r>
              <w:rPr>
                <w:rFonts w:ascii="Times New Roman" w:cs="Times New Roman" w:eastAsia="Times New Roman" w:hAnsi="Times New Roman"/>
                <w:sz w:val="17"/>
                <w:szCs w:val="17"/>
                <w:color w:val="auto"/>
                <w:w w:val="98"/>
              </w:rPr>
              <w:t>Value per Share</w:t>
            </w: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shares at January 1, 2023</w:t>
            </w:r>
          </w:p>
        </w:tc>
        <w:tc>
          <w:tcPr>
            <w:tcW w:w="2720" w:type="dxa"/>
            <w:vAlign w:val="bottom"/>
            <w:tcBorders>
              <w:top w:val="single" w:sz="8" w:color="auto"/>
              <w:bottom w:val="single" w:sz="8" w:color="auto"/>
            </w:tcBorders>
            <w:shd w:val="clear" w:color="auto" w:fill="CCEEFF"/>
          </w:tcPr>
          <w:p>
            <w:pPr>
              <w:jc w:val="center"/>
              <w:ind w:left="1254"/>
              <w:spacing w:after="0"/>
              <w:rPr>
                <w:sz w:val="20"/>
                <w:szCs w:val="20"/>
                <w:color w:val="auto"/>
              </w:rPr>
            </w:pPr>
            <w:r>
              <w:rPr>
                <w:rFonts w:ascii="Times New Roman" w:cs="Times New Roman" w:eastAsia="Times New Roman" w:hAnsi="Times New Roman"/>
                <w:sz w:val="17"/>
                <w:szCs w:val="17"/>
                <w:color w:val="auto"/>
              </w:rPr>
              <w:t>22.1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Granted</w:t>
            </w:r>
          </w:p>
        </w:tc>
        <w:tc>
          <w:tcPr>
            <w:tcW w:w="2720" w:type="dxa"/>
            <w:vAlign w:val="bottom"/>
          </w:tcPr>
          <w:p>
            <w:pPr>
              <w:jc w:val="center"/>
              <w:ind w:left="1254"/>
              <w:spacing w:after="0"/>
              <w:rPr>
                <w:sz w:val="20"/>
                <w:szCs w:val="20"/>
                <w:color w:val="auto"/>
              </w:rPr>
            </w:pPr>
            <w:r>
              <w:rPr>
                <w:rFonts w:ascii="Times New Roman" w:cs="Times New Roman" w:eastAsia="Times New Roman" w:hAnsi="Times New Roman"/>
                <w:sz w:val="17"/>
                <w:szCs w:val="17"/>
                <w:color w:val="auto"/>
              </w:rPr>
              <w:t>7.6</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Vested</w:t>
            </w:r>
          </w:p>
        </w:tc>
        <w:tc>
          <w:tcPr>
            <w:tcW w:w="2720" w:type="dxa"/>
            <w:vAlign w:val="bottom"/>
            <w:shd w:val="clear" w:color="auto" w:fill="CCEEFF"/>
          </w:tcPr>
          <w:p>
            <w:pPr>
              <w:jc w:val="center"/>
              <w:ind w:left="1254"/>
              <w:spacing w:after="0"/>
              <w:rPr>
                <w:sz w:val="20"/>
                <w:szCs w:val="20"/>
                <w:color w:val="auto"/>
              </w:rPr>
            </w:pPr>
            <w:r>
              <w:rPr>
                <w:rFonts w:ascii="Times New Roman" w:cs="Times New Roman" w:eastAsia="Times New Roman" w:hAnsi="Times New Roman"/>
                <w:sz w:val="17"/>
                <w:szCs w:val="17"/>
                <w:color w:val="auto"/>
              </w:rPr>
              <w:t>(8.0)</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24.47</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2720" w:type="dxa"/>
            <w:vAlign w:val="bottom"/>
            <w:tcBorders>
              <w:bottom w:val="single" w:sz="8" w:color="auto"/>
            </w:tcBorders>
          </w:tcPr>
          <w:p>
            <w:pPr>
              <w:jc w:val="center"/>
              <w:ind w:left="1254"/>
              <w:spacing w:after="0"/>
              <w:rPr>
                <w:sz w:val="20"/>
                <w:szCs w:val="20"/>
                <w:color w:val="auto"/>
              </w:rPr>
            </w:pPr>
            <w:r>
              <w:rPr>
                <w:rFonts w:ascii="Times New Roman" w:cs="Times New Roman" w:eastAsia="Times New Roman" w:hAnsi="Times New Roman"/>
                <w:sz w:val="17"/>
                <w:szCs w:val="17"/>
                <w:color w:val="auto"/>
              </w:rPr>
              <w:t>(0.8)</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26.35</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shares at December 31, 2023</w:t>
            </w:r>
          </w:p>
        </w:tc>
        <w:tc>
          <w:tcPr>
            <w:tcW w:w="2720" w:type="dxa"/>
            <w:vAlign w:val="bottom"/>
            <w:tcBorders>
              <w:bottom w:val="single" w:sz="8" w:color="auto"/>
            </w:tcBorders>
            <w:shd w:val="clear" w:color="auto" w:fill="CCEEFF"/>
          </w:tcPr>
          <w:p>
            <w:pPr>
              <w:jc w:val="center"/>
              <w:ind w:left="1254"/>
              <w:spacing w:after="0"/>
              <w:rPr>
                <w:sz w:val="20"/>
                <w:szCs w:val="20"/>
                <w:color w:val="auto"/>
              </w:rPr>
            </w:pPr>
            <w:r>
              <w:rPr>
                <w:rFonts w:ascii="Times New Roman" w:cs="Times New Roman" w:eastAsia="Times New Roman" w:hAnsi="Times New Roman"/>
                <w:sz w:val="17"/>
                <w:szCs w:val="17"/>
                <w:color w:val="auto"/>
              </w:rPr>
              <w:t>20.9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27.42</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60" w:type="dxa"/>
            <w:vAlign w:val="bottom"/>
            <w:gridSpan w:val="2"/>
            <w:vMerge w:val="continue"/>
          </w:tcPr>
          <w:p>
            <w:pPr>
              <w:spacing w:after="0" w:line="20" w:lineRule="exact"/>
              <w:rPr>
                <w:sz w:val="1"/>
                <w:szCs w:val="1"/>
                <w:color w:val="auto"/>
              </w:rPr>
            </w:pPr>
          </w:p>
        </w:tc>
        <w:tc>
          <w:tcPr>
            <w:tcW w:w="416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660" w:type="dxa"/>
            <w:vAlign w:val="bottom"/>
            <w:gridSpan w:val="2"/>
            <w:vMerge w:val="continue"/>
          </w:tcPr>
          <w:p>
            <w:pPr>
              <w:spacing w:after="0"/>
              <w:rPr>
                <w:sz w:val="6"/>
                <w:szCs w:val="6"/>
                <w:color w:val="auto"/>
              </w:rPr>
            </w:pPr>
          </w:p>
        </w:tc>
        <w:tc>
          <w:tcPr>
            <w:tcW w:w="416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The weighted average grant-date fair value of shares granted was $31.73 during 2023, $31.40 during 2022, and $20.94 during 2021. The total fair value of shares vested was $283 million during 2023, $248 million during 2022, and $117 million during 2021. As of December 31, 2023, there was $377 million of unrecognized compensation cost, net of estimated forfeitures, related to nonvested restricted stock, which is expected to be recognized over a weighted average period of three years.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34"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Under the ESPP, eligible employees may have up to 10% of their earnings withheld, subject to some limitations, to be used to purchase shares of our common stock. The ESPP contains four three-month offering periods commencing on January 1, April 1, July 1, and October 1 of each year. The price at which common stock may be purchased under the ESPP in 2021, 2022, and 2023 is equal to 90% of the lower of the fair market value of the common stock on the commencement date or last trading day of each offering period. Under the ESPP, 104 million shares of common stock have been reserved for issuance, of which 76 million shares have been sold through the ESPP since the inception of the plan through December 31, 2023 and 28 million shares are available for future issuance. The stock to be offered may be authorized but unissued common shares or treasury shares.</w:t>
      </w:r>
    </w:p>
    <w:p>
      <w:pPr>
        <w:spacing w:after="0" w:line="207" w:lineRule="exact"/>
        <w:rPr>
          <w:sz w:val="20"/>
          <w:szCs w:val="20"/>
          <w:color w:val="auto"/>
        </w:rPr>
      </w:pPr>
    </w:p>
    <w:p>
      <w:pPr>
        <w:ind w:right="80" w:firstLine="619"/>
        <w:spacing w:after="0" w:line="276" w:lineRule="auto"/>
        <w:rPr>
          <w:sz w:val="20"/>
          <w:szCs w:val="20"/>
          <w:color w:val="auto"/>
        </w:rPr>
      </w:pPr>
      <w:r>
        <w:rPr>
          <w:rFonts w:ascii="Times New Roman" w:cs="Times New Roman" w:eastAsia="Times New Roman" w:hAnsi="Times New Roman"/>
          <w:sz w:val="17"/>
          <w:szCs w:val="17"/>
          <w:color w:val="auto"/>
        </w:rPr>
        <w:t>The fair value of ESPP shares was estimated using the Black-Scholes option pricing model. The expected volatility was a one-year historical volatility of our common stock. The assumptions and resulting fair values were as follows:</w:t>
      </w:r>
    </w:p>
    <w:p>
      <w:pPr>
        <w:spacing w:after="0" w:line="2" w:lineRule="exact"/>
        <w:rPr>
          <w:sz w:val="20"/>
          <w:szCs w:val="20"/>
          <w:color w:val="auto"/>
        </w:rPr>
      </w:pPr>
    </w:p>
    <w:tbl>
      <w:tblPr>
        <w:tblLayout w:type="fixed"/>
        <w:tblInd w:w="1040" w:type="dxa"/>
        <w:tblCellMar>
          <w:top w:w="0" w:type="dxa"/>
          <w:left w:w="0" w:type="dxa"/>
          <w:bottom w:w="0" w:type="dxa"/>
          <w:right w:w="0" w:type="dxa"/>
        </w:tblCellMar>
      </w:tblPr>
      <w:tr>
        <w:trPr>
          <w:trHeight w:val="223"/>
        </w:trPr>
        <w:tc>
          <w:tcPr>
            <w:tcW w:w="52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7"/>
                <w:szCs w:val="17"/>
                <w:color w:val="auto"/>
              </w:rPr>
              <w:t>Year Ended December 31</w:t>
            </w:r>
          </w:p>
        </w:tc>
        <w:tc>
          <w:tcPr>
            <w:tcW w:w="1160" w:type="dxa"/>
            <w:vAlign w:val="bottom"/>
            <w:tcBorders>
              <w:bottom w:val="single" w:sz="8" w:color="auto"/>
            </w:tcBorders>
          </w:tcPr>
          <w:p>
            <w:pPr>
              <w:spacing w:after="0"/>
              <w:rPr>
                <w:sz w:val="19"/>
                <w:szCs w:val="19"/>
                <w:color w:val="auto"/>
              </w:rPr>
            </w:pPr>
          </w:p>
        </w:tc>
      </w:tr>
      <w:tr>
        <w:trPr>
          <w:trHeight w:val="212"/>
        </w:trPr>
        <w:tc>
          <w:tcPr>
            <w:tcW w:w="5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5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2022</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69 %</w:t>
            </w:r>
          </w:p>
        </w:tc>
      </w:tr>
      <w:tr>
        <w:trPr>
          <w:trHeight w:val="219"/>
        </w:trPr>
        <w:tc>
          <w:tcPr>
            <w:tcW w:w="528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1.44 %</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1.67 %</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0.84 %</w:t>
            </w:r>
          </w:p>
        </w:tc>
      </w:tr>
      <w:tr>
        <w:trPr>
          <w:trHeight w:val="21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5.11 %</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1.42 %</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0.05 %</w:t>
            </w:r>
          </w:p>
        </w:tc>
      </w:tr>
      <w:tr>
        <w:trPr>
          <w:trHeight w:val="219"/>
        </w:trPr>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Weighted average grant-date fair value per share</w:t>
            </w:r>
          </w:p>
        </w:tc>
        <w:tc>
          <w:tcPr>
            <w:tcW w:w="9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7.16</w:t>
            </w: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5.63</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5.01</w:t>
            </w: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Income per Share</w:t>
      </w:r>
    </w:p>
    <w:p>
      <w:pPr>
        <w:spacing w:after="0" w:line="32" w:lineRule="exact"/>
        <w:rPr>
          <w:sz w:val="20"/>
          <w:szCs w:val="20"/>
          <w:color w:val="auto"/>
        </w:rPr>
      </w:pPr>
    </w:p>
    <w:p>
      <w:pPr>
        <w:ind w:right="360" w:firstLine="619"/>
        <w:spacing w:after="0" w:line="259" w:lineRule="auto"/>
        <w:rPr>
          <w:sz w:val="20"/>
          <w:szCs w:val="20"/>
          <w:color w:val="auto"/>
        </w:rPr>
      </w:pPr>
      <w:r>
        <w:rPr>
          <w:rFonts w:ascii="Times New Roman" w:cs="Times New Roman" w:eastAsia="Times New Roman" w:hAnsi="Times New Roman"/>
          <w:sz w:val="17"/>
          <w:szCs w:val="17"/>
          <w:color w:val="auto"/>
        </w:rPr>
        <w:t>Basic income or loss per share is based on the weighted average number of common shares outstanding during the period. Diluted income per share includes additional common shares that would have been outstanding if potential common shares with a dilutive effect had been issued. Antidilutive securities represent potentially dilutive securities which are excluded from the computation of diluted income or loss per share as their impact was antidilutive.</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reconciliation of the number of shares used for the basic and diluted income per share computations is as follows:</w:t>
      </w:r>
    </w:p>
    <w:p>
      <w:pPr>
        <w:spacing w:after="0" w:line="49"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6180" w:type="dxa"/>
            <w:vAlign w:val="bottom"/>
          </w:tcPr>
          <w:p>
            <w:pPr>
              <w:spacing w:after="0"/>
              <w:rPr>
                <w:sz w:val="19"/>
                <w:szCs w:val="19"/>
                <w:color w:val="auto"/>
              </w:rPr>
            </w:pPr>
          </w:p>
        </w:tc>
        <w:tc>
          <w:tcPr>
            <w:tcW w:w="2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Year Ended December 31</w:t>
            </w:r>
          </w:p>
        </w:tc>
        <w:tc>
          <w:tcPr>
            <w:tcW w:w="760" w:type="dxa"/>
            <w:vAlign w:val="bottom"/>
            <w:tcBorders>
              <w:bottom w:val="single" w:sz="8" w:color="auto"/>
            </w:tcBorders>
          </w:tcPr>
          <w:p>
            <w:pPr>
              <w:spacing w:after="0"/>
              <w:rPr>
                <w:sz w:val="19"/>
                <w:szCs w:val="19"/>
                <w:color w:val="auto"/>
              </w:rPr>
            </w:pPr>
          </w:p>
        </w:tc>
      </w:tr>
      <w:tr>
        <w:trPr>
          <w:trHeight w:val="212"/>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shares</w:t>
            </w:r>
          </w:p>
        </w:tc>
        <w:tc>
          <w:tcPr>
            <w:tcW w:w="12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2023</w:t>
            </w:r>
          </w:p>
        </w:tc>
        <w:tc>
          <w:tcPr>
            <w:tcW w:w="13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rPr>
              <w:t>2022</w:t>
            </w:r>
          </w:p>
        </w:tc>
        <w:tc>
          <w:tcPr>
            <w:tcW w:w="7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weighted average common shares outstanding</w:t>
            </w:r>
          </w:p>
        </w:tc>
        <w:tc>
          <w:tcPr>
            <w:tcW w:w="1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899</w:t>
            </w:r>
          </w:p>
        </w:tc>
        <w:tc>
          <w:tcPr>
            <w:tcW w:w="13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904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w:t>
            </w:r>
          </w:p>
        </w:tc>
      </w:tr>
      <w:tr>
        <w:trPr>
          <w:trHeight w:val="219"/>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Dilutive effect of awards granted under our stock incentive plans</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c>
          <w:tcPr>
            <w:tcW w:w="13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6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common shares outstanding</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902</w:t>
            </w:r>
          </w:p>
        </w:tc>
        <w:tc>
          <w:tcPr>
            <w:tcW w:w="13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908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w:t>
            </w:r>
          </w:p>
        </w:tc>
      </w:tr>
      <w:tr>
        <w:trPr>
          <w:trHeight w:val="20"/>
        </w:trPr>
        <w:tc>
          <w:tcPr>
            <w:tcW w:w="6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18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Antidilutive shares:</w:t>
            </w: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9"/>
        </w:trPr>
        <w:tc>
          <w:tcPr>
            <w:tcW w:w="6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with exercise price greater than the average market price</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w:t>
            </w:r>
          </w:p>
        </w:tc>
        <w:tc>
          <w:tcPr>
            <w:tcW w:w="13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15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2"/>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antidilutive shares</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12</w:t>
            </w:r>
          </w:p>
        </w:tc>
        <w:tc>
          <w:tcPr>
            <w:tcW w:w="13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15</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67" w:name="page68"/>
    <w:bookmarkEnd w:id="67"/>
    <w:p>
      <w:pPr>
        <w:ind w:left="40"/>
        <w:spacing w:after="0"/>
        <w:tabs>
          <w:tab w:leader="none" w:pos="76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Consolidated Financial Statements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Financial Instruments and Risk Management</w:t>
      </w:r>
    </w:p>
    <w:p>
      <w:pPr>
        <w:spacing w:after="0" w:line="32" w:lineRule="exact"/>
        <w:rPr>
          <w:sz w:val="20"/>
          <w:szCs w:val="20"/>
          <w:color w:val="auto"/>
        </w:rPr>
      </w:pPr>
    </w:p>
    <w:p>
      <w:pPr>
        <w:ind w:right="160" w:firstLine="619"/>
        <w:spacing w:after="0" w:line="266" w:lineRule="auto"/>
        <w:rPr>
          <w:sz w:val="20"/>
          <w:szCs w:val="20"/>
          <w:color w:val="auto"/>
        </w:rPr>
      </w:pPr>
      <w:r>
        <w:rPr>
          <w:rFonts w:ascii="Times New Roman" w:cs="Times New Roman" w:eastAsia="Times New Roman" w:hAnsi="Times New Roman"/>
          <w:sz w:val="17"/>
          <w:szCs w:val="17"/>
          <w:color w:val="auto"/>
        </w:rPr>
        <w:t>The carrying amount of cash and equivalents, receivables, and accounts payable, as reflected in the consolidated balance sheets, approximates fair value due to the short maturities of these instruments.</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carrying amount and fair value of our total debt is as follows:</w:t>
      </w:r>
    </w:p>
    <w:p>
      <w:pPr>
        <w:spacing w:after="0" w:line="282"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2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294"/>
              <w:spacing w:after="0"/>
              <w:rPr>
                <w:sz w:val="20"/>
                <w:szCs w:val="20"/>
                <w:color w:val="auto"/>
              </w:rPr>
            </w:pPr>
            <w:r>
              <w:rPr>
                <w:rFonts w:ascii="Times New Roman" w:cs="Times New Roman" w:eastAsia="Times New Roman" w:hAnsi="Times New Roman"/>
                <w:sz w:val="17"/>
                <w:szCs w:val="17"/>
                <w:color w:val="auto"/>
              </w:rPr>
              <w:t>December 31, 2023</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294"/>
              <w:spacing w:after="0"/>
              <w:rPr>
                <w:sz w:val="20"/>
                <w:szCs w:val="20"/>
                <w:color w:val="auto"/>
              </w:rPr>
            </w:pPr>
            <w:r>
              <w:rPr>
                <w:rFonts w:ascii="Times New Roman" w:cs="Times New Roman" w:eastAsia="Times New Roman" w:hAnsi="Times New Roman"/>
                <w:sz w:val="17"/>
                <w:szCs w:val="17"/>
                <w:color w:val="auto"/>
              </w:rPr>
              <w:t>December 31, 2022</w:t>
            </w: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2"/>
        </w:trPr>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Level 2</w:t>
            </w:r>
          </w:p>
        </w:tc>
        <w:tc>
          <w:tcPr>
            <w:tcW w:w="22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7"/>
                <w:szCs w:val="17"/>
                <w:color w:val="auto"/>
              </w:rPr>
              <w:t>Total fair value Carrying value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Level 1</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Level 2</w:t>
            </w:r>
          </w:p>
        </w:tc>
        <w:tc>
          <w:tcPr>
            <w:tcW w:w="22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7"/>
                <w:szCs w:val="17"/>
                <w:color w:val="auto"/>
              </w:rPr>
              <w:t>Total fair value Carrying value</w:t>
            </w:r>
          </w:p>
        </w:tc>
      </w:tr>
      <w:tr>
        <w:trPr>
          <w:trHeight w:val="237"/>
        </w:trPr>
        <w:tc>
          <w:tcPr>
            <w:tcW w:w="2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debt</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7,419</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7,797</w:t>
            </w:r>
          </w:p>
        </w:tc>
        <w:tc>
          <w:tcPr>
            <w:tcW w:w="42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7,636</w:t>
            </w: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6,539</w:t>
            </w: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7,456</w:t>
            </w:r>
          </w:p>
        </w:tc>
        <w:tc>
          <w:tcPr>
            <w:tcW w:w="40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7,928</w:t>
            </w: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60" w:firstLine="619"/>
        <w:spacing w:after="0" w:line="287" w:lineRule="auto"/>
        <w:rPr>
          <w:sz w:val="20"/>
          <w:szCs w:val="20"/>
          <w:color w:val="auto"/>
        </w:rPr>
      </w:pPr>
      <w:r>
        <w:rPr>
          <w:rFonts w:ascii="Times New Roman" w:cs="Times New Roman" w:eastAsia="Times New Roman" w:hAnsi="Times New Roman"/>
          <w:sz w:val="17"/>
          <w:szCs w:val="17"/>
          <w:color w:val="auto"/>
        </w:rPr>
        <w:t>The total fair value of our debt increased during 2023 as a result of lower treasury yields which was partially offset by $300 million in debt repurchases, as discussed in Note 10.</w:t>
      </w:r>
    </w:p>
    <w:p>
      <w:pPr>
        <w:spacing w:after="0" w:line="177"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Our debt categorized within level 1 on the fair value hierarchy is calculated using quoted prices in active markets for identical liabilities with transactions occurring on the last two days of period-end. Our debt categorized within level 2 on the fair value hierarchy is calculated using significant observable inputs for similar liabilities where estimated values are determined from observable data points on our other bonds and on other similarly rated corporate debt or from observable data points of transactions occurring prior to two days from period-end and adjusting for changes in market conditions. Differences between the periods presented in our level 1 and level 2 classification of our long-term debt relate to the timing of when third party market transactions on our debt are executed. We have no debt categorized within level 3 on the fair value hierarchy.</w:t>
      </w:r>
    </w:p>
    <w:p>
      <w:pPr>
        <w:spacing w:after="0" w:line="199"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We are exposed to market risk from changes in foreign currency exchange rates and interest rates. We selectively manage these exposures through the use of derivative instruments, including forward foreign exchange contracts, foreign exchange options and interest rate swaps. The objective of our risk management strategy is to minimize the volatility from fluctuations in foreign currency and interest rates. We do not use derivative instruments for trading purposes. The fair value of our forward contracts, options, and interest rate swaps was not material as of December 31, 2023 or December 31, 2022. The counterparties to our derivatives are primarily global commercial and investment banks.</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22" w:lineRule="exact"/>
        <w:rPr>
          <w:sz w:val="20"/>
          <w:szCs w:val="20"/>
          <w:color w:val="auto"/>
        </w:rPr>
      </w:pPr>
    </w:p>
    <w:p>
      <w:pPr>
        <w:ind w:right="120" w:firstLine="619"/>
        <w:spacing w:after="0" w:line="255" w:lineRule="auto"/>
        <w:rPr>
          <w:sz w:val="20"/>
          <w:szCs w:val="20"/>
          <w:color w:val="auto"/>
        </w:rPr>
      </w:pPr>
      <w:r>
        <w:rPr>
          <w:rFonts w:ascii="Times New Roman" w:cs="Times New Roman" w:eastAsia="Times New Roman" w:hAnsi="Times New Roman"/>
          <w:sz w:val="17"/>
          <w:szCs w:val="17"/>
          <w:color w:val="auto"/>
        </w:rPr>
        <w:t>We have operations in many international locations and are involved in transactions denominated in currencies other than the United States dollar, our functional currency, which exposes us to foreign currency exchange rate risk. Techniques in managing foreign currency exchange risk include, but are not limited to, foreign currency borrowing and investing, and the use of currency exchange instruments. We attempt to selectively manage significant exposures to potential foreign currency exchange losses based on current market conditions, future operating activities, and the associated cost in relation to the perceived risk of loss. The purpose of our foreign currency risk management activities is to minimize the risk that our cash flows from the purchase and sale of products and services in foreign currencies will be adversely affected by changes in exchange rates.</w:t>
      </w:r>
    </w:p>
    <w:p>
      <w:pPr>
        <w:spacing w:after="0" w:line="205" w:lineRule="exact"/>
        <w:rPr>
          <w:sz w:val="20"/>
          <w:szCs w:val="20"/>
          <w:color w:val="auto"/>
        </w:rPr>
      </w:pPr>
    </w:p>
    <w:p>
      <w:pPr>
        <w:ind w:right="180" w:firstLine="619"/>
        <w:spacing w:after="0" w:line="264" w:lineRule="auto"/>
        <w:rPr>
          <w:sz w:val="20"/>
          <w:szCs w:val="20"/>
          <w:color w:val="auto"/>
        </w:rPr>
      </w:pPr>
      <w:r>
        <w:rPr>
          <w:rFonts w:ascii="Times New Roman" w:cs="Times New Roman" w:eastAsia="Times New Roman" w:hAnsi="Times New Roman"/>
          <w:sz w:val="17"/>
          <w:szCs w:val="17"/>
          <w:color w:val="auto"/>
        </w:rPr>
        <w:t>We use forward contracts and options to manage our exposure to fluctuations in the currencies of certain countries in which we do business internationally. These instruments are not treated as hedges for accounting purposes, generally have an expiration date of one year or less, and are not exchange traded. While these instruments are subject to fluctuations in value, the fluctuations are generally offset by the value of the underlying exposures being managed. The use of some of these instruments may limit our ability to benefit from favorable fluctuations in foreign currency exchange rates.</w:t>
      </w:r>
    </w:p>
    <w:p>
      <w:pPr>
        <w:spacing w:after="0" w:line="197" w:lineRule="exact"/>
        <w:rPr>
          <w:sz w:val="20"/>
          <w:szCs w:val="20"/>
          <w:color w:val="auto"/>
        </w:rPr>
      </w:pPr>
    </w:p>
    <w:p>
      <w:pPr>
        <w:ind w:right="260" w:firstLine="619"/>
        <w:spacing w:after="0" w:line="270" w:lineRule="auto"/>
        <w:rPr>
          <w:sz w:val="20"/>
          <w:szCs w:val="20"/>
          <w:color w:val="auto"/>
        </w:rPr>
      </w:pPr>
      <w:r>
        <w:rPr>
          <w:rFonts w:ascii="Times New Roman" w:cs="Times New Roman" w:eastAsia="Times New Roman" w:hAnsi="Times New Roman"/>
          <w:sz w:val="17"/>
          <w:szCs w:val="17"/>
          <w:color w:val="auto"/>
        </w:rPr>
        <w:t>Derivatives are not utilized to manage exposures in some currencies due primarily to the lack of available markets, cost considerations, or immaterial exposures (non-hedged currencies). We attempt to minimize foreign currency exposure in non-hedged currencies and recognize that pricing for the services and products offered in these countries should account for the cost of exchange rate devaluations.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8" w:name="page69"/>
    <w:bookmarkEnd w:id="68"/>
    <w:p>
      <w:pPr>
        <w:ind w:left="40"/>
        <w:spacing w:after="0"/>
        <w:tabs>
          <w:tab w:leader="none" w:pos="76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Consolidated Financial Statements</w:t>
      </w:r>
    </w:p>
    <w:p>
      <w:pPr>
        <w:spacing w:after="0" w:line="200" w:lineRule="exact"/>
        <w:rPr>
          <w:sz w:val="20"/>
          <w:szCs w:val="20"/>
          <w:color w:val="auto"/>
        </w:rPr>
      </w:pPr>
    </w:p>
    <w:p>
      <w:pPr>
        <w:spacing w:after="0" w:line="339" w:lineRule="exact"/>
        <w:rPr>
          <w:sz w:val="20"/>
          <w:szCs w:val="20"/>
          <w:color w:val="auto"/>
        </w:rPr>
      </w:pPr>
    </w:p>
    <w:p>
      <w:pPr>
        <w:ind w:right="180" w:firstLine="619"/>
        <w:spacing w:after="0" w:line="260" w:lineRule="auto"/>
        <w:rPr>
          <w:sz w:val="20"/>
          <w:szCs w:val="20"/>
          <w:color w:val="auto"/>
        </w:rPr>
      </w:pPr>
      <w:r>
        <w:rPr>
          <w:rFonts w:ascii="Times New Roman" w:cs="Times New Roman" w:eastAsia="Times New Roman" w:hAnsi="Times New Roman"/>
          <w:sz w:val="17"/>
          <w:szCs w:val="17"/>
          <w:color w:val="auto"/>
        </w:rPr>
        <w:t>The notional amounts of open foreign exchange derivatives were $715 million at December 31, 2023 and $650 million at December 31, 2022. The notional amounts of these instruments do not generally represent amounts exchanged by the parties, and thus are not a measure of our exposure or of the cash requirements related to these contracts. The fair value of our foreign exchange derivatives as of December 31, 2023 and December 31, 2022 is included in both "Other current assets" and in "Other current liabilities" in our consolidated balance sheets and was immaterial. The fair value of these instruments is categorized within level 2 on the fair value hierarchy and was determined using a market approach with certain inputs, such as notional amounts hedged, exchange rates, and other terms of the contracts that are observable in the market or can be derived from or corroborated by observable data.</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34" w:lineRule="exact"/>
        <w:rPr>
          <w:sz w:val="20"/>
          <w:szCs w:val="20"/>
          <w:color w:val="auto"/>
        </w:rPr>
      </w:pPr>
    </w:p>
    <w:p>
      <w:pPr>
        <w:ind w:right="40" w:firstLine="619"/>
        <w:spacing w:after="0" w:line="266" w:lineRule="auto"/>
        <w:rPr>
          <w:sz w:val="20"/>
          <w:szCs w:val="20"/>
          <w:color w:val="auto"/>
        </w:rPr>
      </w:pPr>
      <w:r>
        <w:rPr>
          <w:rFonts w:ascii="Times New Roman" w:cs="Times New Roman" w:eastAsia="Times New Roman" w:hAnsi="Times New Roman"/>
          <w:sz w:val="17"/>
          <w:szCs w:val="17"/>
          <w:color w:val="auto"/>
        </w:rPr>
        <w:t>We are subject to interest rate risk on our debt and investment portfolios. We had fixed rate long-term debt totaling $7.6 billion at December 31, 2023 and $7.9 billion at December 31, 2022. We maintain an interest rate management strategy that is intended to mitigate the exposure to changes in interest rates.</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Credit risk</w:t>
      </w:r>
    </w:p>
    <w:p>
      <w:pPr>
        <w:spacing w:after="0" w:line="34" w:lineRule="exact"/>
        <w:rPr>
          <w:sz w:val="20"/>
          <w:szCs w:val="20"/>
          <w:color w:val="auto"/>
        </w:rPr>
      </w:pPr>
    </w:p>
    <w:p>
      <w:pPr>
        <w:ind w:firstLine="619"/>
        <w:spacing w:after="0" w:line="255" w:lineRule="auto"/>
        <w:rPr>
          <w:sz w:val="20"/>
          <w:szCs w:val="20"/>
          <w:color w:val="auto"/>
        </w:rPr>
      </w:pPr>
      <w:r>
        <w:rPr>
          <w:rFonts w:ascii="Times New Roman" w:cs="Times New Roman" w:eastAsia="Times New Roman" w:hAnsi="Times New Roman"/>
          <w:sz w:val="17"/>
          <w:szCs w:val="17"/>
          <w:color w:val="auto"/>
        </w:rPr>
        <w:t>Financial instruments that potentially subject us to concentrations of credit risk are primarily cash equivalents and net trade receivables. It is our practice to place our cash equivalents in high quality investments with various institutions. Our net trade receivables are from a broad and diverse group of customers and are generally not collateralized. As of December 31, 2023, 33% of our net trade receivables were from customers in the United States and 9% were from customers in Mexico. As of December 31, 2022, 38% of our net trade receivables were from customers in the United States and 11% were from customers in Mexico. We maintain an allowance for credit losses based upon several factors, including historical collection experience, current aging status of the customer accounts and financial condition of our customers. See Note 5 for further information.</w:t>
      </w:r>
    </w:p>
    <w:p>
      <w:pPr>
        <w:spacing w:after="0" w:line="207"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During the fourth quarter of 2023, we entered into a credit default swap ("CDS") with a third-party financial institution. The notional amount of the CDS, which was $300 million at the end of January 2024, will reduce on a monthly basis over its 26-month term. The CDS relates to a borrowing provided by the financial institution to one of our primary customers in Mexico, a portion of the proceeds of which was utilized by this customer to pay certain of our outstanding receivables. The fair value of this derivative liability was not material at December 31, 2023.</w:t>
      </w:r>
    </w:p>
    <w:p>
      <w:pPr>
        <w:spacing w:after="0" w:line="197"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We do not have any significant concentrations of credit risk with any individual counterparty to our derivative contracts. We select counterparties to those contracts based on our belief that each counterparty’s profitability, balance sheet, and capacity for timely payment of financial commitments is unlikely to be materially adversely affected by foreseeable events.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Retirement Plans</w:t>
      </w:r>
    </w:p>
    <w:p>
      <w:pPr>
        <w:spacing w:after="0" w:line="32" w:lineRule="exact"/>
        <w:rPr>
          <w:sz w:val="20"/>
          <w:szCs w:val="20"/>
          <w:color w:val="auto"/>
        </w:rPr>
      </w:pPr>
    </w:p>
    <w:p>
      <w:pPr>
        <w:ind w:right="460" w:firstLine="619"/>
        <w:spacing w:after="0" w:line="266" w:lineRule="auto"/>
        <w:rPr>
          <w:sz w:val="20"/>
          <w:szCs w:val="20"/>
          <w:color w:val="auto"/>
        </w:rPr>
      </w:pPr>
      <w:r>
        <w:rPr>
          <w:rFonts w:ascii="Times New Roman" w:cs="Times New Roman" w:eastAsia="Times New Roman" w:hAnsi="Times New Roman"/>
          <w:sz w:val="17"/>
          <w:szCs w:val="17"/>
          <w:color w:val="auto"/>
        </w:rPr>
        <w:t>Our company and subsidiaries have various plans that cover a significant number of our employees. These plans include defined contribution plans, defined benefit plans, and other postretirement plans:</w:t>
      </w:r>
    </w:p>
    <w:p>
      <w:pPr>
        <w:spacing w:after="0" w:line="14" w:lineRule="exact"/>
        <w:rPr>
          <w:sz w:val="20"/>
          <w:szCs w:val="20"/>
          <w:color w:val="auto"/>
        </w:rPr>
      </w:pPr>
    </w:p>
    <w:p>
      <w:pPr>
        <w:ind w:left="780" w:right="120" w:hanging="158"/>
        <w:spacing w:after="0" w:line="261" w:lineRule="auto"/>
        <w:tabs>
          <w:tab w:leader="none" w:pos="85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defined contribution plans provide retirement benefits in return for services rendered. These plans provide an individual account for each participant and have terms that specify how contributions to the participant’s account are to be determined rather than the amount of pension benefits the participant is to receive. Contributions to these plans are based on a percentage of pre-tax income, after-tax income, or discretionary amounts determined on an annual basis. Our expense for the defined contribution plans totaled $181 million in 2023, $160 million in 2022, and $136 million in 2021. The increase in expense from 2022 to 2023 was due to headcount and salary increase for the year ended December 31, 2023.</w:t>
      </w:r>
    </w:p>
    <w:p>
      <w:pPr>
        <w:spacing w:after="0" w:line="19" w:lineRule="exact"/>
        <w:rPr>
          <w:rFonts w:ascii="Times New Roman" w:cs="Times New Roman" w:eastAsia="Times New Roman" w:hAnsi="Times New Roman"/>
          <w:sz w:val="17"/>
          <w:szCs w:val="17"/>
          <w:color w:val="auto"/>
        </w:rPr>
      </w:pPr>
    </w:p>
    <w:p>
      <w:pPr>
        <w:ind w:left="780" w:right="80" w:hanging="158"/>
        <w:spacing w:after="0" w:line="270" w:lineRule="auto"/>
        <w:tabs>
          <w:tab w:leader="none" w:pos="85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defined benefit plans, which include both overfunded and underfunded pension plans, define an amount of pension benefit to be provided, usually as a function of age, years of service and/or compensation. The underfunded obligations and net periodic benefit cost of our United States defined benefit plans were not material for the periods presented; and</w:t>
      </w:r>
    </w:p>
    <w:p>
      <w:pPr>
        <w:spacing w:after="0" w:line="10" w:lineRule="exact"/>
        <w:rPr>
          <w:rFonts w:ascii="Times New Roman" w:cs="Times New Roman" w:eastAsia="Times New Roman" w:hAnsi="Times New Roman"/>
          <w:sz w:val="17"/>
          <w:szCs w:val="17"/>
          <w:color w:val="auto"/>
        </w:rPr>
      </w:pPr>
    </w:p>
    <w:p>
      <w:pPr>
        <w:ind w:left="780" w:right="200" w:hanging="158"/>
        <w:spacing w:after="0" w:line="287" w:lineRule="auto"/>
        <w:tabs>
          <w:tab w:leader="none" w:pos="85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postretirement plans other than pensions are offered to specific eligible employees. The accumulated benefit obligations and net periodic benefit cost for these plans were not material for the periods presented.</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Funded status</w:t>
      </w:r>
    </w:p>
    <w:p>
      <w:pPr>
        <w:spacing w:after="0" w:line="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our international pension plans, at December 31, 2023, the projected benefit obligation was $745 million and the fair value of plan assets was $622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which resulted in an underfunded obligation of $123 million. At December 31, 2022, the projected benefit obligation was $669 million and the fair value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plan assets was $665 million, which resulted in an underfunded obligation of $4 million. The accumulated benefit obligation for our international plans was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$672 million at December 31, 2023 and $601 million at December 31, 2022. The increase in projected benefit obligation and accumulated benefit obligation from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2022 to 2023 was due to assumption changes, mainly a decrease in discount rate.</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9" w:name="page70"/>
    <w:bookmarkEnd w:id="69"/>
    <w:p>
      <w:pPr>
        <w:ind w:left="40"/>
        <w:spacing w:after="0"/>
        <w:tabs>
          <w:tab w:leader="none" w:pos="76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7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presents additional information about our international pension plans.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5"/>
        </w:trPr>
        <w:tc>
          <w:tcPr>
            <w:tcW w:w="240" w:type="dxa"/>
            <w:vAlign w:val="bottom"/>
          </w:tcPr>
          <w:p>
            <w:pPr>
              <w:spacing w:after="0"/>
              <w:rPr>
                <w:sz w:val="21"/>
                <w:szCs w:val="21"/>
                <w:color w:val="auto"/>
              </w:rPr>
            </w:pPr>
          </w:p>
        </w:tc>
        <w:tc>
          <w:tcPr>
            <w:tcW w:w="7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December 31</w:t>
            </w:r>
          </w:p>
        </w:tc>
        <w:tc>
          <w:tcPr>
            <w:tcW w:w="960" w:type="dxa"/>
            <w:vAlign w:val="bottom"/>
            <w:tcBorders>
              <w:bottom w:val="single" w:sz="8" w:color="auto"/>
            </w:tcBorders>
          </w:tcPr>
          <w:p>
            <w:pPr>
              <w:spacing w:after="0"/>
              <w:rPr>
                <w:sz w:val="21"/>
                <w:szCs w:val="21"/>
                <w:color w:val="auto"/>
              </w:rPr>
            </w:pPr>
          </w:p>
        </w:tc>
      </w:tr>
      <w:tr>
        <w:trPr>
          <w:trHeight w:val="212"/>
        </w:trPr>
        <w:tc>
          <w:tcPr>
            <w:tcW w:w="240" w:type="dxa"/>
            <w:vAlign w:val="bottom"/>
          </w:tcPr>
          <w:p>
            <w:pPr>
              <w:spacing w:after="0"/>
              <w:rPr>
                <w:sz w:val="18"/>
                <w:szCs w:val="18"/>
                <w:color w:val="auto"/>
              </w:rPr>
            </w:pPr>
          </w:p>
        </w:tc>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2023</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240" w:type="dxa"/>
            <w:vAlign w:val="bottom"/>
          </w:tcPr>
          <w:p>
            <w:pPr>
              <w:spacing w:after="0"/>
              <w:rPr>
                <w:sz w:val="18"/>
                <w:szCs w:val="18"/>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Amounts recognized on the Consolidated Balance Sheets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9"/>
        </w:trPr>
        <w:tc>
          <w:tcPr>
            <w:tcW w:w="240" w:type="dxa"/>
            <w:vAlign w:val="bottom"/>
          </w:tcPr>
          <w:p>
            <w:pPr>
              <w:spacing w:after="0"/>
              <w:rPr>
                <w:sz w:val="19"/>
                <w:szCs w:val="19"/>
                <w:color w:val="auto"/>
              </w:rPr>
            </w:pPr>
          </w:p>
        </w:tc>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52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219"/>
        </w:trPr>
        <w:tc>
          <w:tcPr>
            <w:tcW w:w="240" w:type="dxa"/>
            <w:vAlign w:val="bottom"/>
          </w:tcPr>
          <w:p>
            <w:pPr>
              <w:spacing w:after="0"/>
              <w:rPr>
                <w:sz w:val="19"/>
                <w:szCs w:val="19"/>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employee compensation and benefits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9"/>
        </w:trPr>
        <w:tc>
          <w:tcPr>
            <w:tcW w:w="240" w:type="dxa"/>
            <w:vAlign w:val="bottom"/>
          </w:tcPr>
          <w:p>
            <w:pPr>
              <w:spacing w:after="0"/>
              <w:rPr>
                <w:sz w:val="19"/>
                <w:szCs w:val="19"/>
                <w:color w:val="auto"/>
              </w:rPr>
            </w:pPr>
          </w:p>
        </w:tc>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Employee compensation and benefits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0"/>
        </w:trPr>
        <w:tc>
          <w:tcPr>
            <w:tcW w:w="240" w:type="dxa"/>
            <w:vAlign w:val="bottom"/>
          </w:tcPr>
          <w:p>
            <w:pPr>
              <w:spacing w:after="0" w:line="20" w:lineRule="exact"/>
              <w:rPr>
                <w:sz w:val="1"/>
                <w:szCs w:val="1"/>
                <w:color w:val="auto"/>
              </w:rPr>
            </w:pPr>
          </w:p>
        </w:tc>
        <w:tc>
          <w:tcPr>
            <w:tcW w:w="7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1"/>
        </w:trPr>
        <w:tc>
          <w:tcPr>
            <w:tcW w:w="240" w:type="dxa"/>
            <w:vAlign w:val="bottom"/>
          </w:tcPr>
          <w:p>
            <w:pPr>
              <w:spacing w:after="0"/>
              <w:rPr>
                <w:sz w:val="18"/>
                <w:szCs w:val="18"/>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Pension plans in which projected benefit obligation exceeded plan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9"/>
        </w:trPr>
        <w:tc>
          <w:tcPr>
            <w:tcW w:w="240" w:type="dxa"/>
            <w:vAlign w:val="bottom"/>
          </w:tcPr>
          <w:p>
            <w:pPr>
              <w:spacing w:after="0"/>
              <w:rPr>
                <w:sz w:val="19"/>
                <w:szCs w:val="19"/>
                <w:color w:val="auto"/>
              </w:rPr>
            </w:pPr>
          </w:p>
        </w:tc>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Projected benefit obligation</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52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44"/>
        </w:trPr>
        <w:tc>
          <w:tcPr>
            <w:tcW w:w="240" w:type="dxa"/>
            <w:vAlign w:val="bottom"/>
          </w:tcPr>
          <w:p>
            <w:pPr>
              <w:spacing w:after="0"/>
              <w:rPr>
                <w:sz w:val="20"/>
                <w:szCs w:val="20"/>
                <w:color w:val="auto"/>
              </w:rPr>
            </w:pPr>
          </w:p>
        </w:tc>
        <w:tc>
          <w:tcPr>
            <w:tcW w:w="7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plan assets</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5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0"/>
        </w:trPr>
        <w:tc>
          <w:tcPr>
            <w:tcW w:w="240" w:type="dxa"/>
            <w:vAlign w:val="bottom"/>
          </w:tcPr>
          <w:p>
            <w:pPr>
              <w:spacing w:after="0" w:line="20" w:lineRule="exact"/>
              <w:rPr>
                <w:sz w:val="1"/>
                <w:szCs w:val="1"/>
                <w:color w:val="auto"/>
              </w:rPr>
            </w:pPr>
          </w:p>
        </w:tc>
        <w:tc>
          <w:tcPr>
            <w:tcW w:w="7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240" w:type="dxa"/>
            <w:vAlign w:val="bottom"/>
          </w:tcPr>
          <w:p>
            <w:pPr>
              <w:spacing w:after="0"/>
              <w:rPr>
                <w:sz w:val="16"/>
                <w:szCs w:val="16"/>
                <w:color w:val="auto"/>
              </w:rPr>
            </w:pPr>
          </w:p>
        </w:tc>
        <w:tc>
          <w:tcPr>
            <w:tcW w:w="72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b w:val="1"/>
                <w:bCs w:val="1"/>
                <w:color w:val="auto"/>
              </w:rPr>
              <w:t>Pension plans in which accumulated benefit obligation exceeded plan assets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9"/>
        </w:trPr>
        <w:tc>
          <w:tcPr>
            <w:tcW w:w="240" w:type="dxa"/>
            <w:vAlign w:val="bottom"/>
          </w:tcPr>
          <w:p>
            <w:pPr>
              <w:spacing w:after="0"/>
              <w:rPr>
                <w:sz w:val="19"/>
                <w:szCs w:val="19"/>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benefit obligation</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5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19"/>
        </w:trPr>
        <w:tc>
          <w:tcPr>
            <w:tcW w:w="240" w:type="dxa"/>
            <w:vAlign w:val="bottom"/>
          </w:tcPr>
          <w:p>
            <w:pPr>
              <w:spacing w:after="0"/>
              <w:rPr>
                <w:sz w:val="19"/>
                <w:szCs w:val="19"/>
                <w:color w:val="auto"/>
              </w:rPr>
            </w:pPr>
          </w:p>
        </w:tc>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Fair value of plan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0"/>
        </w:trPr>
        <w:tc>
          <w:tcPr>
            <w:tcW w:w="240" w:type="dxa"/>
            <w:vAlign w:val="bottom"/>
          </w:tcPr>
          <w:p>
            <w:pPr>
              <w:spacing w:after="0" w:line="20" w:lineRule="exact"/>
              <w:rPr>
                <w:sz w:val="1"/>
                <w:szCs w:val="1"/>
                <w:color w:val="auto"/>
              </w:rPr>
            </w:pPr>
          </w:p>
        </w:tc>
        <w:tc>
          <w:tcPr>
            <w:tcW w:w="7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 of plan assets</w:t>
      </w:r>
    </w:p>
    <w:p>
      <w:pPr>
        <w:spacing w:after="0" w:line="34" w:lineRule="exact"/>
        <w:rPr>
          <w:sz w:val="20"/>
          <w:szCs w:val="20"/>
          <w:color w:val="auto"/>
        </w:rPr>
      </w:pPr>
    </w:p>
    <w:p>
      <w:pPr>
        <w:jc w:val="both"/>
        <w:ind w:right="80" w:firstLine="619"/>
        <w:spacing w:after="0" w:line="259" w:lineRule="auto"/>
        <w:rPr>
          <w:sz w:val="20"/>
          <w:szCs w:val="20"/>
          <w:color w:val="auto"/>
        </w:rPr>
      </w:pPr>
      <w:r>
        <w:rPr>
          <w:rFonts w:ascii="Times New Roman" w:cs="Times New Roman" w:eastAsia="Times New Roman" w:hAnsi="Times New Roman"/>
          <w:sz w:val="17"/>
          <w:szCs w:val="17"/>
          <w:color w:val="auto"/>
        </w:rPr>
        <w:t>The fair value of our plan assets categorized within level 1 on the fair value hierarchy is based on quoted prices in active markets for identical assets. The fair value of our plan assets categorized within level 2 on the fair value hierarchy is based on significant observable inputs for similar assets. The fair value of our plan assets categorized within level 3 on the fair value hierarchy is based on significant unobservable inputs.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80" w:type="dxa"/>
            <w:vAlign w:val="bottom"/>
            <w:gridSpan w:val="9"/>
          </w:tcPr>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fair values of assets held by our international pension plans by level within the fair value hierarchy.</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Millions of dollars</w:t>
            </w:r>
          </w:p>
        </w:tc>
        <w:tc>
          <w:tcPr>
            <w:tcW w:w="1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114"/>
              <w:spacing w:after="0" w:line="193" w:lineRule="exact"/>
              <w:rPr>
                <w:sz w:val="20"/>
                <w:szCs w:val="20"/>
                <w:color w:val="auto"/>
              </w:rPr>
            </w:pPr>
            <w:r>
              <w:rPr>
                <w:rFonts w:ascii="Times New Roman" w:cs="Times New Roman" w:eastAsia="Times New Roman" w:hAnsi="Times New Roman"/>
                <w:sz w:val="17"/>
                <w:szCs w:val="17"/>
                <w:color w:val="auto"/>
              </w:rPr>
              <w:t>Net Asset</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440" w:type="dxa"/>
            <w:vAlign w:val="bottom"/>
            <w:tcBorders>
              <w:bottom w:val="single" w:sz="8" w:color="auto"/>
            </w:tcBorders>
            <w:vMerge w:val="continue"/>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Level 2</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Level 3</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Value (a)</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equivalents</w:t>
            </w:r>
          </w:p>
        </w:tc>
        <w:tc>
          <w:tcPr>
            <w:tcW w:w="13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2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0" w:type="dxa"/>
            <w:vAlign w:val="bottom"/>
          </w:tcPr>
          <w:p>
            <w:pPr>
              <w:spacing w:after="0"/>
              <w:rPr>
                <w:sz w:val="1"/>
                <w:szCs w:val="1"/>
                <w:color w:val="auto"/>
              </w:rPr>
            </w:pPr>
          </w:p>
        </w:tc>
      </w:tr>
      <w:tr>
        <w:trPr>
          <w:trHeight w:val="219"/>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Bond funds (b)</w:t>
            </w:r>
          </w:p>
        </w:tc>
        <w:tc>
          <w:tcPr>
            <w:tcW w:w="1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funds (d)</w:t>
            </w:r>
          </w:p>
        </w:tc>
        <w:tc>
          <w:tcPr>
            <w:tcW w:w="1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9"/>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investments (e)</w:t>
            </w:r>
          </w:p>
        </w:tc>
        <w:tc>
          <w:tcPr>
            <w:tcW w:w="1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37"/>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plan assets at December 31, 2023</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2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4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Cash and equivalents</w:t>
            </w:r>
          </w:p>
        </w:tc>
        <w:tc>
          <w:tcPr>
            <w:tcW w:w="1380" w:type="dxa"/>
            <w:vAlign w:val="bottom"/>
          </w:tcPr>
          <w:p>
            <w:pPr>
              <w:jc w:val="right"/>
              <w:ind w:right="14"/>
              <w:spacing w:after="0" w:line="191"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26</w:t>
            </w:r>
          </w:p>
        </w:tc>
        <w:tc>
          <w:tcPr>
            <w:tcW w:w="220" w:type="dxa"/>
            <w:vAlign w:val="bottom"/>
          </w:tcPr>
          <w:p>
            <w:pPr>
              <w:jc w:val="right"/>
              <w:ind w:right="14"/>
              <w:spacing w:after="0" w:line="191"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100</w:t>
            </w:r>
          </w:p>
        </w:tc>
        <w:tc>
          <w:tcPr>
            <w:tcW w:w="2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7"/>
                <w:szCs w:val="17"/>
                <w:color w:val="auto"/>
              </w:rPr>
              <w:t>— $</w:t>
            </w:r>
          </w:p>
        </w:tc>
        <w:tc>
          <w:tcPr>
            <w:tcW w:w="1200" w:type="dxa"/>
            <w:vAlign w:val="bottom"/>
            <w:gridSpan w:val="2"/>
          </w:tcPr>
          <w:p>
            <w:pPr>
              <w:jc w:val="right"/>
              <w:ind w:right="54"/>
              <w:spacing w:after="0" w:line="191" w:lineRule="exact"/>
              <w:rPr>
                <w:sz w:val="20"/>
                <w:szCs w:val="20"/>
                <w:color w:val="auto"/>
              </w:rPr>
            </w:pPr>
            <w:r>
              <w:rPr>
                <w:rFonts w:ascii="Times New Roman" w:cs="Times New Roman" w:eastAsia="Times New Roman" w:hAnsi="Times New Roman"/>
                <w:sz w:val="17"/>
                <w:szCs w:val="17"/>
                <w:color w:val="auto"/>
              </w:rPr>
              <w:t>— $</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Bond funds (b)</w:t>
            </w:r>
          </w:p>
        </w:tc>
        <w:tc>
          <w:tcPr>
            <w:tcW w:w="1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0" w:type="dxa"/>
            <w:vAlign w:val="bottom"/>
          </w:tcPr>
          <w:p>
            <w:pPr>
              <w:spacing w:after="0"/>
              <w:rPr>
                <w:sz w:val="1"/>
                <w:szCs w:val="1"/>
                <w:color w:val="auto"/>
              </w:rPr>
            </w:pPr>
          </w:p>
        </w:tc>
      </w:tr>
      <w:tr>
        <w:trPr>
          <w:trHeight w:val="219"/>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Alternatives funds (c)</w:t>
            </w:r>
          </w:p>
        </w:tc>
        <w:tc>
          <w:tcPr>
            <w:tcW w:w="1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funds (d)</w:t>
            </w:r>
          </w:p>
        </w:tc>
        <w:tc>
          <w:tcPr>
            <w:tcW w:w="1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19"/>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investments (e)</w:t>
            </w:r>
          </w:p>
        </w:tc>
        <w:tc>
          <w:tcPr>
            <w:tcW w:w="1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37"/>
        </w:trPr>
        <w:tc>
          <w:tcPr>
            <w:tcW w:w="4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plan assets at December 31, 2022</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2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360" w:right="200" w:hanging="340"/>
        <w:spacing w:after="0" w:line="229" w:lineRule="auto"/>
        <w:tabs>
          <w:tab w:leader="none" w:pos="3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investments measured at fair value using the Net Asset Value (NAV) per share practical expedient and thus has not been categorized in the fair value hierarchy. The fair value amounts presented in this table are intended to permit reconciliation of the fair value hierarchy to the total value of our international pension plans assets.</w:t>
      </w:r>
    </w:p>
    <w:p>
      <w:pPr>
        <w:spacing w:after="0" w:line="15" w:lineRule="exact"/>
        <w:rPr>
          <w:rFonts w:ascii="Times New Roman" w:cs="Times New Roman" w:eastAsia="Times New Roman" w:hAnsi="Times New Roman"/>
          <w:sz w:val="14"/>
          <w:szCs w:val="14"/>
          <w:color w:val="auto"/>
        </w:rPr>
      </w:pPr>
    </w:p>
    <w:p>
      <w:pPr>
        <w:ind w:left="360" w:hanging="340"/>
        <w:spacing w:after="0"/>
        <w:tabs>
          <w:tab w:leader="none" w:pos="3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Strategy of bond funds is to invest in diversified funds of fixed income securities of varying geographies and credit quality.</w:t>
      </w:r>
    </w:p>
    <w:p>
      <w:pPr>
        <w:spacing w:after="0" w:line="32" w:lineRule="exact"/>
        <w:rPr>
          <w:rFonts w:ascii="Times New Roman" w:cs="Times New Roman" w:eastAsia="Times New Roman" w:hAnsi="Times New Roman"/>
          <w:sz w:val="14"/>
          <w:szCs w:val="14"/>
          <w:color w:val="auto"/>
        </w:rPr>
      </w:pPr>
    </w:p>
    <w:p>
      <w:pPr>
        <w:ind w:left="360" w:hanging="340"/>
        <w:spacing w:after="0"/>
        <w:tabs>
          <w:tab w:leader="none" w:pos="3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Strategy of alternative funds is to invest in a fund of diversifying investments, including but not limited to reinsurance, commodities, and currencies.</w:t>
      </w:r>
    </w:p>
    <w:p>
      <w:pPr>
        <w:spacing w:after="0" w:line="32" w:lineRule="exact"/>
        <w:rPr>
          <w:rFonts w:ascii="Times New Roman" w:cs="Times New Roman" w:eastAsia="Times New Roman" w:hAnsi="Times New Roman"/>
          <w:sz w:val="14"/>
          <w:szCs w:val="14"/>
          <w:color w:val="auto"/>
        </w:rPr>
      </w:pPr>
    </w:p>
    <w:p>
      <w:pPr>
        <w:ind w:left="360" w:hanging="340"/>
        <w:spacing w:after="0"/>
        <w:tabs>
          <w:tab w:leader="none" w:pos="3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Strategy of real estate funds is to invest in diversified funds of real estate investment trusts and private real estate.</w:t>
      </w:r>
    </w:p>
    <w:p>
      <w:pPr>
        <w:spacing w:after="0" w:line="32" w:lineRule="exact"/>
        <w:rPr>
          <w:rFonts w:ascii="Times New Roman" w:cs="Times New Roman" w:eastAsia="Times New Roman" w:hAnsi="Times New Roman"/>
          <w:sz w:val="14"/>
          <w:szCs w:val="14"/>
          <w:color w:val="auto"/>
        </w:rPr>
      </w:pPr>
    </w:p>
    <w:p>
      <w:pPr>
        <w:ind w:left="360" w:hanging="340"/>
        <w:spacing w:after="0"/>
        <w:tabs>
          <w:tab w:leader="none" w:pos="3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investments primarily include investments in insurance contracts, balanced funds, and government bonds.</w:t>
      </w:r>
    </w:p>
    <w:p>
      <w:pPr>
        <w:spacing w:after="0" w:line="333" w:lineRule="exact"/>
        <w:rPr>
          <w:sz w:val="20"/>
          <w:szCs w:val="20"/>
          <w:color w:val="auto"/>
        </w:rPr>
      </w:pPr>
    </w:p>
    <w:p>
      <w:pPr>
        <w:ind w:right="60" w:firstLine="619"/>
        <w:spacing w:after="0" w:line="264" w:lineRule="auto"/>
        <w:rPr>
          <w:sz w:val="20"/>
          <w:szCs w:val="20"/>
          <w:color w:val="auto"/>
        </w:rPr>
      </w:pPr>
      <w:r>
        <w:rPr>
          <w:rFonts w:ascii="Times New Roman" w:cs="Times New Roman" w:eastAsia="Times New Roman" w:hAnsi="Times New Roman"/>
          <w:sz w:val="17"/>
          <w:szCs w:val="17"/>
          <w:color w:val="auto"/>
        </w:rPr>
        <w:t>Risk management practices for these plans include diversification by issuer, industry, and geography, as well as the use of multiple asset classes and investment managers within each asset class. Our investment strategy for our United Kingdom pension plan, which constituted 75% of our international pension plans’ projected benefit obligation at December 31, 2023 and is no longer accruing service benefits, aims to achieve full funding of the benefit obligation, with the plan's assets increasingly composed of investments whose cash flows match the projected liabilities of the plan.</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Net periodic benefit cost</w:t>
      </w:r>
    </w:p>
    <w:p>
      <w:pPr>
        <w:spacing w:after="0" w:line="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Net periodic benefit cost for our international pension plans was $32 million in 2023, $14 million in 2022, and $25 million in 2021.</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0" w:name="page71"/>
    <w:bookmarkEnd w:id="70"/>
    <w:p>
      <w:pPr>
        <w:ind w:left="40"/>
        <w:spacing w:after="0"/>
        <w:tabs>
          <w:tab w:leader="none" w:pos="762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8 | Notes to Consolidated Financial Statements</w:t>
      </w:r>
    </w:p>
    <w:p>
      <w:pPr>
        <w:spacing w:after="0" w:line="200" w:lineRule="exact"/>
        <w:rPr>
          <w:sz w:val="20"/>
          <w:szCs w:val="20"/>
          <w:color w:val="auto"/>
        </w:rPr>
      </w:pPr>
    </w:p>
    <w:p>
      <w:pPr>
        <w:spacing w:after="0" w:line="3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Actuarial assumptions</w:t>
      </w:r>
    </w:p>
    <w:p>
      <w:pPr>
        <w:spacing w:after="0" w:line="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Certain weighted-average actuarial assumptions used to determine benefit obligations of our international pension plans at December 31 were as follows:</w:t>
      </w:r>
    </w:p>
    <w:p>
      <w:pPr>
        <w:spacing w:after="0" w:line="33" w:lineRule="exact"/>
        <w:rPr>
          <w:sz w:val="20"/>
          <w:szCs w:val="20"/>
          <w:color w:val="auto"/>
        </w:rPr>
      </w:pPr>
    </w:p>
    <w:tbl>
      <w:tblPr>
        <w:tblLayout w:type="fixed"/>
        <w:tblInd w:w="1000" w:type="dxa"/>
        <w:tblCellMar>
          <w:top w:w="0" w:type="dxa"/>
          <w:left w:w="0" w:type="dxa"/>
          <w:bottom w:w="0" w:type="dxa"/>
          <w:right w:w="0" w:type="dxa"/>
        </w:tblCellMar>
      </w:tblPr>
      <w:tr>
        <w:trPr>
          <w:trHeight w:val="223"/>
        </w:trPr>
        <w:tc>
          <w:tcPr>
            <w:tcW w:w="508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jc w:val="center"/>
              <w:ind w:left="2494"/>
              <w:spacing w:after="0"/>
              <w:rPr>
                <w:sz w:val="20"/>
                <w:szCs w:val="20"/>
                <w:color w:val="auto"/>
              </w:rPr>
            </w:pPr>
            <w:r>
              <w:rPr>
                <w:rFonts w:ascii="Times New Roman" w:cs="Times New Roman" w:eastAsia="Times New Roman" w:hAnsi="Times New Roman"/>
                <w:sz w:val="17"/>
                <w:szCs w:val="17"/>
                <w:color w:val="auto"/>
                <w:w w:val="99"/>
              </w:rPr>
              <w:t>2023</w:t>
            </w: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3680" w:type="dxa"/>
            <w:vAlign w:val="bottom"/>
            <w:shd w:val="clear" w:color="auto" w:fill="CCEEFF"/>
          </w:tcPr>
          <w:p>
            <w:pPr>
              <w:jc w:val="center"/>
              <w:ind w:left="2514"/>
              <w:spacing w:after="0"/>
              <w:rPr>
                <w:sz w:val="20"/>
                <w:szCs w:val="20"/>
                <w:color w:val="auto"/>
              </w:rPr>
            </w:pPr>
            <w:r>
              <w:rPr>
                <w:rFonts w:ascii="Times New Roman" w:cs="Times New Roman" w:eastAsia="Times New Roman" w:hAnsi="Times New Roman"/>
                <w:sz w:val="17"/>
                <w:szCs w:val="17"/>
                <w:color w:val="auto"/>
              </w:rPr>
              <w:t>5.1%</w:t>
            </w:r>
          </w:p>
        </w:tc>
        <w:tc>
          <w:tcPr>
            <w:tcW w:w="1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5.7%</w:t>
            </w:r>
          </w:p>
        </w:tc>
      </w:tr>
      <w:tr>
        <w:trPr>
          <w:trHeight w:val="21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Rate of compensation increase</w:t>
            </w:r>
          </w:p>
        </w:tc>
        <w:tc>
          <w:tcPr>
            <w:tcW w:w="3680" w:type="dxa"/>
            <w:vAlign w:val="bottom"/>
            <w:tcBorders>
              <w:bottom w:val="single" w:sz="8" w:color="auto"/>
            </w:tcBorders>
          </w:tcPr>
          <w:p>
            <w:pPr>
              <w:jc w:val="center"/>
              <w:ind w:left="2514"/>
              <w:spacing w:after="0"/>
              <w:rPr>
                <w:sz w:val="20"/>
                <w:szCs w:val="20"/>
                <w:color w:val="auto"/>
              </w:rPr>
            </w:pPr>
            <w:r>
              <w:rPr>
                <w:rFonts w:ascii="Times New Roman" w:cs="Times New Roman" w:eastAsia="Times New Roman" w:hAnsi="Times New Roman"/>
                <w:sz w:val="17"/>
                <w:szCs w:val="17"/>
                <w:color w:val="auto"/>
              </w:rPr>
              <w:t>5.6%</w:t>
            </w: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5.5%</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Certain weighted-average actuarial assumptions used to determine net periodic benefit cost of our international pension plans for the years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were as follows:</w:t>
      </w:r>
    </w:p>
    <w:p>
      <w:pPr>
        <w:spacing w:after="0" w:line="33" w:lineRule="exact"/>
        <w:rPr>
          <w:sz w:val="20"/>
          <w:szCs w:val="20"/>
          <w:color w:val="auto"/>
        </w:rPr>
      </w:pPr>
    </w:p>
    <w:tbl>
      <w:tblPr>
        <w:tblLayout w:type="fixed"/>
        <w:tblInd w:w="1000" w:type="dxa"/>
        <w:tblCellMar>
          <w:top w:w="0" w:type="dxa"/>
          <w:left w:w="0" w:type="dxa"/>
          <w:bottom w:w="0" w:type="dxa"/>
          <w:right w:w="0" w:type="dxa"/>
        </w:tblCellMar>
      </w:tblPr>
      <w:tr>
        <w:trPr>
          <w:trHeight w:val="223"/>
        </w:trPr>
        <w:tc>
          <w:tcPr>
            <w:tcW w:w="48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center"/>
              <w:ind w:left="1614"/>
              <w:spacing w:after="0"/>
              <w:rPr>
                <w:sz w:val="20"/>
                <w:szCs w:val="20"/>
                <w:color w:val="auto"/>
              </w:rPr>
            </w:pPr>
            <w:r>
              <w:rPr>
                <w:rFonts w:ascii="Times New Roman" w:cs="Times New Roman" w:eastAsia="Times New Roman" w:hAnsi="Times New Roman"/>
                <w:sz w:val="17"/>
                <w:szCs w:val="17"/>
                <w:color w:val="auto"/>
              </w:rPr>
              <w:t>2023</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2780" w:type="dxa"/>
            <w:vAlign w:val="bottom"/>
            <w:shd w:val="clear" w:color="auto" w:fill="CCEEFF"/>
          </w:tcPr>
          <w:p>
            <w:pPr>
              <w:jc w:val="center"/>
              <w:ind w:left="1614"/>
              <w:spacing w:after="0"/>
              <w:rPr>
                <w:sz w:val="20"/>
                <w:szCs w:val="20"/>
                <w:color w:val="auto"/>
              </w:rPr>
            </w:pPr>
            <w:r>
              <w:rPr>
                <w:rFonts w:ascii="Times New Roman" w:cs="Times New Roman" w:eastAsia="Times New Roman" w:hAnsi="Times New Roman"/>
                <w:sz w:val="17"/>
                <w:szCs w:val="17"/>
                <w:color w:val="auto"/>
              </w:rPr>
              <w:t>5.6%</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w:t>
            </w:r>
          </w:p>
        </w:tc>
        <w:tc>
          <w:tcPr>
            <w:tcW w:w="1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1.8%</w:t>
            </w:r>
          </w:p>
        </w:tc>
      </w:tr>
      <w:tr>
        <w:trPr>
          <w:trHeight w:val="219"/>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long-term return on plan assets</w:t>
            </w:r>
          </w:p>
        </w:tc>
        <w:tc>
          <w:tcPr>
            <w:tcW w:w="2780" w:type="dxa"/>
            <w:vAlign w:val="bottom"/>
          </w:tcPr>
          <w:p>
            <w:pPr>
              <w:jc w:val="center"/>
              <w:ind w:left="1614"/>
              <w:spacing w:after="0"/>
              <w:rPr>
                <w:sz w:val="20"/>
                <w:szCs w:val="20"/>
                <w:color w:val="auto"/>
              </w:rPr>
            </w:pPr>
            <w:r>
              <w:rPr>
                <w:rFonts w:ascii="Times New Roman" w:cs="Times New Roman" w:eastAsia="Times New Roman" w:hAnsi="Times New Roman"/>
                <w:sz w:val="17"/>
                <w:szCs w:val="17"/>
                <w:color w:val="auto"/>
              </w:rPr>
              <w:t>3.8%</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11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2.7%</w:t>
            </w:r>
          </w:p>
        </w:tc>
      </w:tr>
      <w:tr>
        <w:trPr>
          <w:trHeight w:val="244"/>
        </w:trPr>
        <w:tc>
          <w:tcPr>
            <w:tcW w:w="4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Rate of compensation increase</w:t>
            </w:r>
          </w:p>
        </w:tc>
        <w:tc>
          <w:tcPr>
            <w:tcW w:w="2780" w:type="dxa"/>
            <w:vAlign w:val="bottom"/>
            <w:tcBorders>
              <w:bottom w:val="single" w:sz="8" w:color="auto"/>
            </w:tcBorders>
            <w:shd w:val="clear" w:color="auto" w:fill="CCEEFF"/>
          </w:tcPr>
          <w:p>
            <w:pPr>
              <w:jc w:val="center"/>
              <w:ind w:left="1614"/>
              <w:spacing w:after="0"/>
              <w:rPr>
                <w:sz w:val="20"/>
                <w:szCs w:val="20"/>
                <w:color w:val="auto"/>
              </w:rPr>
            </w:pPr>
            <w:r>
              <w:rPr>
                <w:rFonts w:ascii="Times New Roman" w:cs="Times New Roman" w:eastAsia="Times New Roman" w:hAnsi="Times New Roman"/>
                <w:sz w:val="17"/>
                <w:szCs w:val="17"/>
                <w:color w:val="auto"/>
              </w:rPr>
              <w:t>5.4%</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5.3%</w:t>
            </w:r>
          </w:p>
        </w:tc>
        <w:tc>
          <w:tcPr>
            <w:tcW w:w="11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5.9%</w:t>
            </w:r>
          </w:p>
        </w:tc>
      </w:tr>
      <w:tr>
        <w:trPr>
          <w:trHeight w:val="20"/>
        </w:trPr>
        <w:tc>
          <w:tcPr>
            <w:tcW w:w="488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280" w:firstLine="619"/>
        <w:spacing w:after="0" w:line="264" w:lineRule="auto"/>
        <w:rPr>
          <w:sz w:val="20"/>
          <w:szCs w:val="20"/>
          <w:color w:val="auto"/>
        </w:rPr>
      </w:pPr>
      <w:r>
        <w:rPr>
          <w:rFonts w:ascii="Times New Roman" w:cs="Times New Roman" w:eastAsia="Times New Roman" w:hAnsi="Times New Roman"/>
          <w:sz w:val="17"/>
          <w:szCs w:val="17"/>
          <w:color w:val="auto"/>
        </w:rPr>
        <w:t>Assumed long-term rates of return on plan assets, discount rates for estimating benefit obligations, and rates of compensation increases vary by plan according to local economic conditions. Where possible, discount rates were determined based on the prevailing market rates of a portfolio of high-quality debt instruments with maturities matching the expected timing of the payment of the benefit obligations. Expected long-term rates of return on plan assets were determined based upon an evaluation of our plan assets and historical trends and experience, taking into account current and expected market conditions.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information</w:t>
      </w:r>
    </w:p>
    <w:p>
      <w:pPr>
        <w:spacing w:after="0" w:line="34" w:lineRule="exact"/>
        <w:rPr>
          <w:sz w:val="20"/>
          <w:szCs w:val="20"/>
          <w:color w:val="auto"/>
        </w:rPr>
      </w:pPr>
    </w:p>
    <w:p>
      <w:pPr>
        <w:jc w:val="both"/>
        <w:ind w:right="40" w:firstLine="61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Contributions. </w:t>
      </w:r>
      <w:r>
        <w:rPr>
          <w:rFonts w:ascii="Times New Roman" w:cs="Times New Roman" w:eastAsia="Times New Roman" w:hAnsi="Times New Roman"/>
          <w:sz w:val="17"/>
          <w:szCs w:val="17"/>
          <w:color w:val="auto"/>
        </w:rPr>
        <w:t>Funding requirements for each plan are determined based on the local laws of the country where such plan resides. In certain countries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funding requirements are mandatory, while in other countries they are discretionary. We currently expect to contribute $2 million to our international pension plans in 2024.</w:t>
      </w:r>
    </w:p>
    <w:p>
      <w:pPr>
        <w:spacing w:after="0" w:line="197" w:lineRule="exact"/>
        <w:rPr>
          <w:sz w:val="20"/>
          <w:szCs w:val="20"/>
          <w:color w:val="auto"/>
        </w:rPr>
      </w:pPr>
    </w:p>
    <w:p>
      <w:pPr>
        <w:jc w:val="both"/>
        <w:ind w:right="20"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Benefit payments. </w:t>
      </w:r>
      <w:r>
        <w:rPr>
          <w:rFonts w:ascii="Times New Roman" w:cs="Times New Roman" w:eastAsia="Times New Roman" w:hAnsi="Times New Roman"/>
          <w:sz w:val="17"/>
          <w:szCs w:val="17"/>
          <w:color w:val="auto"/>
        </w:rPr>
        <w:t>Expected benefit payments over the next 10 years for our international pension plans are as follows: $38 million in 2024, $35 million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2025, $37 million in 2026, $39 million in 2027, $42 million in 2028, and an aggregate $247 million in years 2029 through 2033.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New Accounting Pronouncements</w:t>
      </w:r>
    </w:p>
    <w:p>
      <w:pPr>
        <w:spacing w:after="0" w:line="32" w:lineRule="exact"/>
        <w:rPr>
          <w:sz w:val="20"/>
          <w:szCs w:val="20"/>
          <w:color w:val="auto"/>
        </w:rPr>
      </w:pPr>
    </w:p>
    <w:p>
      <w:pPr>
        <w:ind w:right="140" w:firstLine="619"/>
        <w:spacing w:after="0" w:line="255" w:lineRule="auto"/>
        <w:rPr>
          <w:sz w:val="20"/>
          <w:szCs w:val="20"/>
          <w:color w:val="auto"/>
        </w:rPr>
      </w:pPr>
      <w:r>
        <w:rPr>
          <w:rFonts w:ascii="Times New Roman" w:cs="Times New Roman" w:eastAsia="Times New Roman" w:hAnsi="Times New Roman"/>
          <w:sz w:val="17"/>
          <w:szCs w:val="17"/>
          <w:color w:val="auto"/>
        </w:rPr>
        <w:t>In November 2023, the Financial Accounting Standard Board (FASB) issued ASU 2023-07, “Segment reporting (Topic 280)”, which is intended to improve reportable segment disclosure requirements through enhanced disclosures about significant segment expenses. The amendments require disclosure of significant segment expenses regularly provided to the chief operating decision maker (CODM) as well as other segment items, extend certain annual disclosures to interim periods, clarify the applicability to single reportable segment entities, permit more than one measure of profit or loss to be reported under certain conditions, and require disclosure of the title and position of the CODM. We expect to adopt the new disclosures as required for the year ended December 31, 2024. We are currently evaluating the impact on the related disclosures.</w:t>
      </w:r>
    </w:p>
    <w:p>
      <w:pPr>
        <w:spacing w:after="0" w:line="207" w:lineRule="exact"/>
        <w:rPr>
          <w:sz w:val="20"/>
          <w:szCs w:val="20"/>
          <w:color w:val="auto"/>
        </w:rPr>
      </w:pPr>
    </w:p>
    <w:p>
      <w:pPr>
        <w:ind w:right="120" w:firstLine="619"/>
        <w:spacing w:after="0" w:line="264"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which requires the annual financial statements to include consistent categories and greater disaggregation of information in the rate reconciliation, and income taxes paid disaggregated by jurisdiction. ASU 2023-09 is effective for the Company’s annual reporting periods beginning after December 15, 2024, with early adoption permitted, and should be applied on a prospective basis, with a retrospective option. We are currently evaluating the effect that adoption of ASU 2023-09 will have on our disclosures.</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1" w:name="page72"/>
    <w:bookmarkEnd w:id="71"/>
    <w:p>
      <w:pPr>
        <w:ind w:left="20"/>
        <w:spacing w:after="0"/>
        <w:tabs>
          <w:tab w:leader="none" w:pos="446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9 | Changes in and Disagreements with Accountants on Accounting and Financial Disclosure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32" w:lineRule="exact"/>
        <w:rPr>
          <w:sz w:val="20"/>
          <w:szCs w:val="20"/>
          <w:color w:val="auto"/>
        </w:rPr>
      </w:pPr>
    </w:p>
    <w:p>
      <w:pPr>
        <w:ind w:right="160" w:firstLine="619"/>
        <w:spacing w:after="0" w:line="255" w:lineRule="auto"/>
        <w:rPr>
          <w:sz w:val="20"/>
          <w:szCs w:val="20"/>
          <w:color w:val="auto"/>
        </w:rPr>
      </w:pPr>
      <w:r>
        <w:rPr>
          <w:rFonts w:ascii="Times New Roman" w:cs="Times New Roman" w:eastAsia="Times New Roman" w:hAnsi="Times New Roman"/>
          <w:sz w:val="17"/>
          <w:szCs w:val="17"/>
          <w:color w:val="auto"/>
        </w:rPr>
        <w:t>In accordance with the Securities Exchange Act of 1934 Rules 13a-15 and 15d-15, we carried out an evaluation, under the supervision and with the participation of management, including our Chief Executive Officer and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December 31, 2023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204" w:lineRule="exact"/>
        <w:rPr>
          <w:sz w:val="20"/>
          <w:szCs w:val="20"/>
          <w:color w:val="auto"/>
        </w:rPr>
      </w:pPr>
    </w:p>
    <w:p>
      <w:pPr>
        <w:ind w:right="580" w:firstLine="619"/>
        <w:spacing w:after="0" w:line="287"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that occurred during the three months ended December 31, 2023 that has materially affected, or is reasonably likely to materially affect, our internal control over financial reporting.</w:t>
      </w:r>
    </w:p>
    <w:p>
      <w:pPr>
        <w:spacing w:after="0" w:line="177" w:lineRule="exact"/>
        <w:rPr>
          <w:sz w:val="20"/>
          <w:szCs w:val="20"/>
          <w:color w:val="auto"/>
        </w:rPr>
      </w:pPr>
    </w:p>
    <w:p>
      <w:pPr>
        <w:ind w:right="20" w:firstLine="619"/>
        <w:spacing w:after="0" w:line="287" w:lineRule="auto"/>
        <w:rPr>
          <w:sz w:val="20"/>
          <w:szCs w:val="20"/>
          <w:color w:val="auto"/>
        </w:rPr>
      </w:pPr>
      <w:r>
        <w:rPr>
          <w:rFonts w:ascii="Times New Roman" w:cs="Times New Roman" w:eastAsia="Times New Roman" w:hAnsi="Times New Roman"/>
          <w:sz w:val="17"/>
          <w:szCs w:val="17"/>
          <w:color w:val="auto"/>
        </w:rPr>
        <w:t>See page 39 for Management’s Report on Internal Control Over Financial Reporting and page 40 for Report of Independent Registered Public Accounting Firm on its assessment of our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2" w:name="page73"/>
    <w:bookmarkEnd w:id="72"/>
    <w:p>
      <w:pPr>
        <w:ind w:left="40"/>
        <w:spacing w:after="0"/>
        <w:tabs>
          <w:tab w:leader="none" w:pos="664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10 | Directors, Executive Officers and Corporate Governance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32"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The information required for the directors of the Registrant is incorporated by reference to the Halliburton Company Proxy Statement for our 2024 Annual Meeting of Shareholders (File No. 001-03492) under the captions “Election of Directors” and “Involvement in Certain Legal Proceedings.” The information required for the directors and executive officers of the Registrant is included under Part I on pages 7 and 8 of this annual report. The information required for a delinquent form required under Section 16(a) of the Securities Exchange Act of 1934 is incorporated by reference to the Halliburton Company Proxy Statement for our 2024 Annual Meeting of Shareholders (File No. 001-03492) under the caption “Delinquent Section 16(a) Reports,” to the extent any disclosure is required. The information for our code of ethics is incorporated by reference to the Halliburton Company Proxy Statement for our 2024 Annual Meeting of Shareholders (File No. 001-03492) under the caption “Corporate Governance.” The information regarding procedures by which security holders may recommend nominees to the registrant's board of directors is incorporated by reference to the Halliburton Company Proxy Statement for our 2024 Annual Meeting of Shareholders (File No. 001-03492) under the caption “Shareholder Nominations of Directors.” The information regarding our Audit Committee and the independence of its members, along with information about the audit committee financial expert(s) serving on the Audit Committee, is incorporated by reference to the Halliburton Company Proxy Statement for our 2024 Annual Meeting of Shareholders (File No. 001-03492) under the caption “The Board of Directors and Standing Committees of Directors.”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32" w:lineRule="exact"/>
        <w:rPr>
          <w:sz w:val="20"/>
          <w:szCs w:val="20"/>
          <w:color w:val="auto"/>
        </w:rPr>
      </w:pPr>
    </w:p>
    <w:p>
      <w:pPr>
        <w:ind w:right="20" w:firstLine="619"/>
        <w:spacing w:after="0" w:line="256" w:lineRule="auto"/>
        <w:rPr>
          <w:sz w:val="20"/>
          <w:szCs w:val="20"/>
          <w:color w:val="auto"/>
        </w:rPr>
      </w:pPr>
      <w:r>
        <w:rPr>
          <w:rFonts w:ascii="Times New Roman" w:cs="Times New Roman" w:eastAsia="Times New Roman" w:hAnsi="Times New Roman"/>
          <w:sz w:val="17"/>
          <w:szCs w:val="17"/>
          <w:color w:val="auto"/>
        </w:rPr>
        <w:t>This information is incorporated by reference to the Halliburton Company Proxy Statement for our 2024 Annual Meeting of Shareholders (File No. 001-03492) under the captions “Compensation Discussion and Analysis,” “Compensation Committee Report,” “Summary Compensation Table,” “Grants of Plan-Based Awards in Fiscal 2023,” “Outstanding Equity Awards at Fiscal Year End 2023,” “2023 Option Exercises and Stock Vested,” “2023 Nonqualified Deferred Compensation,” “Employment Contracts and Change-in-Control Arrangements,” “Post-Termination or Change-in-Control Payments,” “Equity Compensation Plan Information,” “Directors’ Compensation” and “CEO Pay Ratio.”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12(a). Security Ownership of Certain Beneficial Owners.</w:t>
      </w:r>
    </w:p>
    <w:p>
      <w:pPr>
        <w:spacing w:after="0" w:line="32" w:lineRule="exact"/>
        <w:rPr>
          <w:sz w:val="20"/>
          <w:szCs w:val="20"/>
          <w:color w:val="auto"/>
        </w:rPr>
      </w:pPr>
    </w:p>
    <w:p>
      <w:pPr>
        <w:ind w:right="120" w:firstLine="619"/>
        <w:spacing w:after="0" w:line="266" w:lineRule="auto"/>
        <w:rPr>
          <w:sz w:val="20"/>
          <w:szCs w:val="20"/>
          <w:color w:val="auto"/>
        </w:rPr>
      </w:pPr>
      <w:r>
        <w:rPr>
          <w:rFonts w:ascii="Times New Roman" w:cs="Times New Roman" w:eastAsia="Times New Roman" w:hAnsi="Times New Roman"/>
          <w:sz w:val="17"/>
          <w:szCs w:val="17"/>
          <w:color w:val="auto"/>
        </w:rPr>
        <w:t>This information is incorporated by reference to the Halliburton Company Proxy Statement for our 2024 Annual Meeting of Shareholders (File No. 001-03492) under the caption “Stock Ownership of Certain Beneficial Owners and Management.”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12(b). Security Ownership of Management.</w:t>
      </w:r>
    </w:p>
    <w:p>
      <w:pPr>
        <w:spacing w:after="0" w:line="32" w:lineRule="exact"/>
        <w:rPr>
          <w:sz w:val="20"/>
          <w:szCs w:val="20"/>
          <w:color w:val="auto"/>
        </w:rPr>
      </w:pPr>
    </w:p>
    <w:p>
      <w:pPr>
        <w:ind w:right="120" w:firstLine="619"/>
        <w:spacing w:after="0" w:line="266" w:lineRule="auto"/>
        <w:rPr>
          <w:sz w:val="20"/>
          <w:szCs w:val="20"/>
          <w:color w:val="auto"/>
        </w:rPr>
      </w:pPr>
      <w:r>
        <w:rPr>
          <w:rFonts w:ascii="Times New Roman" w:cs="Times New Roman" w:eastAsia="Times New Roman" w:hAnsi="Times New Roman"/>
          <w:sz w:val="17"/>
          <w:szCs w:val="17"/>
          <w:color w:val="auto"/>
        </w:rPr>
        <w:t>This information is incorporated by reference to the Halliburton Company Proxy Statement for our 2024 Annual Meeting of Shareholders (File No. 001-03492) under the caption “Stock Ownership of Certain Beneficial Owners and Management.”</w:t>
      </w:r>
    </w:p>
    <w:p>
      <w:pPr>
        <w:spacing w:after="0" w:line="190"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17"/>
          <w:szCs w:val="17"/>
          <w:b w:val="1"/>
          <w:bCs w:val="1"/>
          <w:color w:val="auto"/>
        </w:rPr>
        <w:t>Item 12(c). Changes in Control.</w:t>
      </w:r>
    </w:p>
    <w:p>
      <w:pPr>
        <w:spacing w:after="0" w:line="32" w:lineRule="exact"/>
        <w:rPr>
          <w:sz w:val="20"/>
          <w:szCs w:val="20"/>
          <w:color w:val="auto"/>
        </w:rPr>
      </w:pPr>
    </w:p>
    <w:p>
      <w:pPr>
        <w:jc w:val="center"/>
        <w:ind w:right="89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12(d). Securities Authorized for Issuance Under Equity Compensation Plans.</w:t>
      </w:r>
    </w:p>
    <w:p>
      <w:pPr>
        <w:spacing w:after="0" w:line="32" w:lineRule="exact"/>
        <w:rPr>
          <w:sz w:val="20"/>
          <w:szCs w:val="20"/>
          <w:color w:val="auto"/>
        </w:rPr>
      </w:pPr>
    </w:p>
    <w:p>
      <w:pPr>
        <w:ind w:right="120" w:firstLine="619"/>
        <w:spacing w:after="0" w:line="266" w:lineRule="auto"/>
        <w:rPr>
          <w:sz w:val="20"/>
          <w:szCs w:val="20"/>
          <w:color w:val="auto"/>
        </w:rPr>
      </w:pPr>
      <w:r>
        <w:rPr>
          <w:rFonts w:ascii="Times New Roman" w:cs="Times New Roman" w:eastAsia="Times New Roman" w:hAnsi="Times New Roman"/>
          <w:sz w:val="17"/>
          <w:szCs w:val="17"/>
          <w:color w:val="auto"/>
        </w:rPr>
        <w:t>This information is incorporated by reference to the Halliburton Company Proxy Statement for our 2024 Annual Meeting of Shareholders (File No. 001-03492) under the caption “Equity Compensation Plan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32" w:lineRule="exact"/>
        <w:rPr>
          <w:sz w:val="20"/>
          <w:szCs w:val="20"/>
          <w:color w:val="auto"/>
        </w:rPr>
      </w:pPr>
    </w:p>
    <w:p>
      <w:pPr>
        <w:ind w:right="120" w:firstLine="619"/>
        <w:spacing w:after="0" w:line="259" w:lineRule="auto"/>
        <w:rPr>
          <w:sz w:val="20"/>
          <w:szCs w:val="20"/>
          <w:color w:val="auto"/>
        </w:rPr>
      </w:pPr>
      <w:r>
        <w:rPr>
          <w:rFonts w:ascii="Times New Roman" w:cs="Times New Roman" w:eastAsia="Times New Roman" w:hAnsi="Times New Roman"/>
          <w:sz w:val="17"/>
          <w:szCs w:val="17"/>
          <w:color w:val="auto"/>
        </w:rPr>
        <w:t>This information is incorporated by reference to the Halliburton Company Proxy Statement for our 2024 Annual Meeting of Shareholders (File No. 001-03492) under the caption “Corporate Governance” to the extent any disclosure is required, and under the caption “The Board of Directors and Standing Committees of Directors.”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32" w:lineRule="exact"/>
        <w:rPr>
          <w:sz w:val="20"/>
          <w:szCs w:val="20"/>
          <w:color w:val="auto"/>
        </w:rPr>
      </w:pPr>
    </w:p>
    <w:p>
      <w:pPr>
        <w:ind w:right="120" w:firstLine="619"/>
        <w:spacing w:after="0" w:line="266" w:lineRule="auto"/>
        <w:rPr>
          <w:sz w:val="20"/>
          <w:szCs w:val="20"/>
          <w:color w:val="auto"/>
        </w:rPr>
      </w:pPr>
      <w:r>
        <w:rPr>
          <w:rFonts w:ascii="Times New Roman" w:cs="Times New Roman" w:eastAsia="Times New Roman" w:hAnsi="Times New Roman"/>
          <w:sz w:val="17"/>
          <w:szCs w:val="17"/>
          <w:color w:val="auto"/>
        </w:rPr>
        <w:t>This information is incorporated by reference to the Halliburton Company Proxy Statement for our 2024 Annual Meeting of Shareholders (File No. 001-03492) under the caption “Fees Paid to KPMG LLP.” Our independent registered public accounting firm is KPMG LLP, Houston, TX PCAOB ID:185.</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3" w:name="page74"/>
    <w:bookmarkEnd w:id="73"/>
    <w:p>
      <w:pPr>
        <w:ind w:left="40"/>
        <w:spacing w:after="0"/>
        <w:tabs>
          <w:tab w:leader="none" w:pos="998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15 | Exhibits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w:t>
      </w:r>
    </w:p>
    <w:p>
      <w:pPr>
        <w:spacing w:after="0" w:line="33" w:lineRule="exact"/>
        <w:rPr>
          <w:sz w:val="20"/>
          <w:szCs w:val="20"/>
          <w:color w:val="auto"/>
        </w:rPr>
      </w:pPr>
    </w:p>
    <w:p>
      <w:pPr>
        <w:ind w:left="1340" w:hanging="972"/>
        <w:spacing w:after="0"/>
        <w:tabs>
          <w:tab w:leader="none" w:pos="13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w:t>
      </w:r>
    </w:p>
    <w:p>
      <w:pPr>
        <w:spacing w:after="0" w:line="27" w:lineRule="exact"/>
        <w:rPr>
          <w:rFonts w:ascii="Times New Roman" w:cs="Times New Roman" w:eastAsia="Times New Roman" w:hAnsi="Times New Roman"/>
          <w:sz w:val="17"/>
          <w:szCs w:val="17"/>
          <w:color w:val="auto"/>
        </w:rPr>
      </w:pPr>
    </w:p>
    <w:p>
      <w:pPr>
        <w:ind w:left="1340" w:right="240"/>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reports of the Independent Registered Public Accounting Firm and the financial statements of Halliburton Company are included within Part II, Item 8 of this Annual Report on Form 10-K.</w:t>
      </w:r>
    </w:p>
    <w:p>
      <w:pPr>
        <w:spacing w:after="0" w:line="267" w:lineRule="exact"/>
        <w:rPr>
          <w:rFonts w:ascii="Times New Roman" w:cs="Times New Roman" w:eastAsia="Times New Roman" w:hAnsi="Times New Roman"/>
          <w:sz w:val="17"/>
          <w:szCs w:val="17"/>
          <w:color w:val="auto"/>
        </w:rPr>
      </w:pPr>
    </w:p>
    <w:p>
      <w:pPr>
        <w:ind w:left="1340" w:hanging="972"/>
        <w:spacing w:after="0"/>
        <w:tabs>
          <w:tab w:leader="none" w:pos="13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w:t>
      </w:r>
    </w:p>
    <w:p>
      <w:pPr>
        <w:spacing w:after="0" w:line="27" w:lineRule="exact"/>
        <w:rPr>
          <w:rFonts w:ascii="Times New Roman" w:cs="Times New Roman" w:eastAsia="Times New Roman" w:hAnsi="Times New Roman"/>
          <w:sz w:val="17"/>
          <w:szCs w:val="17"/>
          <w:color w:val="auto"/>
        </w:rPr>
      </w:pPr>
    </w:p>
    <w:p>
      <w:pPr>
        <w:ind w:left="1340" w:right="400"/>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schedules listed in Rule 5-04 of Regulation S-X (17 CFR 210.5-04) have been omitted because they are not applicable or the required information is shown in the consolidated financial statements or notes thereto.</w:t>
      </w:r>
    </w:p>
    <w:p>
      <w:pPr>
        <w:spacing w:after="0" w:line="267" w:lineRule="exact"/>
        <w:rPr>
          <w:rFonts w:ascii="Times New Roman" w:cs="Times New Roman" w:eastAsia="Times New Roman" w:hAnsi="Times New Roman"/>
          <w:sz w:val="17"/>
          <w:szCs w:val="17"/>
          <w:color w:val="auto"/>
        </w:rPr>
      </w:pPr>
    </w:p>
    <w:p>
      <w:pPr>
        <w:ind w:left="1340" w:hanging="972"/>
        <w:spacing w:after="0"/>
        <w:tabs>
          <w:tab w:leader="none" w:pos="13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346" w:lineRule="exact"/>
        <w:rPr>
          <w:sz w:val="20"/>
          <w:szCs w:val="20"/>
          <w:color w:val="auto"/>
        </w:rPr>
      </w:pPr>
    </w:p>
    <w:tbl>
      <w:tblPr>
        <w:tblLayout w:type="fixed"/>
        <w:tblInd w:w="480" w:type="dxa"/>
        <w:tblCellMar>
          <w:top w:w="0" w:type="dxa"/>
          <w:left w:w="0" w:type="dxa"/>
          <w:bottom w:w="0" w:type="dxa"/>
          <w:right w:w="0" w:type="dxa"/>
        </w:tblCellMar>
      </w:tblPr>
      <w:tr>
        <w:trPr>
          <w:trHeight w:val="219"/>
        </w:trPr>
        <w:tc>
          <w:tcPr>
            <w:tcW w:w="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Exhibit</w:t>
            </w:r>
          </w:p>
        </w:tc>
        <w:tc>
          <w:tcPr>
            <w:tcW w:w="5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98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Number</w:t>
            </w:r>
          </w:p>
        </w:tc>
        <w:tc>
          <w:tcPr>
            <w:tcW w:w="9800" w:type="dxa"/>
            <w:vAlign w:val="bottom"/>
            <w:gridSpan w:val="19"/>
          </w:tcPr>
          <w:p>
            <w:pPr>
              <w:spacing w:after="0" w:line="184" w:lineRule="exact"/>
              <w:rPr>
                <w:sz w:val="20"/>
                <w:szCs w:val="20"/>
                <w:color w:val="auto"/>
              </w:rPr>
            </w:pPr>
            <w:r>
              <w:rPr>
                <w:rFonts w:ascii="Times New Roman" w:cs="Times New Roman" w:eastAsia="Times New Roman" w:hAnsi="Times New Roman"/>
                <w:sz w:val="17"/>
                <w:szCs w:val="17"/>
                <w:color w:val="auto"/>
              </w:rPr>
              <w:t>Exhibits</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3.1</w:t>
            </w:r>
          </w:p>
        </w:tc>
        <w:tc>
          <w:tcPr>
            <w:tcW w:w="420" w:type="dxa"/>
            <w:vAlign w:val="bottom"/>
          </w:tcPr>
          <w:p>
            <w:pPr>
              <w:spacing w:after="0"/>
              <w:rPr>
                <w:sz w:val="24"/>
                <w:szCs w:val="24"/>
                <w:color w:val="auto"/>
              </w:rPr>
            </w:pPr>
          </w:p>
        </w:tc>
        <w:tc>
          <w:tcPr>
            <w:tcW w:w="9800" w:type="dxa"/>
            <w:vAlign w:val="bottom"/>
            <w:gridSpan w:val="19"/>
          </w:tcPr>
          <w:p>
            <w:pPr>
              <w:spacing w:after="0"/>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 xml:space="preserve">Amended and Restated Certificate of Incorporation of Halliburton Company filed with the Secretary of State of Delaware on May 17, </w:t>
              </w:r>
            </w:hyperlink>
            <w:r>
              <w:rPr>
                <w:rFonts w:ascii="Times New Roman" w:cs="Times New Roman" w:eastAsia="Times New Roman" w:hAnsi="Times New Roman"/>
                <w:sz w:val="17"/>
                <w:szCs w:val="17"/>
                <w:color w:val="0000FF"/>
              </w:rPr>
              <w:t>2023</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580" w:type="dxa"/>
            <w:vAlign w:val="bottom"/>
            <w:tcBorders>
              <w:top w:val="single" w:sz="8" w:color="0000FF"/>
            </w:tcBorders>
            <w:gridSpan w:val="15"/>
          </w:tcPr>
          <w:p>
            <w:pPr>
              <w:spacing w:after="0" w:line="148"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(incorporated by reference to Exhibit 3.1 to Halliburton’s Form 10-Q for the quarter ended June 30, 2023, File No. 001-03492).</w:t>
              </w:r>
            </w:hyperlink>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3.2</w:t>
            </w:r>
          </w:p>
        </w:tc>
        <w:tc>
          <w:tcPr>
            <w:tcW w:w="420" w:type="dxa"/>
            <w:vAlign w:val="bottom"/>
          </w:tcPr>
          <w:p>
            <w:pPr>
              <w:spacing w:after="0"/>
              <w:rPr>
                <w:sz w:val="24"/>
                <w:szCs w:val="24"/>
                <w:color w:val="auto"/>
              </w:rPr>
            </w:pPr>
          </w:p>
        </w:tc>
        <w:tc>
          <w:tcPr>
            <w:tcW w:w="9800" w:type="dxa"/>
            <w:vAlign w:val="bottom"/>
            <w:gridSpan w:val="19"/>
          </w:tcPr>
          <w:p>
            <w:pPr>
              <w:spacing w:after="0"/>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By-laws of Halliburton Company revised effective December 8, 2022 (incorporated by reference to Exhibit 3.1 to Halliburton’s Form 8-K</w:t>
              </w:r>
            </w:hyperlink>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500" w:type="dxa"/>
            <w:vAlign w:val="bottom"/>
            <w:tcBorders>
              <w:top w:val="single" w:sz="8" w:color="0000FF"/>
            </w:tcBorders>
            <w:gridSpan w:val="12"/>
          </w:tcPr>
          <w:p>
            <w:pPr>
              <w:spacing w:after="0" w:line="148"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filed December 12, 2022, File No. 001-03492).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420" w:type="dxa"/>
            <w:vAlign w:val="bottom"/>
          </w:tcPr>
          <w:p>
            <w:pPr>
              <w:spacing w:after="0"/>
              <w:rPr>
                <w:sz w:val="24"/>
                <w:szCs w:val="24"/>
                <w:color w:val="auto"/>
              </w:rPr>
            </w:pPr>
          </w:p>
        </w:tc>
        <w:tc>
          <w:tcPr>
            <w:tcW w:w="9240" w:type="dxa"/>
            <w:vAlign w:val="bottom"/>
            <w:tcBorders>
              <w:bottom w:val="single" w:sz="8" w:color="0000FF"/>
            </w:tcBorders>
            <w:gridSpan w:val="10"/>
          </w:tcPr>
          <w:p>
            <w:pPr>
              <w:spacing w:after="0"/>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Second Senior Indenture dated as of December 1, 1996 between the Predecessor and The Bank of New York Trust Company, N.A. (as</w:t>
              </w:r>
            </w:hyperlink>
          </w:p>
        </w:tc>
        <w:tc>
          <w:tcPr>
            <w:tcW w:w="5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0" w:type="dxa"/>
            <w:vAlign w:val="bottom"/>
            <w:gridSpan w:val="19"/>
          </w:tcPr>
          <w:p>
            <w:pPr>
              <w:spacing w:after="0" w:line="148"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successor to Texas Commerce Bank National Association), as Trustee, as supplemented and amended by the First Supplemental Indenture</w:t>
              </w:r>
            </w:hyperlink>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520" w:type="dxa"/>
            <w:vAlign w:val="bottom"/>
            <w:tcBorders>
              <w:top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dated as of December 5, 1996 between the Predecessor and the Trustee and the Second Supplemental Indenture dated as of December 12,</w:t>
              </w:r>
            </w:hyperlink>
          </w:p>
        </w:tc>
        <w:tc>
          <w:tcPr>
            <w:tcW w:w="20" w:type="dxa"/>
            <w:vAlign w:val="bottom"/>
          </w:tcPr>
          <w:p>
            <w:pPr>
              <w:spacing w:after="0"/>
              <w:rPr>
                <w:sz w:val="12"/>
                <w:szCs w:val="12"/>
                <w:color w:val="auto"/>
              </w:rPr>
            </w:pPr>
          </w:p>
        </w:tc>
        <w:tc>
          <w:tcPr>
            <w:tcW w:w="260" w:type="dxa"/>
            <w:vAlign w:val="bottom"/>
            <w:gridSpan w:val="5"/>
            <w:vMerge w:val="restart"/>
          </w:tcPr>
          <w:p>
            <w:pPr>
              <w:ind w:left="40"/>
              <w:spacing w:after="0"/>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on</w:t>
              </w:r>
            </w:hyperlink>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60" w:type="dxa"/>
            <w:vAlign w:val="bottom"/>
            <w:tcBorders>
              <w:top w:val="single" w:sz="8" w:color="0000FF"/>
            </w:tcBorders>
            <w:gridSpan w:val="11"/>
          </w:tcPr>
          <w:p>
            <w:pPr>
              <w:spacing w:after="0" w:line="161" w:lineRule="exact"/>
              <w:rPr>
                <w:rFonts w:ascii="Times New Roman" w:cs="Times New Roman" w:eastAsia="Times New Roman" w:hAnsi="Times New Roman"/>
                <w:sz w:val="17"/>
                <w:szCs w:val="17"/>
                <w:color w:val="0000FF"/>
                <w:w w:val="99"/>
              </w:rPr>
            </w:pPr>
            <w:hyperlink r:id="rId92">
              <w:r>
                <w:rPr>
                  <w:rFonts w:ascii="Times New Roman" w:cs="Times New Roman" w:eastAsia="Times New Roman" w:hAnsi="Times New Roman"/>
                  <w:sz w:val="17"/>
                  <w:szCs w:val="17"/>
                  <w:color w:val="0000FF"/>
                  <w:w w:val="99"/>
                </w:rPr>
                <w:t>1996 among the Predecessor, Halliburton and the Trustee (incorporated by reference to Exhibit 4.2 of Halliburton’s Registration Statement</w:t>
              </w:r>
            </w:hyperlink>
          </w:p>
        </w:tc>
        <w:tc>
          <w:tcPr>
            <w:tcW w:w="80" w:type="dxa"/>
            <w:vAlign w:val="bottom"/>
            <w:gridSpan w:val="3"/>
          </w:tcPr>
          <w:p>
            <w:pPr>
              <w:spacing w:after="0"/>
              <w:rPr>
                <w:sz w:val="13"/>
                <w:szCs w:val="13"/>
                <w:color w:val="auto"/>
              </w:rPr>
            </w:pPr>
          </w:p>
        </w:tc>
        <w:tc>
          <w:tcPr>
            <w:tcW w:w="2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760" w:type="dxa"/>
            <w:vAlign w:val="bottom"/>
            <w:tcBorders>
              <w:top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Form 8-B dated December 12, 1996, File No. 001-03492).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420" w:type="dxa"/>
            <w:vAlign w:val="bottom"/>
          </w:tcPr>
          <w:p>
            <w:pPr>
              <w:spacing w:after="0"/>
              <w:rPr>
                <w:sz w:val="24"/>
                <w:szCs w:val="24"/>
                <w:color w:val="auto"/>
              </w:rPr>
            </w:pPr>
          </w:p>
        </w:tc>
        <w:tc>
          <w:tcPr>
            <w:tcW w:w="9800" w:type="dxa"/>
            <w:vAlign w:val="bottom"/>
            <w:gridSpan w:val="19"/>
          </w:tcPr>
          <w:p>
            <w:pPr>
              <w:spacing w:after="0"/>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Third Supplemental Indenture dated as of August 1, 1997 between Halliburton and The Bank of New York Trust Company, N.A. (as</w:t>
              </w:r>
            </w:hyperlink>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120" w:type="dxa"/>
            <w:vAlign w:val="bottom"/>
            <w:tcBorders>
              <w:top w:val="single" w:sz="8" w:color="0000FF"/>
              <w:bottom w:val="single" w:sz="8" w:color="0000FF"/>
            </w:tcBorders>
            <w:gridSpan w:val="8"/>
          </w:tcPr>
          <w:p>
            <w:pPr>
              <w:spacing w:after="0" w:line="148"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successor to Texas Commerce Bank National Association), as Trustee, to the Second Senior Indenture dated as of December 1, 1996</w:t>
              </w:r>
            </w:hyperlink>
          </w:p>
        </w:tc>
        <w:tc>
          <w:tcPr>
            <w:tcW w:w="20" w:type="dxa"/>
            <w:vAlign w:val="bottom"/>
            <w:tcBorders>
              <w:bottom w:val="single" w:sz="8" w:color="0000FF"/>
            </w:tcBorders>
          </w:tcPr>
          <w:p>
            <w:pPr>
              <w:spacing w:after="0"/>
              <w:rPr>
                <w:sz w:val="12"/>
                <w:szCs w:val="12"/>
                <w:color w:val="auto"/>
              </w:rPr>
            </w:pPr>
          </w:p>
        </w:tc>
        <w:tc>
          <w:tcPr>
            <w:tcW w:w="400" w:type="dxa"/>
            <w:vAlign w:val="bottom"/>
            <w:gridSpan w:val="5"/>
          </w:tcPr>
          <w:p>
            <w:pPr>
              <w:spacing w:after="0"/>
              <w:rPr>
                <w:sz w:val="12"/>
                <w:szCs w:val="12"/>
                <w:color w:val="auto"/>
              </w:rPr>
            </w:pPr>
          </w:p>
        </w:tc>
        <w:tc>
          <w:tcPr>
            <w:tcW w:w="60" w:type="dxa"/>
            <w:vAlign w:val="bottom"/>
            <w:gridSpan w:val="2"/>
          </w:tcPr>
          <w:p>
            <w:pPr>
              <w:spacing w:after="0"/>
              <w:rPr>
                <w:sz w:val="12"/>
                <w:szCs w:val="12"/>
                <w:color w:val="auto"/>
              </w:rPr>
            </w:pPr>
          </w:p>
        </w:tc>
        <w:tc>
          <w:tcPr>
            <w:tcW w:w="1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140" w:type="dxa"/>
            <w:vAlign w:val="bottom"/>
            <w:gridSpan w:val="9"/>
          </w:tcPr>
          <w:p>
            <w:pPr>
              <w:spacing w:after="0" w:line="148"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(incorporated by reference to Exhibit 4.7 to Halliburton’s Form 10-K for the year ended December 31, 1998, File No. 001-03492).</w:t>
              </w:r>
            </w:hyperlink>
          </w:p>
        </w:tc>
        <w:tc>
          <w:tcPr>
            <w:tcW w:w="400" w:type="dxa"/>
            <w:vAlign w:val="bottom"/>
            <w:gridSpan w:val="5"/>
          </w:tcPr>
          <w:p>
            <w:pPr>
              <w:spacing w:after="0"/>
              <w:rPr>
                <w:sz w:val="12"/>
                <w:szCs w:val="12"/>
                <w:color w:val="auto"/>
              </w:rPr>
            </w:pPr>
          </w:p>
        </w:tc>
        <w:tc>
          <w:tcPr>
            <w:tcW w:w="60" w:type="dxa"/>
            <w:vAlign w:val="bottom"/>
            <w:gridSpan w:val="2"/>
          </w:tcPr>
          <w:p>
            <w:pPr>
              <w:spacing w:after="0"/>
              <w:rPr>
                <w:sz w:val="12"/>
                <w:szCs w:val="12"/>
                <w:color w:val="auto"/>
              </w:rPr>
            </w:pPr>
          </w:p>
        </w:tc>
        <w:tc>
          <w:tcPr>
            <w:tcW w:w="1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3660" w:type="dxa"/>
            <w:vAlign w:val="bottom"/>
            <w:gridSpan w:val="3"/>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4.3</w:t>
            </w:r>
          </w:p>
        </w:tc>
        <w:tc>
          <w:tcPr>
            <w:tcW w:w="420" w:type="dxa"/>
            <w:vAlign w:val="bottom"/>
          </w:tcPr>
          <w:p>
            <w:pPr>
              <w:spacing w:after="0"/>
              <w:rPr>
                <w:sz w:val="24"/>
                <w:szCs w:val="24"/>
                <w:color w:val="auto"/>
              </w:rPr>
            </w:pPr>
          </w:p>
        </w:tc>
        <w:tc>
          <w:tcPr>
            <w:tcW w:w="9800" w:type="dxa"/>
            <w:vAlign w:val="bottom"/>
            <w:gridSpan w:val="19"/>
          </w:tcPr>
          <w:p>
            <w:pPr>
              <w:spacing w:after="0"/>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Fourth Supplemental Indenture dated as of September 29, 1998 between Halliburton and The Bank of New York Trust Company, N.A. (as</w:t>
              </w:r>
            </w:hyperlink>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540" w:type="dxa"/>
            <w:vAlign w:val="bottom"/>
            <w:tcBorders>
              <w:top w:val="single" w:sz="8" w:color="0000FF"/>
            </w:tcBorders>
            <w:gridSpan w:val="14"/>
          </w:tcPr>
          <w:p>
            <w:pPr>
              <w:spacing w:after="0" w:line="148"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successor to Texas Commerce Bank National Association), as Trustee, to the Second Senior Indenture dated as of December 1, 1996</w:t>
              </w:r>
            </w:hyperlink>
          </w:p>
        </w:tc>
        <w:tc>
          <w:tcPr>
            <w:tcW w:w="60" w:type="dxa"/>
            <w:vAlign w:val="bottom"/>
            <w:gridSpan w:val="2"/>
          </w:tcPr>
          <w:p>
            <w:pPr>
              <w:spacing w:after="0"/>
              <w:rPr>
                <w:sz w:val="12"/>
                <w:szCs w:val="12"/>
                <w:color w:val="auto"/>
              </w:rPr>
            </w:pPr>
          </w:p>
        </w:tc>
        <w:tc>
          <w:tcPr>
            <w:tcW w:w="1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140" w:type="dxa"/>
            <w:vAlign w:val="bottom"/>
            <w:tcBorders>
              <w:top w:val="single" w:sz="8" w:color="0000FF"/>
            </w:tcBorders>
            <w:gridSpan w:val="9"/>
          </w:tcPr>
          <w:p>
            <w:pPr>
              <w:spacing w:after="0" w:line="148"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(incorporated by reference to Exhibit 4.8 to Halliburton’s Form 10-K for the year ended December 31, 1998, File No. 001-03492).</w:t>
              </w:r>
            </w:hyperlink>
          </w:p>
        </w:tc>
        <w:tc>
          <w:tcPr>
            <w:tcW w:w="460" w:type="dxa"/>
            <w:vAlign w:val="bottom"/>
            <w:gridSpan w:val="7"/>
          </w:tcPr>
          <w:p>
            <w:pPr>
              <w:spacing w:after="0"/>
              <w:rPr>
                <w:sz w:val="12"/>
                <w:szCs w:val="12"/>
                <w:color w:val="auto"/>
              </w:rPr>
            </w:pPr>
          </w:p>
        </w:tc>
        <w:tc>
          <w:tcPr>
            <w:tcW w:w="1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3660" w:type="dxa"/>
            <w:vAlign w:val="bottom"/>
            <w:gridSpan w:val="3"/>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4.4</w:t>
            </w:r>
          </w:p>
        </w:tc>
        <w:tc>
          <w:tcPr>
            <w:tcW w:w="420" w:type="dxa"/>
            <w:vAlign w:val="bottom"/>
          </w:tcPr>
          <w:p>
            <w:pPr>
              <w:spacing w:after="0"/>
              <w:rPr>
                <w:sz w:val="24"/>
                <w:szCs w:val="24"/>
                <w:color w:val="auto"/>
              </w:rPr>
            </w:pPr>
          </w:p>
        </w:tc>
        <w:tc>
          <w:tcPr>
            <w:tcW w:w="9800" w:type="dxa"/>
            <w:vAlign w:val="bottom"/>
            <w:gridSpan w:val="19"/>
          </w:tcPr>
          <w:p>
            <w:pPr>
              <w:spacing w:after="0"/>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Resolutions of Halliburton’s Board of Directors adopted by unanimous consent dated December 5, 1996 (incorporated by reference to Exhibit</w:t>
              </w:r>
            </w:hyperlink>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60" w:type="dxa"/>
            <w:vAlign w:val="bottom"/>
            <w:tcBorders>
              <w:top w:val="single" w:sz="8" w:color="0000FF"/>
              <w:bottom w:val="single" w:sz="8" w:color="0000FF"/>
            </w:tcBorders>
            <w:gridSpan w:val="5"/>
          </w:tcPr>
          <w:p>
            <w:pPr>
              <w:spacing w:after="0" w:line="148"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4(g) of Halliburton’s Form 10-K for the year ended December 31, 1996, File No. 001-03492).</w:t>
              </w:r>
            </w:hyperlink>
          </w:p>
        </w:tc>
        <w:tc>
          <w:tcPr>
            <w:tcW w:w="332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0"/>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4.5</w:t>
            </w:r>
          </w:p>
        </w:tc>
        <w:tc>
          <w:tcPr>
            <w:tcW w:w="420" w:type="dxa"/>
            <w:vAlign w:val="bottom"/>
          </w:tcPr>
          <w:p>
            <w:pPr>
              <w:spacing w:after="0"/>
              <w:rPr>
                <w:sz w:val="24"/>
                <w:szCs w:val="24"/>
                <w:color w:val="auto"/>
              </w:rPr>
            </w:pPr>
          </w:p>
        </w:tc>
        <w:tc>
          <w:tcPr>
            <w:tcW w:w="9800" w:type="dxa"/>
            <w:vAlign w:val="bottom"/>
            <w:gridSpan w:val="19"/>
          </w:tcPr>
          <w:p>
            <w:pPr>
              <w:spacing w:after="0"/>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Form of debt security of 6.75% Notes due February 1, 2027 (incorporated by reference to Exhibit 4.1 to Halliburton’s Form 8-K dated as of</w:t>
              </w:r>
            </w:hyperlink>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0" w:type="dxa"/>
            <w:vAlign w:val="bottom"/>
            <w:tcBorders>
              <w:top w:val="single" w:sz="8" w:color="0000FF"/>
              <w:bottom w:val="single" w:sz="8" w:color="0000FF"/>
            </w:tcBorders>
            <w:gridSpan w:val="2"/>
          </w:tcPr>
          <w:p>
            <w:pPr>
              <w:spacing w:after="0" w:line="148"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February 11, 1997, File No. 001-03492).</w:t>
              </w:r>
            </w:hyperlink>
          </w:p>
        </w:tc>
        <w:tc>
          <w:tcPr>
            <w:tcW w:w="6800" w:type="dxa"/>
            <w:vAlign w:val="bottom"/>
            <w:tcBorders>
              <w:top w:val="single" w:sz="8" w:color="0000FF"/>
            </w:tcBorders>
            <w:gridSpan w:val="14"/>
          </w:tcPr>
          <w:p>
            <w:pPr>
              <w:spacing w:after="0"/>
              <w:rPr>
                <w:sz w:val="12"/>
                <w:szCs w:val="12"/>
                <w:color w:val="auto"/>
              </w:rPr>
            </w:pPr>
          </w:p>
        </w:tc>
        <w:tc>
          <w:tcPr>
            <w:tcW w:w="2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457"/>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4.6</w:t>
            </w:r>
          </w:p>
        </w:tc>
        <w:tc>
          <w:tcPr>
            <w:tcW w:w="420" w:type="dxa"/>
            <w:vAlign w:val="bottom"/>
          </w:tcPr>
          <w:p>
            <w:pPr>
              <w:spacing w:after="0"/>
              <w:rPr>
                <w:sz w:val="24"/>
                <w:szCs w:val="24"/>
                <w:color w:val="auto"/>
              </w:rPr>
            </w:pPr>
          </w:p>
        </w:tc>
        <w:tc>
          <w:tcPr>
            <w:tcW w:w="98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Copies of instruments that define the rights of holders of miscellaneous long-term notes of Halliburton Company and its subsidiaries have not</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been filed with the Commission. Halliburton Company agrees to furnish copies of these instruments upon request.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00" w:type="dxa"/>
            <w:vAlign w:val="bottom"/>
            <w:gridSpan w:val="18"/>
          </w:tcPr>
          <w:p>
            <w:pPr>
              <w:ind w:left="680"/>
              <w:spacing w:after="0"/>
              <w:rPr>
                <w:sz w:val="20"/>
                <w:szCs w:val="20"/>
                <w:color w:val="auto"/>
              </w:rPr>
            </w:pPr>
            <w:r>
              <w:rPr>
                <w:rFonts w:ascii="Times New Roman" w:cs="Times New Roman" w:eastAsia="Times New Roman" w:hAnsi="Times New Roman"/>
                <w:sz w:val="17"/>
                <w:szCs w:val="17"/>
                <w:color w:val="auto"/>
                <w:w w:val="99"/>
              </w:rPr>
              <w:t>Item 15 | Exhibits</w:t>
            </w:r>
          </w:p>
        </w:tc>
      </w:tr>
      <w:tr>
        <w:trPr>
          <w:trHeight w:val="754"/>
        </w:trPr>
        <w:tc>
          <w:tcPr>
            <w:tcW w:w="1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4.7</w:t>
            </w:r>
          </w:p>
        </w:tc>
        <w:tc>
          <w:tcPr>
            <w:tcW w:w="200" w:type="dxa"/>
            <w:vAlign w:val="bottom"/>
          </w:tcPr>
          <w:p>
            <w:pPr>
              <w:spacing w:after="0"/>
              <w:rPr>
                <w:sz w:val="24"/>
                <w:szCs w:val="24"/>
                <w:color w:val="auto"/>
              </w:rPr>
            </w:pPr>
          </w:p>
        </w:tc>
        <w:tc>
          <w:tcPr>
            <w:tcW w:w="9760" w:type="dxa"/>
            <w:vAlign w:val="bottom"/>
            <w:gridSpan w:val="29"/>
          </w:tcPr>
          <w:p>
            <w:pPr>
              <w:spacing w:after="0"/>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Form of Indenture dated as of April 18, 1996 between Dresser and The Bank of New York Trust Company, N.A. (as successor to Texas</w:t>
              </w:r>
            </w:hyperlink>
          </w:p>
        </w:tc>
      </w:tr>
      <w:tr>
        <w:trPr>
          <w:trHeight w:val="148"/>
        </w:trPr>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320" w:type="dxa"/>
            <w:vAlign w:val="bottom"/>
            <w:tcBorders>
              <w:top w:val="single" w:sz="8" w:color="0000FF"/>
              <w:bottom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Commerce Bank National Association), as Trustee (incorporated by reference to Exhibit 4 to Dresser’s Registration Statement on Form</w:t>
              </w:r>
            </w:hyperlink>
          </w:p>
        </w:tc>
        <w:tc>
          <w:tcPr>
            <w:tcW w:w="200" w:type="dxa"/>
            <w:vAlign w:val="bottom"/>
            <w:tcBorders>
              <w:bottom w:val="single" w:sz="8" w:color="0000FF"/>
            </w:tcBorders>
            <w:gridSpan w:val="5"/>
          </w:tcPr>
          <w:p>
            <w:pPr>
              <w:ind w:left="40"/>
              <w:spacing w:after="0" w:line="148" w:lineRule="exact"/>
              <w:rPr>
                <w:rFonts w:ascii="Times New Roman" w:cs="Times New Roman" w:eastAsia="Times New Roman" w:hAnsi="Times New Roman"/>
                <w:sz w:val="17"/>
                <w:szCs w:val="17"/>
                <w:color w:val="0000FF"/>
                <w:w w:val="92"/>
              </w:rPr>
            </w:pPr>
            <w:hyperlink r:id="rId97">
              <w:r>
                <w:rPr>
                  <w:rFonts w:ascii="Times New Roman" w:cs="Times New Roman" w:eastAsia="Times New Roman" w:hAnsi="Times New Roman"/>
                  <w:sz w:val="17"/>
                  <w:szCs w:val="17"/>
                  <w:color w:val="0000FF"/>
                  <w:w w:val="92"/>
                </w:rPr>
                <w:t>S-</w:t>
              </w:r>
            </w:hyperlink>
          </w:p>
        </w:tc>
        <w:tc>
          <w:tcPr>
            <w:tcW w:w="240" w:type="dxa"/>
            <w:vAlign w:val="bottom"/>
            <w:gridSpan w:val="8"/>
          </w:tcPr>
          <w:p>
            <w:pPr>
              <w:spacing w:after="0"/>
              <w:rPr>
                <w:sz w:val="12"/>
                <w:szCs w:val="12"/>
                <w:color w:val="auto"/>
              </w:rPr>
            </w:pPr>
          </w:p>
        </w:tc>
      </w:tr>
      <w:tr>
        <w:trPr>
          <w:trHeight w:val="160"/>
        </w:trPr>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760" w:type="dxa"/>
            <w:vAlign w:val="bottom"/>
            <w:gridSpan w:val="29"/>
          </w:tcPr>
          <w:p>
            <w:pPr>
              <w:spacing w:after="0" w:line="161"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3/A filed on April 19, 1996, Registration No. 333-01303), as supplemented and amended by Form of First Supplemental Indenture dated as</w:t>
              </w:r>
            </w:hyperlink>
          </w:p>
        </w:tc>
      </w:tr>
      <w:tr>
        <w:trPr>
          <w:trHeight w:val="148"/>
        </w:trPr>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0" w:type="dxa"/>
            <w:vAlign w:val="bottom"/>
            <w:tcBorders>
              <w:top w:val="single" w:sz="8" w:color="0000FF"/>
            </w:tcBorders>
            <w:gridSpan w:val="22"/>
          </w:tcPr>
          <w:p>
            <w:pPr>
              <w:spacing w:after="0" w:line="148"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of August 6, 1996 between Dresser and The Bank of New York Trust Company, N.A. (as successor to Texas Commerce Bank National</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80" w:type="dxa"/>
            <w:vAlign w:val="bottom"/>
            <w:tcBorders>
              <w:top w:val="single" w:sz="8" w:color="0000FF"/>
            </w:tcBorders>
            <w:gridSpan w:val="14"/>
          </w:tcPr>
          <w:p>
            <w:pPr>
              <w:spacing w:after="0" w:line="148"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Association), Trustee, for 7.60% Debentures due 2096 (incorporated by reference to Exhibit 4.1 to Dresser’s Form 8-K filed on August</w:t>
              </w:r>
            </w:hyperlink>
          </w:p>
        </w:tc>
        <w:tc>
          <w:tcPr>
            <w:tcW w:w="200" w:type="dxa"/>
            <w:vAlign w:val="bottom"/>
            <w:gridSpan w:val="6"/>
          </w:tcPr>
          <w:p>
            <w:pPr>
              <w:jc w:val="right"/>
              <w:ind w:right="20"/>
              <w:spacing w:after="0" w:line="148"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9,</w:t>
              </w:r>
            </w:hyperlink>
          </w:p>
        </w:tc>
        <w:tc>
          <w:tcPr>
            <w:tcW w:w="1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60" w:type="dxa"/>
            <w:vAlign w:val="bottom"/>
            <w:tcBorders>
              <w:top w:val="single" w:sz="8" w:color="0000FF"/>
            </w:tcBorders>
            <w:gridSpan w:val="19"/>
          </w:tcPr>
          <w:p>
            <w:pPr>
              <w:spacing w:after="0" w:line="161"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1996, File No. 1-4003).</w:t>
              </w:r>
            </w:hyperlink>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7"/>
        </w:trPr>
        <w:tc>
          <w:tcPr>
            <w:tcW w:w="1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4.8</w:t>
            </w:r>
          </w:p>
        </w:tc>
        <w:tc>
          <w:tcPr>
            <w:tcW w:w="200" w:type="dxa"/>
            <w:vAlign w:val="bottom"/>
          </w:tcPr>
          <w:p>
            <w:pPr>
              <w:spacing w:after="0"/>
              <w:rPr>
                <w:sz w:val="24"/>
                <w:szCs w:val="24"/>
                <w:color w:val="auto"/>
              </w:rPr>
            </w:pPr>
          </w:p>
        </w:tc>
        <w:tc>
          <w:tcPr>
            <w:tcW w:w="9760" w:type="dxa"/>
            <w:vAlign w:val="bottom"/>
            <w:gridSpan w:val="29"/>
          </w:tcPr>
          <w:p>
            <w:pPr>
              <w:spacing w:after="0"/>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Second Supplemental Indenture dated as of October 27, 2003 between DII Industries, LLC and The Bank of New York Trust Company, N.A.</w:t>
              </w:r>
            </w:hyperlink>
          </w:p>
        </w:tc>
      </w:tr>
      <w:tr>
        <w:trPr>
          <w:trHeight w:val="148"/>
        </w:trPr>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720" w:type="dxa"/>
            <w:vAlign w:val="bottom"/>
            <w:tcBorders>
              <w:top w:val="single" w:sz="8" w:color="0000FF"/>
            </w:tcBorders>
            <w:gridSpan w:val="27"/>
          </w:tcPr>
          <w:p>
            <w:pPr>
              <w:spacing w:after="0" w:line="148"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(as successor to JPMorgan Chase Bank), as Trustee, to the Indenture dated as of April 18, 1996 (incorporated by reference to Exhibit 4.15 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60" w:type="dxa"/>
            <w:vAlign w:val="bottom"/>
            <w:tcBorders>
              <w:top w:val="single" w:sz="8" w:color="0000FF"/>
            </w:tcBorders>
            <w:gridSpan w:val="25"/>
          </w:tcPr>
          <w:p>
            <w:pPr>
              <w:spacing w:after="0" w:line="161"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Halliburton’s Form 10-K for the year ended December 31, 2003, File No. 001-03492).</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7"/>
        </w:trPr>
        <w:tc>
          <w:tcPr>
            <w:tcW w:w="1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4.9</w:t>
            </w:r>
          </w:p>
        </w:tc>
        <w:tc>
          <w:tcPr>
            <w:tcW w:w="200" w:type="dxa"/>
            <w:vAlign w:val="bottom"/>
          </w:tcPr>
          <w:p>
            <w:pPr>
              <w:spacing w:after="0"/>
              <w:rPr>
                <w:sz w:val="24"/>
                <w:szCs w:val="24"/>
                <w:color w:val="auto"/>
              </w:rPr>
            </w:pPr>
          </w:p>
        </w:tc>
        <w:tc>
          <w:tcPr>
            <w:tcW w:w="9760" w:type="dxa"/>
            <w:vAlign w:val="bottom"/>
            <w:gridSpan w:val="29"/>
          </w:tcPr>
          <w:p>
            <w:pPr>
              <w:spacing w:after="0"/>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Third Supplemental Indenture dated as of December 12, 2003 among DII Industries, LLC, Halliburton Company and The Bank of New York</w:t>
              </w:r>
            </w:hyperlink>
          </w:p>
        </w:tc>
      </w:tr>
      <w:tr>
        <w:trPr>
          <w:trHeight w:val="148"/>
        </w:trPr>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700" w:type="dxa"/>
            <w:vAlign w:val="bottom"/>
            <w:tcBorders>
              <w:top w:val="single" w:sz="8" w:color="0000FF"/>
            </w:tcBorders>
            <w:gridSpan w:val="26"/>
          </w:tcPr>
          <w:p>
            <w:pPr>
              <w:spacing w:after="0" w:line="148"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Trust Company, N.A. (as successor to JPMorgan Chase Bank), as Trustee, to the Indenture dated as of April 18, 1996, (incorporated by</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300" w:type="dxa"/>
            <w:vAlign w:val="bottom"/>
            <w:tcBorders>
              <w:top w:val="single" w:sz="8" w:color="0000FF"/>
            </w:tcBorders>
            <w:gridSpan w:val="15"/>
          </w:tcPr>
          <w:p>
            <w:pPr>
              <w:spacing w:after="0" w:line="161"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reference to Exhibit 4.16 to Halliburton’s Form 10-K for the year ended December 31, 2003, File No. 001-03492).</w:t>
              </w:r>
            </w:hyperlink>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7"/>
        </w:trPr>
        <w:tc>
          <w:tcPr>
            <w:tcW w:w="1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4.10</w:t>
            </w:r>
          </w:p>
        </w:tc>
        <w:tc>
          <w:tcPr>
            <w:tcW w:w="200" w:type="dxa"/>
            <w:vAlign w:val="bottom"/>
          </w:tcPr>
          <w:p>
            <w:pPr>
              <w:spacing w:after="0"/>
              <w:rPr>
                <w:sz w:val="24"/>
                <w:szCs w:val="24"/>
                <w:color w:val="auto"/>
              </w:rPr>
            </w:pPr>
          </w:p>
        </w:tc>
        <w:tc>
          <w:tcPr>
            <w:tcW w:w="9760" w:type="dxa"/>
            <w:vAlign w:val="bottom"/>
            <w:gridSpan w:val="29"/>
          </w:tcPr>
          <w:p>
            <w:pPr>
              <w:spacing w:after="0"/>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Indenture dated as of October 17, 2003 between Halliburton Company and The Bank of New York Trust Company, N.A. (as successor to</w:t>
              </w:r>
            </w:hyperlink>
          </w:p>
        </w:tc>
      </w:tr>
      <w:tr>
        <w:trPr>
          <w:trHeight w:val="148"/>
        </w:trPr>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40" w:type="dxa"/>
            <w:vAlign w:val="bottom"/>
            <w:tcBorders>
              <w:top w:val="single" w:sz="8" w:color="0000FF"/>
            </w:tcBorders>
            <w:gridSpan w:val="18"/>
          </w:tcPr>
          <w:p>
            <w:pPr>
              <w:spacing w:after="0" w:line="148"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JPMorgan Chase Bank), as Trustee (incorporated by reference to Exhibit 4.1 to Halliburton’s Form 10-Q for the quarter ended September</w:t>
              </w:r>
            </w:hyperlink>
          </w:p>
        </w:tc>
        <w:tc>
          <w:tcPr>
            <w:tcW w:w="320" w:type="dxa"/>
            <w:vAlign w:val="bottom"/>
            <w:gridSpan w:val="11"/>
          </w:tcPr>
          <w:p>
            <w:pPr>
              <w:jc w:val="right"/>
              <w:ind w:right="40"/>
              <w:spacing w:after="0" w:line="148"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30,</w:t>
              </w:r>
            </w:hyperlink>
          </w:p>
        </w:tc>
      </w:tr>
      <w:tr>
        <w:trPr>
          <w:trHeight w:val="160"/>
        </w:trPr>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740" w:type="dxa"/>
            <w:vAlign w:val="bottom"/>
            <w:tcBorders>
              <w:top w:val="single" w:sz="8" w:color="0000FF"/>
            </w:tcBorders>
            <w:gridSpan w:val="28"/>
          </w:tcPr>
          <w:p>
            <w:pPr>
              <w:spacing w:after="0" w:line="161"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2003, File No. 001-03492).</w:t>
              </w:r>
            </w:hyperlink>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457"/>
        </w:trPr>
        <w:tc>
          <w:tcPr>
            <w:tcW w:w="1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4.11</w:t>
            </w:r>
          </w:p>
        </w:tc>
        <w:tc>
          <w:tcPr>
            <w:tcW w:w="200" w:type="dxa"/>
            <w:vAlign w:val="bottom"/>
          </w:tcPr>
          <w:p>
            <w:pPr>
              <w:spacing w:after="0"/>
              <w:rPr>
                <w:sz w:val="24"/>
                <w:szCs w:val="24"/>
                <w:color w:val="auto"/>
              </w:rPr>
            </w:pPr>
          </w:p>
        </w:tc>
        <w:tc>
          <w:tcPr>
            <w:tcW w:w="9760" w:type="dxa"/>
            <w:vAlign w:val="bottom"/>
            <w:gridSpan w:val="29"/>
          </w:tcPr>
          <w:p>
            <w:pPr>
              <w:spacing w:after="0"/>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Second Supplemental Indenture dated as of December 15, 2003 between Halliburton Company and The Bank of New York Trust Company,</w:t>
              </w:r>
            </w:hyperlink>
          </w:p>
        </w:tc>
      </w:tr>
      <w:tr>
        <w:trPr>
          <w:trHeight w:val="148"/>
        </w:trPr>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20" w:type="dxa"/>
            <w:vAlign w:val="bottom"/>
            <w:tcBorders>
              <w:top w:val="single" w:sz="8" w:color="0000FF"/>
              <w:bottom w:val="single" w:sz="8" w:color="0000FF"/>
            </w:tcBorders>
            <w:gridSpan w:val="23"/>
          </w:tcPr>
          <w:p>
            <w:pPr>
              <w:spacing w:after="0" w:line="148"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N.A. (as successor to JPMorgan Chase Bank), as Trustee, to the Senior Indenture dated as of October 17, 2003 (incorporated by reference to</w:t>
              </w:r>
            </w:hyperlink>
          </w:p>
        </w:tc>
        <w:tc>
          <w:tcPr>
            <w:tcW w:w="20" w:type="dxa"/>
            <w:vAlign w:val="bottom"/>
            <w:tcBorders>
              <w:bottom w:val="single" w:sz="8" w:color="0000FF"/>
            </w:tcBorders>
          </w:tcPr>
          <w:p>
            <w:pPr>
              <w:spacing w:after="0"/>
              <w:rPr>
                <w:sz w:val="12"/>
                <w:szCs w:val="12"/>
                <w:color w:val="auto"/>
              </w:rPr>
            </w:pPr>
          </w:p>
        </w:tc>
        <w:tc>
          <w:tcPr>
            <w:tcW w:w="120" w:type="dxa"/>
            <w:vAlign w:val="bottom"/>
            <w:gridSpan w:val="5"/>
          </w:tcPr>
          <w:p>
            <w:pPr>
              <w:spacing w:after="0"/>
              <w:rPr>
                <w:sz w:val="12"/>
                <w:szCs w:val="12"/>
                <w:color w:val="auto"/>
              </w:rPr>
            </w:pPr>
          </w:p>
        </w:tc>
      </w:tr>
      <w:tr>
        <w:trPr>
          <w:trHeight w:val="160"/>
        </w:trPr>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40" w:type="dxa"/>
            <w:vAlign w:val="bottom"/>
            <w:gridSpan w:val="24"/>
          </w:tcPr>
          <w:p>
            <w:pPr>
              <w:spacing w:after="0" w:line="161"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Exhibit 4.27 to Halliburton’s Form 10-K for the year ended December 31, 2003, File No. 001-03492).</w:t>
              </w:r>
            </w:hyperlink>
          </w:p>
        </w:tc>
        <w:tc>
          <w:tcPr>
            <w:tcW w:w="120" w:type="dxa"/>
            <w:vAlign w:val="bottom"/>
            <w:gridSpan w:val="5"/>
          </w:tcPr>
          <w:p>
            <w:pPr>
              <w:spacing w:after="0"/>
              <w:rPr>
                <w:sz w:val="13"/>
                <w:szCs w:val="13"/>
                <w:color w:val="auto"/>
              </w:rPr>
            </w:pPr>
          </w:p>
        </w:tc>
      </w:tr>
      <w:tr>
        <w:trPr>
          <w:trHeight w:val="457"/>
        </w:trPr>
        <w:tc>
          <w:tcPr>
            <w:tcW w:w="1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4.12</w:t>
            </w:r>
          </w:p>
        </w:tc>
        <w:tc>
          <w:tcPr>
            <w:tcW w:w="200" w:type="dxa"/>
            <w:vAlign w:val="bottom"/>
          </w:tcPr>
          <w:p>
            <w:pPr>
              <w:spacing w:after="0"/>
              <w:rPr>
                <w:sz w:val="24"/>
                <w:szCs w:val="24"/>
                <w:color w:val="auto"/>
              </w:rPr>
            </w:pPr>
          </w:p>
        </w:tc>
        <w:tc>
          <w:tcPr>
            <w:tcW w:w="572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 xml:space="preserve">Form of note of 7.6% debentures due 2096 (included as Exhibit A to Exhibit </w:t>
              </w:r>
            </w:hyperlink>
            <w:r>
              <w:rPr>
                <w:rFonts w:ascii="Times New Roman" w:cs="Times New Roman" w:eastAsia="Times New Roman" w:hAnsi="Times New Roman"/>
                <w:sz w:val="17"/>
                <w:szCs w:val="17"/>
                <w:color w:val="0000FF"/>
              </w:rPr>
              <w:t>4.11)</w:t>
            </w:r>
            <w:hyperlink r:id="rId101">
              <w:r>
                <w:rPr>
                  <w:rFonts w:ascii="Times New Roman" w:cs="Times New Roman" w:eastAsia="Times New Roman" w:hAnsi="Times New Roman"/>
                  <w:sz w:val="17"/>
                  <w:szCs w:val="17"/>
                  <w:color w:val="0000FF"/>
                </w:rPr>
                <w:t>.</w:t>
              </w:r>
            </w:hyperlink>
          </w:p>
        </w:tc>
        <w:tc>
          <w:tcPr>
            <w:tcW w:w="1280" w:type="dxa"/>
            <w:vAlign w:val="bottom"/>
            <w:tcBorders>
              <w:top w:val="single" w:sz="8" w:color="0000FF"/>
            </w:tcBorders>
            <w:gridSpan w:val="5"/>
          </w:tcPr>
          <w:p>
            <w:pPr>
              <w:spacing w:after="0"/>
              <w:rPr>
                <w:sz w:val="24"/>
                <w:szCs w:val="24"/>
                <w:color w:val="auto"/>
              </w:rPr>
            </w:pPr>
          </w:p>
        </w:tc>
        <w:tc>
          <w:tcPr>
            <w:tcW w:w="2760" w:type="dxa"/>
            <w:vAlign w:val="bottom"/>
            <w:gridSpan w:val="21"/>
          </w:tcPr>
          <w:p>
            <w:pPr>
              <w:spacing w:after="0"/>
              <w:rPr>
                <w:sz w:val="24"/>
                <w:szCs w:val="24"/>
                <w:color w:val="auto"/>
              </w:rPr>
            </w:pPr>
          </w:p>
        </w:tc>
      </w:tr>
      <w:tr>
        <w:trPr>
          <w:trHeight w:val="457"/>
        </w:trPr>
        <w:tc>
          <w:tcPr>
            <w:tcW w:w="1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4.13</w:t>
            </w:r>
          </w:p>
        </w:tc>
        <w:tc>
          <w:tcPr>
            <w:tcW w:w="200" w:type="dxa"/>
            <w:vAlign w:val="bottom"/>
          </w:tcPr>
          <w:p>
            <w:pPr>
              <w:spacing w:after="0"/>
              <w:rPr>
                <w:sz w:val="24"/>
                <w:szCs w:val="24"/>
                <w:color w:val="auto"/>
              </w:rPr>
            </w:pPr>
          </w:p>
        </w:tc>
        <w:tc>
          <w:tcPr>
            <w:tcW w:w="9760" w:type="dxa"/>
            <w:vAlign w:val="bottom"/>
            <w:gridSpan w:val="29"/>
          </w:tcPr>
          <w:p>
            <w:pPr>
              <w:spacing w:after="0"/>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Fourth Supplemental Indenture, dated as of September 12, 2008, between Halliburton Company and The Bank of New York Mellon Trust</w:t>
              </w:r>
            </w:hyperlink>
          </w:p>
        </w:tc>
      </w:tr>
      <w:tr>
        <w:trPr>
          <w:trHeight w:val="148"/>
        </w:trPr>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80" w:type="dxa"/>
            <w:vAlign w:val="bottom"/>
            <w:tcBorders>
              <w:top w:val="single" w:sz="8" w:color="0000FF"/>
            </w:tcBorders>
            <w:gridSpan w:val="20"/>
          </w:tcPr>
          <w:p>
            <w:pPr>
              <w:spacing w:after="0" w:line="148"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Company, N.A., as successor trustee to JPMorgan Chase Bank, to the Senior Indenture dated as of October 17, 2003 (incorporated by</w:t>
              </w:r>
            </w:hyperlink>
          </w:p>
        </w:tc>
        <w:tc>
          <w:tcPr>
            <w:tcW w:w="280" w:type="dxa"/>
            <w:vAlign w:val="bottom"/>
            <w:gridSpan w:val="9"/>
          </w:tcPr>
          <w:p>
            <w:pPr>
              <w:spacing w:after="0"/>
              <w:rPr>
                <w:sz w:val="12"/>
                <w:szCs w:val="12"/>
                <w:color w:val="auto"/>
              </w:rPr>
            </w:pPr>
          </w:p>
        </w:tc>
      </w:tr>
      <w:tr>
        <w:trPr>
          <w:trHeight w:val="160"/>
        </w:trPr>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0" w:type="dxa"/>
            <w:vAlign w:val="bottom"/>
            <w:tcBorders>
              <w:top w:val="single" w:sz="8" w:color="0000FF"/>
              <w:bottom w:val="single" w:sz="8" w:color="0000FF"/>
            </w:tcBorders>
            <w:gridSpan w:val="7"/>
          </w:tcPr>
          <w:p>
            <w:pPr>
              <w:spacing w:after="0" w:line="161"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reference to Exhibit 4.2 to Halliburton’s Form 8-K filed September 12, 2008, File No. 001-03492).</w:t>
              </w:r>
            </w:hyperlink>
          </w:p>
        </w:tc>
        <w:tc>
          <w:tcPr>
            <w:tcW w:w="2380" w:type="dxa"/>
            <w:vAlign w:val="bottom"/>
            <w:tcBorders>
              <w:top w:val="single" w:sz="8" w:color="0000FF"/>
            </w:tcBorders>
            <w:gridSpan w:val="6"/>
          </w:tcPr>
          <w:p>
            <w:pPr>
              <w:spacing w:after="0"/>
              <w:rPr>
                <w:sz w:val="13"/>
                <w:szCs w:val="13"/>
                <w:color w:val="auto"/>
              </w:rPr>
            </w:pPr>
          </w:p>
        </w:tc>
        <w:tc>
          <w:tcPr>
            <w:tcW w:w="200" w:type="dxa"/>
            <w:vAlign w:val="bottom"/>
            <w:gridSpan w:val="4"/>
          </w:tcPr>
          <w:p>
            <w:pPr>
              <w:spacing w:after="0"/>
              <w:rPr>
                <w:sz w:val="13"/>
                <w:szCs w:val="13"/>
                <w:color w:val="auto"/>
              </w:rPr>
            </w:pPr>
          </w:p>
        </w:tc>
        <w:tc>
          <w:tcPr>
            <w:tcW w:w="380" w:type="dxa"/>
            <w:vAlign w:val="bottom"/>
            <w:gridSpan w:val="12"/>
          </w:tcPr>
          <w:p>
            <w:pPr>
              <w:spacing w:after="0"/>
              <w:rPr>
                <w:sz w:val="13"/>
                <w:szCs w:val="13"/>
                <w:color w:val="auto"/>
              </w:rPr>
            </w:pPr>
          </w:p>
        </w:tc>
      </w:tr>
      <w:tr>
        <w:trPr>
          <w:trHeight w:val="457"/>
        </w:trPr>
        <w:tc>
          <w:tcPr>
            <w:tcW w:w="1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4.14</w:t>
            </w:r>
          </w:p>
        </w:tc>
        <w:tc>
          <w:tcPr>
            <w:tcW w:w="200" w:type="dxa"/>
            <w:vAlign w:val="bottom"/>
          </w:tcPr>
          <w:p>
            <w:pPr>
              <w:spacing w:after="0"/>
              <w:rPr>
                <w:sz w:val="24"/>
                <w:szCs w:val="24"/>
                <w:color w:val="auto"/>
              </w:rPr>
            </w:pPr>
          </w:p>
        </w:tc>
        <w:tc>
          <w:tcPr>
            <w:tcW w:w="7120" w:type="dxa"/>
            <w:vAlign w:val="bottom"/>
            <w:tcBorders>
              <w:bottom w:val="single" w:sz="8" w:color="0000FF"/>
            </w:tcBorders>
            <w:gridSpan w:val="10"/>
          </w:tcPr>
          <w:p>
            <w:pPr>
              <w:spacing w:after="0"/>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 xml:space="preserve">Form of Global Note for Halliburton’s 6.70% Senior Notes due 2038 (included as part of Exhibit </w:t>
              </w:r>
            </w:hyperlink>
            <w:r>
              <w:rPr>
                <w:rFonts w:ascii="Times New Roman" w:cs="Times New Roman" w:eastAsia="Times New Roman" w:hAnsi="Times New Roman"/>
                <w:sz w:val="17"/>
                <w:szCs w:val="17"/>
                <w:color w:val="0000FF"/>
              </w:rPr>
              <w:t>4.13)</w:t>
            </w:r>
            <w:hyperlink r:id="rId102">
              <w:r>
                <w:rPr>
                  <w:rFonts w:ascii="Times New Roman" w:cs="Times New Roman" w:eastAsia="Times New Roman" w:hAnsi="Times New Roman"/>
                  <w:sz w:val="17"/>
                  <w:szCs w:val="17"/>
                  <w:color w:val="0000FF"/>
                </w:rPr>
                <w:t>.</w:t>
              </w:r>
            </w:hyperlink>
          </w:p>
        </w:tc>
        <w:tc>
          <w:tcPr>
            <w:tcW w:w="2640" w:type="dxa"/>
            <w:vAlign w:val="bottom"/>
            <w:gridSpan w:val="19"/>
          </w:tcPr>
          <w:p>
            <w:pPr>
              <w:spacing w:after="0"/>
              <w:rPr>
                <w:sz w:val="24"/>
                <w:szCs w:val="24"/>
                <w:color w:val="auto"/>
              </w:rPr>
            </w:pPr>
          </w:p>
        </w:tc>
      </w:tr>
      <w:tr>
        <w:trPr>
          <w:trHeight w:val="457"/>
        </w:trPr>
        <w:tc>
          <w:tcPr>
            <w:tcW w:w="1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4.15</w:t>
            </w:r>
          </w:p>
        </w:tc>
        <w:tc>
          <w:tcPr>
            <w:tcW w:w="200" w:type="dxa"/>
            <w:vAlign w:val="bottom"/>
          </w:tcPr>
          <w:p>
            <w:pPr>
              <w:spacing w:after="0"/>
              <w:rPr>
                <w:sz w:val="24"/>
                <w:szCs w:val="24"/>
                <w:color w:val="auto"/>
              </w:rPr>
            </w:pPr>
          </w:p>
        </w:tc>
        <w:tc>
          <w:tcPr>
            <w:tcW w:w="9080" w:type="dxa"/>
            <w:vAlign w:val="bottom"/>
            <w:tcBorders>
              <w:bottom w:val="single" w:sz="8" w:color="0000FF"/>
            </w:tcBorders>
            <w:gridSpan w:val="12"/>
          </w:tcPr>
          <w:p>
            <w:pPr>
              <w:spacing w:after="0"/>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Fifth Supplemental Indenture, dated as of March 13, 2009, between Halliburton Company and The Bank of New York Mellon Trust</w:t>
              </w:r>
            </w:hyperlink>
          </w:p>
        </w:tc>
        <w:tc>
          <w:tcPr>
            <w:tcW w:w="680" w:type="dxa"/>
            <w:vAlign w:val="bottom"/>
            <w:gridSpan w:val="17"/>
          </w:tcPr>
          <w:p>
            <w:pPr>
              <w:spacing w:after="0"/>
              <w:rPr>
                <w:sz w:val="24"/>
                <w:szCs w:val="24"/>
                <w:color w:val="auto"/>
              </w:rPr>
            </w:pPr>
          </w:p>
        </w:tc>
      </w:tr>
      <w:tr>
        <w:trPr>
          <w:trHeight w:val="148"/>
        </w:trPr>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760" w:type="dxa"/>
            <w:vAlign w:val="bottom"/>
            <w:gridSpan w:val="29"/>
          </w:tcPr>
          <w:p>
            <w:pPr>
              <w:spacing w:after="0" w:line="148"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Company, N.A., as successor trustee to JPMorgan Chase Bank, to the Senior Indenture dated as of October 17, 2003 (incorporated by</w:t>
              </w:r>
            </w:hyperlink>
          </w:p>
        </w:tc>
      </w:tr>
      <w:tr>
        <w:trPr>
          <w:trHeight w:val="160"/>
        </w:trPr>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180" w:type="dxa"/>
            <w:vAlign w:val="bottom"/>
            <w:tcBorders>
              <w:top w:val="single" w:sz="8" w:color="0000FF"/>
            </w:tcBorders>
            <w:gridSpan w:val="13"/>
          </w:tcPr>
          <w:p>
            <w:pPr>
              <w:spacing w:after="0" w:line="161"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reference to Exhibit 4.2 to Halliburton’s Form 8-K filed March 13, 2009, File No. 001-03492).</w:t>
              </w:r>
            </w:hyperlink>
          </w:p>
        </w:tc>
        <w:tc>
          <w:tcPr>
            <w:tcW w:w="200" w:type="dxa"/>
            <w:vAlign w:val="bottom"/>
            <w:gridSpan w:val="4"/>
          </w:tcPr>
          <w:p>
            <w:pPr>
              <w:spacing w:after="0"/>
              <w:rPr>
                <w:sz w:val="13"/>
                <w:szCs w:val="13"/>
                <w:color w:val="auto"/>
              </w:rPr>
            </w:pPr>
          </w:p>
        </w:tc>
        <w:tc>
          <w:tcPr>
            <w:tcW w:w="380" w:type="dxa"/>
            <w:vAlign w:val="bottom"/>
            <w:gridSpan w:val="12"/>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0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80" w:type="dxa"/>
            <w:vAlign w:val="bottom"/>
            <w:gridSpan w:val="8"/>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r>
      <w:tr>
        <w:trPr>
          <w:trHeight w:val="457"/>
        </w:trPr>
        <w:tc>
          <w:tcPr>
            <w:tcW w:w="1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4.16</w:t>
            </w:r>
          </w:p>
        </w:tc>
        <w:tc>
          <w:tcPr>
            <w:tcW w:w="200" w:type="dxa"/>
            <w:vAlign w:val="bottom"/>
          </w:tcPr>
          <w:p>
            <w:pPr>
              <w:spacing w:after="0"/>
              <w:rPr>
                <w:sz w:val="24"/>
                <w:szCs w:val="24"/>
                <w:color w:val="auto"/>
              </w:rPr>
            </w:pPr>
          </w:p>
        </w:tc>
        <w:tc>
          <w:tcPr>
            <w:tcW w:w="9760" w:type="dxa"/>
            <w:vAlign w:val="bottom"/>
            <w:gridSpan w:val="29"/>
          </w:tcPr>
          <w:p>
            <w:pPr>
              <w:spacing w:after="0"/>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 xml:space="preserve">Form of Global Note for Halliburton’s 7.45% Senior Notes due 2039 (included as part of Exhibit </w:t>
              </w:r>
            </w:hyperlink>
            <w:r>
              <w:rPr>
                <w:rFonts w:ascii="Times New Roman" w:cs="Times New Roman" w:eastAsia="Times New Roman" w:hAnsi="Times New Roman"/>
                <w:sz w:val="17"/>
                <w:szCs w:val="17"/>
                <w:color w:val="0000FF"/>
              </w:rPr>
              <w:t>4.15)</w:t>
            </w:r>
            <w:hyperlink r:id="rId103">
              <w:r>
                <w:rPr>
                  <w:rFonts w:ascii="Times New Roman" w:cs="Times New Roman" w:eastAsia="Times New Roman" w:hAnsi="Times New Roman"/>
                  <w:sz w:val="17"/>
                  <w:szCs w:val="17"/>
                  <w:color w:val="0000FF"/>
                </w:rPr>
                <w:t>.</w:t>
              </w:r>
            </w:hyperlink>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780" w:type="dxa"/>
            <w:vAlign w:val="bottom"/>
            <w:gridSpan w:val="6"/>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280" w:type="dxa"/>
            <w:vAlign w:val="bottom"/>
            <w:gridSpan w:val="8"/>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r>
      <w:tr>
        <w:trPr>
          <w:trHeight w:val="457"/>
        </w:trPr>
        <w:tc>
          <w:tcPr>
            <w:tcW w:w="1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4.17</w:t>
            </w:r>
          </w:p>
        </w:tc>
        <w:tc>
          <w:tcPr>
            <w:tcW w:w="200" w:type="dxa"/>
            <w:vAlign w:val="bottom"/>
          </w:tcPr>
          <w:p>
            <w:pPr>
              <w:spacing w:after="0"/>
              <w:rPr>
                <w:sz w:val="24"/>
                <w:szCs w:val="24"/>
                <w:color w:val="auto"/>
              </w:rPr>
            </w:pPr>
          </w:p>
        </w:tc>
        <w:tc>
          <w:tcPr>
            <w:tcW w:w="9760" w:type="dxa"/>
            <w:vAlign w:val="bottom"/>
            <w:gridSpan w:val="29"/>
          </w:tcPr>
          <w:p>
            <w:pPr>
              <w:spacing w:after="0"/>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Sixth Supplemental Indenture, dated as of November 14, 2011, between Halliburton Company and The Bank of New York Mellon Trust</w:t>
              </w:r>
            </w:hyperlink>
          </w:p>
        </w:tc>
      </w:tr>
      <w:tr>
        <w:trPr>
          <w:trHeight w:val="148"/>
        </w:trPr>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380" w:type="dxa"/>
            <w:vAlign w:val="bottom"/>
            <w:tcBorders>
              <w:top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Company, N.A., as successor trustee to JPMorgan Chase Bank, to the Senior Indenture dated as of October 17, 2003 (incorporated by</w:t>
              </w:r>
            </w:hyperlink>
          </w:p>
        </w:tc>
        <w:tc>
          <w:tcPr>
            <w:tcW w:w="380" w:type="dxa"/>
            <w:vAlign w:val="bottom"/>
            <w:gridSpan w:val="12"/>
          </w:tcPr>
          <w:p>
            <w:pPr>
              <w:spacing w:after="0"/>
              <w:rPr>
                <w:sz w:val="12"/>
                <w:szCs w:val="12"/>
                <w:color w:val="auto"/>
              </w:rPr>
            </w:pPr>
          </w:p>
        </w:tc>
      </w:tr>
      <w:tr>
        <w:trPr>
          <w:trHeight w:val="160"/>
        </w:trPr>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780" w:type="dxa"/>
            <w:vAlign w:val="bottom"/>
            <w:tcBorders>
              <w:top w:val="single" w:sz="8" w:color="0000FF"/>
              <w:bottom w:val="single" w:sz="8" w:color="0000FF"/>
            </w:tcBorders>
            <w:gridSpan w:val="6"/>
          </w:tcPr>
          <w:p>
            <w:pPr>
              <w:spacing w:after="0" w:line="161"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reference to Exhibit 4.2 to Halliburton’s Form 8-K filed November 14, 2011, File No. 001-03492).</w:t>
              </w:r>
            </w:hyperlink>
          </w:p>
        </w:tc>
        <w:tc>
          <w:tcPr>
            <w:tcW w:w="2400" w:type="dxa"/>
            <w:vAlign w:val="bottom"/>
            <w:tcBorders>
              <w:top w:val="single" w:sz="8" w:color="0000FF"/>
            </w:tcBorders>
            <w:gridSpan w:val="7"/>
          </w:tcPr>
          <w:p>
            <w:pPr>
              <w:spacing w:after="0"/>
              <w:rPr>
                <w:sz w:val="13"/>
                <w:szCs w:val="13"/>
                <w:color w:val="auto"/>
              </w:rPr>
            </w:pPr>
          </w:p>
        </w:tc>
        <w:tc>
          <w:tcPr>
            <w:tcW w:w="580" w:type="dxa"/>
            <w:vAlign w:val="bottom"/>
            <w:gridSpan w:val="16"/>
          </w:tcPr>
          <w:p>
            <w:pPr>
              <w:spacing w:after="0"/>
              <w:rPr>
                <w:sz w:val="13"/>
                <w:szCs w:val="13"/>
                <w:color w:val="auto"/>
              </w:rPr>
            </w:pPr>
          </w:p>
        </w:tc>
      </w:tr>
      <w:tr>
        <w:trPr>
          <w:trHeight w:val="457"/>
        </w:trPr>
        <w:tc>
          <w:tcPr>
            <w:tcW w:w="1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4.18</w:t>
            </w:r>
          </w:p>
        </w:tc>
        <w:tc>
          <w:tcPr>
            <w:tcW w:w="200" w:type="dxa"/>
            <w:vAlign w:val="bottom"/>
          </w:tcPr>
          <w:p>
            <w:pPr>
              <w:spacing w:after="0"/>
              <w:rPr>
                <w:sz w:val="24"/>
                <w:szCs w:val="24"/>
                <w:color w:val="auto"/>
              </w:rPr>
            </w:pPr>
          </w:p>
        </w:tc>
        <w:tc>
          <w:tcPr>
            <w:tcW w:w="7120" w:type="dxa"/>
            <w:vAlign w:val="bottom"/>
            <w:tcBorders>
              <w:bottom w:val="single" w:sz="8" w:color="0000FF"/>
            </w:tcBorders>
            <w:gridSpan w:val="10"/>
          </w:tcPr>
          <w:p>
            <w:pPr>
              <w:spacing w:after="0"/>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 xml:space="preserve">Form of Global Note for Halliburton’s 4.50% Senior Notes due 2041 (included as part of Exhibit </w:t>
              </w:r>
            </w:hyperlink>
            <w:r>
              <w:rPr>
                <w:rFonts w:ascii="Times New Roman" w:cs="Times New Roman" w:eastAsia="Times New Roman" w:hAnsi="Times New Roman"/>
                <w:sz w:val="17"/>
                <w:szCs w:val="17"/>
                <w:color w:val="0000FF"/>
              </w:rPr>
              <w:t>4.17)</w:t>
            </w:r>
            <w:hyperlink r:id="rId104">
              <w:r>
                <w:rPr>
                  <w:rFonts w:ascii="Times New Roman" w:cs="Times New Roman" w:eastAsia="Times New Roman" w:hAnsi="Times New Roman"/>
                  <w:sz w:val="17"/>
                  <w:szCs w:val="17"/>
                  <w:color w:val="0000FF"/>
                </w:rPr>
                <w:t>.</w:t>
              </w:r>
            </w:hyperlink>
          </w:p>
        </w:tc>
        <w:tc>
          <w:tcPr>
            <w:tcW w:w="2640" w:type="dxa"/>
            <w:vAlign w:val="bottom"/>
            <w:gridSpan w:val="19"/>
          </w:tcPr>
          <w:p>
            <w:pPr>
              <w:spacing w:after="0"/>
              <w:rPr>
                <w:sz w:val="24"/>
                <w:szCs w:val="24"/>
                <w:color w:val="auto"/>
              </w:rPr>
            </w:pPr>
          </w:p>
        </w:tc>
      </w:tr>
      <w:tr>
        <w:trPr>
          <w:trHeight w:val="459"/>
        </w:trPr>
        <w:tc>
          <w:tcPr>
            <w:tcW w:w="12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4.19</w:t>
            </w:r>
          </w:p>
        </w:tc>
        <w:tc>
          <w:tcPr>
            <w:tcW w:w="200" w:type="dxa"/>
            <w:vAlign w:val="bottom"/>
          </w:tcPr>
          <w:p>
            <w:pPr>
              <w:spacing w:after="0"/>
              <w:rPr>
                <w:sz w:val="24"/>
                <w:szCs w:val="24"/>
                <w:color w:val="auto"/>
              </w:rPr>
            </w:pPr>
          </w:p>
        </w:tc>
        <w:tc>
          <w:tcPr>
            <w:tcW w:w="9760" w:type="dxa"/>
            <w:vAlign w:val="bottom"/>
            <w:gridSpan w:val="29"/>
          </w:tcPr>
          <w:p>
            <w:pPr>
              <w:spacing w:after="0"/>
              <w:rPr>
                <w:rFonts w:ascii="Times New Roman" w:cs="Times New Roman" w:eastAsia="Times New Roman" w:hAnsi="Times New Roman"/>
                <w:sz w:val="17"/>
                <w:szCs w:val="17"/>
                <w:u w:val="single" w:color="auto"/>
                <w:color w:val="0000FF"/>
              </w:rPr>
            </w:pPr>
            <w:hyperlink r:id="rId105">
              <w:r>
                <w:rPr>
                  <w:rFonts w:ascii="Times New Roman" w:cs="Times New Roman" w:eastAsia="Times New Roman" w:hAnsi="Times New Roman"/>
                  <w:sz w:val="17"/>
                  <w:szCs w:val="17"/>
                  <w:u w:val="single" w:color="auto"/>
                  <w:color w:val="0000FF"/>
                </w:rPr>
                <w:t>Seventh Supplemental Indenture, dated as of August 5, 2013, between Halliburton Company and The Bank of New York Mellon Trust</w:t>
              </w:r>
            </w:hyperlink>
          </w:p>
        </w:tc>
      </w:tr>
    </w:tbl>
    <w:p>
      <w:pPr>
        <w:ind w:left="1420" w:right="400"/>
        <w:spacing w:after="0" w:line="236" w:lineRule="auto"/>
        <w:rPr>
          <w:rFonts w:ascii="Times New Roman" w:cs="Times New Roman" w:eastAsia="Times New Roman" w:hAnsi="Times New Roman"/>
          <w:sz w:val="17"/>
          <w:szCs w:val="17"/>
          <w:u w:val="single" w:color="auto"/>
          <w:color w:val="0000FF"/>
        </w:rPr>
      </w:pPr>
      <w:hyperlink r:id="rId105">
        <w:r>
          <w:rPr>
            <w:rFonts w:ascii="Times New Roman" w:cs="Times New Roman" w:eastAsia="Times New Roman" w:hAnsi="Times New Roman"/>
            <w:sz w:val="17"/>
            <w:szCs w:val="17"/>
            <w:u w:val="single" w:color="auto"/>
            <w:color w:val="0000FF"/>
          </w:rPr>
          <w:t>Company, N.A., as successor trustee to JPMorgan Chase Bank (incorporated by reference to Exhibit 4.2 of Halliburton’s Form 8-K filed</w:t>
        </w:r>
      </w:hyperlink>
      <w:r>
        <w:rPr>
          <w:rFonts w:ascii="Times New Roman" w:cs="Times New Roman" w:eastAsia="Times New Roman" w:hAnsi="Times New Roman"/>
          <w:sz w:val="17"/>
          <w:szCs w:val="17"/>
          <w:u w:val="single" w:color="auto"/>
          <w:color w:val="0000FF"/>
        </w:rPr>
        <w:t xml:space="preserve"> </w:t>
      </w:r>
      <w:hyperlink r:id="rId105">
        <w:r>
          <w:rPr>
            <w:rFonts w:ascii="Times New Roman" w:cs="Times New Roman" w:eastAsia="Times New Roman" w:hAnsi="Times New Roman"/>
            <w:sz w:val="17"/>
            <w:szCs w:val="17"/>
            <w:u w:val="single" w:color="auto"/>
            <w:color w:val="0000FF"/>
          </w:rPr>
          <w:t>August 5, 2013, File No. 001-03492).</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60" w:top="150" w:right="339" w:bottom="1440" w:gutter="0" w:footer="0" w:header="0"/>
        </w:sectPr>
      </w:pPr>
    </w:p>
    <w:bookmarkStart w:id="75" w:name="page76"/>
    <w:bookmarkEnd w:id="75"/>
    <w:p>
      <w:pPr>
        <w:ind w:left="20"/>
        <w:spacing w:after="0"/>
        <w:tabs>
          <w:tab w:leader="none" w:pos="9960" w:val="left"/>
        </w:tabs>
        <w:rPr>
          <w:sz w:val="20"/>
          <w:szCs w:val="20"/>
          <w:color w:val="auto"/>
        </w:rPr>
      </w:pPr>
      <w:r>
        <w:rPr>
          <w:rFonts w:ascii="Times New Roman" w:cs="Times New Roman" w:eastAsia="Times New Roman" w:hAnsi="Times New Roman"/>
          <w:sz w:val="17"/>
          <w:szCs w:val="17"/>
          <w:u w:val="single" w:color="auto"/>
          <w:color w:val="0000FF"/>
        </w:rPr>
        <w:t>Table of Contents</w:t>
      </w:r>
      <w:r>
        <w:rPr>
          <w:sz w:val="20"/>
          <w:szCs w:val="20"/>
          <w:color w:val="auto"/>
        </w:rPr>
        <w:tab/>
      </w:r>
      <w:r>
        <w:rPr>
          <w:rFonts w:ascii="Times New Roman" w:cs="Times New Roman" w:eastAsia="Times New Roman" w:hAnsi="Times New Roman"/>
          <w:sz w:val="17"/>
          <w:szCs w:val="17"/>
          <w:color w:val="auto"/>
        </w:rPr>
        <w:t>Item 15 |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spacing w:after="0"/>
              <w:rPr>
                <w:sz w:val="17"/>
                <w:szCs w:val="17"/>
                <w:color w:val="auto"/>
              </w:rPr>
            </w:pPr>
          </w:p>
        </w:tc>
        <w:tc>
          <w:tcPr>
            <w:tcW w:w="11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4.20</w:t>
            </w:r>
          </w:p>
        </w:tc>
        <w:tc>
          <w:tcPr>
            <w:tcW w:w="9780" w:type="dxa"/>
            <w:vAlign w:val="bottom"/>
            <w:gridSpan w:val="23"/>
          </w:tcPr>
          <w:p>
            <w:pPr>
              <w:spacing w:after="0"/>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 xml:space="preserve">Form of Global Note for Halliburton’s 4.75% Senior Notes due 2043 (included as part of Exhibit </w:t>
              </w:r>
            </w:hyperlink>
            <w:r>
              <w:rPr>
                <w:rFonts w:ascii="Times New Roman" w:cs="Times New Roman" w:eastAsia="Times New Roman" w:hAnsi="Times New Roman"/>
                <w:sz w:val="17"/>
                <w:szCs w:val="17"/>
                <w:color w:val="0000FF"/>
              </w:rPr>
              <w:t>4.19)</w:t>
            </w:r>
            <w:hyperlink r:id="rId105">
              <w:r>
                <w:rPr>
                  <w:rFonts w:ascii="Times New Roman" w:cs="Times New Roman" w:eastAsia="Times New Roman" w:hAnsi="Times New Roman"/>
                  <w:sz w:val="17"/>
                  <w:szCs w:val="17"/>
                  <w:color w:val="0000FF"/>
                </w:rPr>
                <w:t>.</w:t>
              </w:r>
            </w:hyperlink>
          </w:p>
        </w:tc>
      </w:tr>
      <w:tr>
        <w:trPr>
          <w:trHeight w:val="20"/>
        </w:trPr>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7"/>
        </w:trPr>
        <w:tc>
          <w:tcPr>
            <w:tcW w:w="280" w:type="dxa"/>
            <w:vAlign w:val="bottom"/>
          </w:tcPr>
          <w:p>
            <w:pPr>
              <w:spacing w:after="0"/>
              <w:rPr>
                <w:sz w:val="24"/>
                <w:szCs w:val="24"/>
                <w:color w:val="auto"/>
              </w:rPr>
            </w:pPr>
          </w:p>
        </w:tc>
        <w:tc>
          <w:tcPr>
            <w:tcW w:w="11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4.21</w:t>
            </w:r>
          </w:p>
        </w:tc>
        <w:tc>
          <w:tcPr>
            <w:tcW w:w="9780" w:type="dxa"/>
            <w:vAlign w:val="bottom"/>
            <w:gridSpan w:val="23"/>
          </w:tcPr>
          <w:p>
            <w:pPr>
              <w:spacing w:after="0"/>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Eighth Supplemental Indenture, dated as of November 13, 2015, between Halliburton Company and The Bank of New York Mellon Trust</w:t>
              </w:r>
            </w:hyperlink>
          </w:p>
        </w:tc>
      </w:tr>
      <w:tr>
        <w:trPr>
          <w:trHeight w:val="148"/>
        </w:trPr>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80" w:type="dxa"/>
            <w:vAlign w:val="bottom"/>
            <w:tcBorders>
              <w:top w:val="single" w:sz="8" w:color="0000FF"/>
            </w:tcBorders>
            <w:gridSpan w:val="15"/>
          </w:tcPr>
          <w:p>
            <w:pPr>
              <w:spacing w:after="0" w:line="148"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Company, N.A., as successor trustee to JPMorgan Chase Bank (incorporated by reference to Exhibit 4.2 to Halliburton’s Form 8-K filed</w:t>
              </w:r>
            </w:hyperlink>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920" w:type="dxa"/>
            <w:vAlign w:val="bottom"/>
            <w:tcBorders>
              <w:top w:val="single" w:sz="8" w:color="0000FF"/>
              <w:bottom w:val="single" w:sz="8" w:color="0000FF"/>
            </w:tcBorders>
            <w:gridSpan w:val="3"/>
          </w:tcPr>
          <w:p>
            <w:pPr>
              <w:spacing w:after="0" w:line="161"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November 13, 2015, File No. 001-03492).</w:t>
              </w:r>
            </w:hyperlink>
          </w:p>
        </w:tc>
        <w:tc>
          <w:tcPr>
            <w:tcW w:w="6440" w:type="dxa"/>
            <w:vAlign w:val="bottom"/>
            <w:tcBorders>
              <w:top w:val="single" w:sz="8" w:color="0000FF"/>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57"/>
        </w:trPr>
        <w:tc>
          <w:tcPr>
            <w:tcW w:w="280" w:type="dxa"/>
            <w:vAlign w:val="bottom"/>
          </w:tcPr>
          <w:p>
            <w:pPr>
              <w:spacing w:after="0"/>
              <w:rPr>
                <w:sz w:val="24"/>
                <w:szCs w:val="24"/>
                <w:color w:val="auto"/>
              </w:rPr>
            </w:pPr>
          </w:p>
        </w:tc>
        <w:tc>
          <w:tcPr>
            <w:tcW w:w="11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4.22</w:t>
            </w:r>
          </w:p>
        </w:tc>
        <w:tc>
          <w:tcPr>
            <w:tcW w:w="7200" w:type="dxa"/>
            <w:vAlign w:val="bottom"/>
            <w:tcBorders>
              <w:bottom w:val="single" w:sz="8" w:color="0000FF"/>
            </w:tcBorders>
            <w:gridSpan w:val="9"/>
          </w:tcPr>
          <w:p>
            <w:pPr>
              <w:spacing w:after="0"/>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 xml:space="preserve">Form of Global Note for Halliburton’s 3.800% Senior Notes due 2025 (included as part of Exhibit </w:t>
              </w:r>
            </w:hyperlink>
            <w:r>
              <w:rPr>
                <w:rFonts w:ascii="Times New Roman" w:cs="Times New Roman" w:eastAsia="Times New Roman" w:hAnsi="Times New Roman"/>
                <w:sz w:val="17"/>
                <w:szCs w:val="17"/>
                <w:color w:val="0000FF"/>
              </w:rPr>
              <w:t>4.21)</w:t>
            </w:r>
            <w:hyperlink r:id="rId107">
              <w:r>
                <w:rPr>
                  <w:rFonts w:ascii="Times New Roman" w:cs="Times New Roman" w:eastAsia="Times New Roman" w:hAnsi="Times New Roman"/>
                  <w:sz w:val="17"/>
                  <w:szCs w:val="17"/>
                  <w:color w:val="0000FF"/>
                </w:rPr>
                <w:t>.</w:t>
              </w:r>
            </w:hyperlink>
          </w:p>
        </w:tc>
        <w:tc>
          <w:tcPr>
            <w:tcW w:w="2580" w:type="dxa"/>
            <w:vAlign w:val="bottom"/>
            <w:gridSpan w:val="14"/>
          </w:tcPr>
          <w:p>
            <w:pPr>
              <w:spacing w:after="0"/>
              <w:rPr>
                <w:sz w:val="24"/>
                <w:szCs w:val="24"/>
                <w:color w:val="auto"/>
              </w:rPr>
            </w:pPr>
          </w:p>
        </w:tc>
      </w:tr>
      <w:tr>
        <w:trPr>
          <w:trHeight w:val="457"/>
        </w:trPr>
        <w:tc>
          <w:tcPr>
            <w:tcW w:w="280" w:type="dxa"/>
            <w:vAlign w:val="bottom"/>
          </w:tcPr>
          <w:p>
            <w:pPr>
              <w:spacing w:after="0"/>
              <w:rPr>
                <w:sz w:val="24"/>
                <w:szCs w:val="24"/>
                <w:color w:val="auto"/>
              </w:rPr>
            </w:pPr>
          </w:p>
        </w:tc>
        <w:tc>
          <w:tcPr>
            <w:tcW w:w="11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4.23</w:t>
            </w:r>
          </w:p>
        </w:tc>
        <w:tc>
          <w:tcPr>
            <w:tcW w:w="7200" w:type="dxa"/>
            <w:vAlign w:val="bottom"/>
            <w:tcBorders>
              <w:bottom w:val="single" w:sz="8" w:color="0000FF"/>
            </w:tcBorders>
            <w:gridSpan w:val="9"/>
          </w:tcPr>
          <w:p>
            <w:pPr>
              <w:spacing w:after="0"/>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 xml:space="preserve">Form of Global Note for Halliburton’s 4.850% Senior Notes due 2035 (included as part of Exhibit </w:t>
              </w:r>
            </w:hyperlink>
            <w:r>
              <w:rPr>
                <w:rFonts w:ascii="Times New Roman" w:cs="Times New Roman" w:eastAsia="Times New Roman" w:hAnsi="Times New Roman"/>
                <w:sz w:val="17"/>
                <w:szCs w:val="17"/>
                <w:color w:val="0000FF"/>
              </w:rPr>
              <w:t>4.21)</w:t>
            </w:r>
            <w:hyperlink r:id="rId107">
              <w:r>
                <w:rPr>
                  <w:rFonts w:ascii="Times New Roman" w:cs="Times New Roman" w:eastAsia="Times New Roman" w:hAnsi="Times New Roman"/>
                  <w:sz w:val="17"/>
                  <w:szCs w:val="17"/>
                  <w:color w:val="0000FF"/>
                </w:rPr>
                <w:t>.</w:t>
              </w:r>
            </w:hyperlink>
          </w:p>
        </w:tc>
        <w:tc>
          <w:tcPr>
            <w:tcW w:w="2580" w:type="dxa"/>
            <w:vAlign w:val="bottom"/>
            <w:gridSpan w:val="14"/>
          </w:tcPr>
          <w:p>
            <w:pPr>
              <w:spacing w:after="0"/>
              <w:rPr>
                <w:sz w:val="24"/>
                <w:szCs w:val="24"/>
                <w:color w:val="auto"/>
              </w:rPr>
            </w:pPr>
          </w:p>
        </w:tc>
      </w:tr>
      <w:tr>
        <w:trPr>
          <w:trHeight w:val="457"/>
        </w:trPr>
        <w:tc>
          <w:tcPr>
            <w:tcW w:w="280" w:type="dxa"/>
            <w:vAlign w:val="bottom"/>
          </w:tcPr>
          <w:p>
            <w:pPr>
              <w:spacing w:after="0"/>
              <w:rPr>
                <w:sz w:val="24"/>
                <w:szCs w:val="24"/>
                <w:color w:val="auto"/>
              </w:rPr>
            </w:pPr>
          </w:p>
        </w:tc>
        <w:tc>
          <w:tcPr>
            <w:tcW w:w="11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4.24</w:t>
            </w:r>
          </w:p>
        </w:tc>
        <w:tc>
          <w:tcPr>
            <w:tcW w:w="7200" w:type="dxa"/>
            <w:vAlign w:val="bottom"/>
            <w:tcBorders>
              <w:bottom w:val="single" w:sz="8" w:color="0000FF"/>
            </w:tcBorders>
            <w:gridSpan w:val="9"/>
          </w:tcPr>
          <w:p>
            <w:pPr>
              <w:spacing w:after="0"/>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 xml:space="preserve">Form of Global Note for Halliburton’s 5.000% Senior Notes due 2045 (included as part of Exhibit </w:t>
              </w:r>
            </w:hyperlink>
            <w:r>
              <w:rPr>
                <w:rFonts w:ascii="Times New Roman" w:cs="Times New Roman" w:eastAsia="Times New Roman" w:hAnsi="Times New Roman"/>
                <w:sz w:val="17"/>
                <w:szCs w:val="17"/>
                <w:color w:val="0000FF"/>
              </w:rPr>
              <w:t>4.21)</w:t>
            </w:r>
            <w:hyperlink r:id="rId107">
              <w:r>
                <w:rPr>
                  <w:rFonts w:ascii="Times New Roman" w:cs="Times New Roman" w:eastAsia="Times New Roman" w:hAnsi="Times New Roman"/>
                  <w:sz w:val="17"/>
                  <w:szCs w:val="17"/>
                  <w:color w:val="0000FF"/>
                </w:rPr>
                <w:t>.</w:t>
              </w:r>
            </w:hyperlink>
          </w:p>
        </w:tc>
        <w:tc>
          <w:tcPr>
            <w:tcW w:w="2580" w:type="dxa"/>
            <w:vAlign w:val="bottom"/>
            <w:gridSpan w:val="14"/>
          </w:tcPr>
          <w:p>
            <w:pPr>
              <w:spacing w:after="0"/>
              <w:rPr>
                <w:sz w:val="24"/>
                <w:szCs w:val="24"/>
                <w:color w:val="auto"/>
              </w:rPr>
            </w:pPr>
          </w:p>
        </w:tc>
      </w:tr>
      <w:tr>
        <w:trPr>
          <w:trHeight w:val="457"/>
        </w:trPr>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4.25</w:t>
            </w:r>
          </w:p>
        </w:tc>
        <w:tc>
          <w:tcPr>
            <w:tcW w:w="978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Description of Registrant's Securities.</w:t>
            </w:r>
          </w:p>
        </w:tc>
      </w:tr>
      <w:tr>
        <w:trPr>
          <w:trHeight w:val="20"/>
        </w:trPr>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7"/>
        </w:trPr>
        <w:tc>
          <w:tcPr>
            <w:tcW w:w="280" w:type="dxa"/>
            <w:vAlign w:val="bottom"/>
          </w:tcPr>
          <w:p>
            <w:pPr>
              <w:spacing w:after="0"/>
              <w:rPr>
                <w:sz w:val="24"/>
                <w:szCs w:val="24"/>
                <w:color w:val="auto"/>
              </w:rPr>
            </w:pPr>
          </w:p>
        </w:tc>
        <w:tc>
          <w:tcPr>
            <w:tcW w:w="11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4.26</w:t>
            </w:r>
          </w:p>
        </w:tc>
        <w:tc>
          <w:tcPr>
            <w:tcW w:w="9780" w:type="dxa"/>
            <w:vAlign w:val="bottom"/>
            <w:gridSpan w:val="23"/>
          </w:tcPr>
          <w:p>
            <w:pPr>
              <w:spacing w:after="0"/>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Ninth Supplemental Indenture, dated as of March 3, 2020, between the Company and The Bank of New York Mellon Trust Company, N.A.,</w:t>
              </w:r>
            </w:hyperlink>
          </w:p>
        </w:tc>
      </w:tr>
      <w:tr>
        <w:trPr>
          <w:trHeight w:val="148"/>
        </w:trPr>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40" w:type="dxa"/>
            <w:vAlign w:val="bottom"/>
            <w:tcBorders>
              <w:top w:val="single" w:sz="8" w:color="0000FF"/>
            </w:tcBorders>
            <w:gridSpan w:val="18"/>
          </w:tcPr>
          <w:p>
            <w:pPr>
              <w:spacing w:after="0" w:line="148"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as successor trustee to JPMorgan Chase Bank (incorporated by reference to Exhibit 4.2 to Halliburton’s Form 8-K filed March 3, 2020, File</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600" w:type="dxa"/>
            <w:vAlign w:val="bottom"/>
            <w:tcBorders>
              <w:top w:val="single" w:sz="8" w:color="0000FF"/>
            </w:tcBorders>
            <w:gridSpan w:val="16"/>
          </w:tcPr>
          <w:p>
            <w:pPr>
              <w:spacing w:after="0" w:line="161"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No. 001-03492).</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7"/>
        </w:trPr>
        <w:tc>
          <w:tcPr>
            <w:tcW w:w="280" w:type="dxa"/>
            <w:vAlign w:val="bottom"/>
          </w:tcPr>
          <w:p>
            <w:pPr>
              <w:spacing w:after="0"/>
              <w:rPr>
                <w:sz w:val="24"/>
                <w:szCs w:val="24"/>
                <w:color w:val="auto"/>
              </w:rPr>
            </w:pPr>
          </w:p>
        </w:tc>
        <w:tc>
          <w:tcPr>
            <w:tcW w:w="11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4.27</w:t>
            </w:r>
          </w:p>
        </w:tc>
        <w:tc>
          <w:tcPr>
            <w:tcW w:w="9780" w:type="dxa"/>
            <w:vAlign w:val="bottom"/>
            <w:gridSpan w:val="23"/>
          </w:tcPr>
          <w:p>
            <w:pPr>
              <w:spacing w:after="0"/>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 xml:space="preserve">Form of Global Note for the Company’s 2.920% Senior Notes due 2030 (included as part of Exhibit </w:t>
              </w:r>
            </w:hyperlink>
            <w:r>
              <w:rPr>
                <w:rFonts w:ascii="Times New Roman" w:cs="Times New Roman" w:eastAsia="Times New Roman" w:hAnsi="Times New Roman"/>
                <w:sz w:val="17"/>
                <w:szCs w:val="17"/>
                <w:color w:val="0000FF"/>
              </w:rPr>
              <w:t>4.26)</w:t>
            </w:r>
            <w:hyperlink r:id="rId108">
              <w:r>
                <w:rPr>
                  <w:rFonts w:ascii="Times New Roman" w:cs="Times New Roman" w:eastAsia="Times New Roman" w:hAnsi="Times New Roman"/>
                  <w:sz w:val="17"/>
                  <w:szCs w:val="17"/>
                  <w:color w:val="0000FF"/>
                </w:rPr>
                <w:t>.</w:t>
              </w:r>
            </w:hyperlink>
          </w:p>
        </w:tc>
      </w:tr>
      <w:tr>
        <w:trPr>
          <w:trHeight w:val="20"/>
        </w:trPr>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7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4"/>
        </w:trPr>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10.1</w:t>
            </w:r>
          </w:p>
        </w:tc>
        <w:tc>
          <w:tcPr>
            <w:tcW w:w="978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Halliburton Company Restricted Stock Plan for Non-Employee Directors (incorporated by reference to Appendix B of the Predecessor’s</w:t>
            </w:r>
          </w:p>
        </w:tc>
      </w:tr>
      <w:tr>
        <w:trPr>
          <w:trHeight w:val="223"/>
        </w:trPr>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780" w:type="dxa"/>
            <w:vAlign w:val="bottom"/>
            <w:gridSpan w:val="23"/>
          </w:tcPr>
          <w:p>
            <w:pPr>
              <w:spacing w:after="0"/>
              <w:rPr>
                <w:sz w:val="20"/>
                <w:szCs w:val="20"/>
                <w:color w:val="auto"/>
              </w:rPr>
            </w:pPr>
            <w:r>
              <w:rPr>
                <w:rFonts w:ascii="Times New Roman" w:cs="Times New Roman" w:eastAsia="Times New Roman" w:hAnsi="Times New Roman"/>
                <w:sz w:val="17"/>
                <w:szCs w:val="17"/>
                <w:color w:val="auto"/>
              </w:rPr>
              <w:t>proxy statement dated March 23, 1993, File No. 001-03492).</w:t>
            </w:r>
          </w:p>
        </w:tc>
      </w:tr>
      <w:tr>
        <w:trPr>
          <w:trHeight w:val="447"/>
        </w:trPr>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10.2</w:t>
            </w:r>
          </w:p>
        </w:tc>
        <w:tc>
          <w:tcPr>
            <w:tcW w:w="9780" w:type="dxa"/>
            <w:vAlign w:val="bottom"/>
            <w:gridSpan w:val="23"/>
          </w:tcPr>
          <w:p>
            <w:pPr>
              <w:spacing w:after="0"/>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Dresser Industries, Inc. Deferred Compensation Plan, as amended and restated effective January 1, 2000 (incorporated by reference to Exhibit</w:t>
              </w:r>
            </w:hyperlink>
          </w:p>
        </w:tc>
      </w:tr>
      <w:tr>
        <w:trPr>
          <w:trHeight w:val="148"/>
        </w:trPr>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760" w:type="dxa"/>
            <w:vAlign w:val="bottom"/>
            <w:tcBorders>
              <w:top w:val="single" w:sz="8" w:color="0000FF"/>
            </w:tcBorders>
            <w:gridSpan w:val="22"/>
          </w:tcPr>
          <w:p>
            <w:pPr>
              <w:spacing w:after="0" w:line="148"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16</w:t>
              </w:r>
              <w:r>
                <w:rPr>
                  <w:rFonts w:ascii="Times New Roman" w:cs="Times New Roman" w:eastAsia="Times New Roman" w:hAnsi="Times New Roman"/>
                  <w:sz w:val="17"/>
                  <w:szCs w:val="17"/>
                  <w:color w:val="0000FF"/>
                </w:rPr>
                <w:t xml:space="preserve"> to Halliburton’s Form 10-K for the year ended December 31, 2000, File No. 001-03492).</w:t>
              </w:r>
            </w:hyperlink>
          </w:p>
        </w:tc>
        <w:tc>
          <w:tcPr>
            <w:tcW w:w="20" w:type="dxa"/>
            <w:vAlign w:val="bottom"/>
          </w:tcPr>
          <w:p>
            <w:pPr>
              <w:spacing w:after="0"/>
              <w:rPr>
                <w:sz w:val="12"/>
                <w:szCs w:val="12"/>
                <w:color w:val="auto"/>
              </w:rPr>
            </w:pPr>
          </w:p>
        </w:tc>
      </w:tr>
      <w:tr>
        <w:trPr>
          <w:trHeight w:val="20"/>
        </w:trPr>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78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70"/>
        </w:trPr>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10.3</w:t>
            </w:r>
          </w:p>
        </w:tc>
        <w:tc>
          <w:tcPr>
            <w:tcW w:w="9780" w:type="dxa"/>
            <w:vAlign w:val="bottom"/>
            <w:gridSpan w:val="23"/>
          </w:tcPr>
          <w:p>
            <w:pPr>
              <w:spacing w:after="0"/>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ERISA Excess Benefit Plan for Dresser Industries, Inc., as amended and restated effective June 1, 1995 (incorporated by reference to Exhibit</w:t>
              </w:r>
            </w:hyperlink>
          </w:p>
        </w:tc>
      </w:tr>
      <w:tr>
        <w:trPr>
          <w:trHeight w:val="148"/>
        </w:trPr>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720" w:type="dxa"/>
            <w:vAlign w:val="bottom"/>
            <w:tcBorders>
              <w:top w:val="single" w:sz="8" w:color="0000FF"/>
            </w:tcBorders>
            <w:gridSpan w:val="20"/>
          </w:tcPr>
          <w:p>
            <w:pPr>
              <w:spacing w:after="0" w:line="148"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7</w:t>
              </w:r>
              <w:r>
                <w:rPr>
                  <w:rFonts w:ascii="Times New Roman" w:cs="Times New Roman" w:eastAsia="Times New Roman" w:hAnsi="Times New Roman"/>
                  <w:sz w:val="17"/>
                  <w:szCs w:val="17"/>
                  <w:color w:val="0000FF"/>
                </w:rPr>
                <w:t xml:space="preserve"> to Dresser’s Form 10-K for the year ended October 31, 1995, File No. 1-4003).</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78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70"/>
        </w:trPr>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10.4</w:t>
            </w:r>
          </w:p>
        </w:tc>
        <w:tc>
          <w:tcPr>
            <w:tcW w:w="9780" w:type="dxa"/>
            <w:vAlign w:val="bottom"/>
            <w:gridSpan w:val="23"/>
          </w:tcPr>
          <w:p>
            <w:pPr>
              <w:spacing w:after="0"/>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Halliburton Company Directors' Deferred Compensation Plan, as amended and restated effective May 16, 2012 (incorporated by reference to</w:t>
              </w:r>
            </w:hyperlink>
          </w:p>
        </w:tc>
      </w:tr>
      <w:tr>
        <w:trPr>
          <w:trHeight w:val="148"/>
        </w:trPr>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0" w:type="dxa"/>
            <w:vAlign w:val="bottom"/>
            <w:tcBorders>
              <w:top w:val="single" w:sz="8" w:color="0000FF"/>
              <w:bottom w:val="single" w:sz="8" w:color="0000FF"/>
            </w:tcBorders>
            <w:gridSpan w:val="7"/>
          </w:tcPr>
          <w:p>
            <w:pPr>
              <w:spacing w:after="0" w:line="148"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Exhibit 10.5 to Halliburton's Form 10-Q for the quarter ended June 30, 2012, File No. 001-03492).</w:t>
              </w:r>
            </w:hyperlink>
          </w:p>
        </w:tc>
        <w:tc>
          <w:tcPr>
            <w:tcW w:w="2900" w:type="dxa"/>
            <w:vAlign w:val="bottom"/>
            <w:tcBorders>
              <w:top w:val="single" w:sz="8" w:color="0000FF"/>
            </w:tcBorders>
            <w:gridSpan w:val="1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470"/>
        </w:trPr>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10.5</w:t>
            </w:r>
          </w:p>
        </w:tc>
        <w:tc>
          <w:tcPr>
            <w:tcW w:w="9780" w:type="dxa"/>
            <w:vAlign w:val="bottom"/>
            <w:gridSpan w:val="23"/>
          </w:tcPr>
          <w:p>
            <w:pPr>
              <w:spacing w:after="0"/>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Halliburton Company Employee Stock Purchase Plan, as amended and restated effective February 17, 2021 (incorporated by reference to</w:t>
              </w:r>
            </w:hyperlink>
          </w:p>
        </w:tc>
      </w:tr>
      <w:tr>
        <w:trPr>
          <w:trHeight w:val="148"/>
        </w:trPr>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980" w:type="dxa"/>
            <w:vAlign w:val="bottom"/>
            <w:tcBorders>
              <w:top w:val="single" w:sz="8" w:color="0000FF"/>
              <w:bottom w:val="single" w:sz="8" w:color="0000FF"/>
            </w:tcBorders>
            <w:gridSpan w:val="5"/>
          </w:tcPr>
          <w:p>
            <w:pPr>
              <w:spacing w:after="0" w:line="148"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Appendix B of Halliburton’s proxy statement filed April 6, 2021, File No. 001-03492).</w:t>
              </w:r>
            </w:hyperlink>
          </w:p>
        </w:tc>
        <w:tc>
          <w:tcPr>
            <w:tcW w:w="3460" w:type="dxa"/>
            <w:vAlign w:val="bottom"/>
            <w:tcBorders>
              <w:top w:val="single" w:sz="8" w:color="0000FF"/>
            </w:tcBorders>
            <w:gridSpan w:val="9"/>
          </w:tcPr>
          <w:p>
            <w:pPr>
              <w:spacing w:after="0"/>
              <w:rPr>
                <w:sz w:val="12"/>
                <w:szCs w:val="12"/>
                <w:color w:val="auto"/>
              </w:rPr>
            </w:pPr>
          </w:p>
        </w:tc>
        <w:tc>
          <w:tcPr>
            <w:tcW w:w="180" w:type="dxa"/>
            <w:vAlign w:val="bottom"/>
            <w:gridSpan w:val="3"/>
          </w:tcPr>
          <w:p>
            <w:pPr>
              <w:spacing w:after="0"/>
              <w:rPr>
                <w:sz w:val="12"/>
                <w:szCs w:val="12"/>
                <w:color w:val="auto"/>
              </w:rPr>
            </w:pPr>
          </w:p>
        </w:tc>
        <w:tc>
          <w:tcPr>
            <w:tcW w:w="12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470"/>
        </w:trPr>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10.6</w:t>
            </w:r>
          </w:p>
        </w:tc>
        <w:tc>
          <w:tcPr>
            <w:tcW w:w="9780" w:type="dxa"/>
            <w:vAlign w:val="bottom"/>
            <w:gridSpan w:val="23"/>
          </w:tcPr>
          <w:p>
            <w:pPr>
              <w:spacing w:after="0"/>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First Amendment to Restricted Stock Plan for Non-Employee Directors of Halliburton Company, effective December 7, 2011 (incorporated</w:t>
              </w:r>
            </w:hyperlink>
          </w:p>
        </w:tc>
      </w:tr>
      <w:tr>
        <w:trPr>
          <w:trHeight w:val="148"/>
        </w:trPr>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20" w:type="dxa"/>
            <w:vAlign w:val="bottom"/>
            <w:tcBorders>
              <w:top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by reference to Exhibit 10.41 to Halliburton’s Form 10-K for the year ended December 31, 2011, File No. 001-03492).</w:t>
              </w:r>
            </w:hyperlink>
          </w:p>
        </w:tc>
        <w:tc>
          <w:tcPr>
            <w:tcW w:w="12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60" w:type="dxa"/>
            <w:vAlign w:val="bottom"/>
            <w:gridSpan w:val="11"/>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57"/>
        </w:trPr>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10.7</w:t>
            </w:r>
          </w:p>
        </w:tc>
        <w:tc>
          <w:tcPr>
            <w:tcW w:w="9780" w:type="dxa"/>
            <w:vAlign w:val="bottom"/>
            <w:gridSpan w:val="23"/>
          </w:tcPr>
          <w:p>
            <w:pPr>
              <w:spacing w:after="0"/>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Second Amendment to Restricted Stock Plan for Non-Employee Directors of Halliburton Company, effective May 16, 2012 (incorporated by</w:t>
              </w:r>
            </w:hyperlink>
          </w:p>
        </w:tc>
      </w:tr>
      <w:tr>
        <w:trPr>
          <w:trHeight w:val="148"/>
        </w:trPr>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60" w:type="dxa"/>
            <w:vAlign w:val="bottom"/>
            <w:tcBorders>
              <w:top w:val="single" w:sz="8" w:color="0000FF"/>
              <w:bottom w:val="single" w:sz="8" w:color="0000FF"/>
            </w:tcBorders>
            <w:gridSpan w:val="11"/>
          </w:tcPr>
          <w:p>
            <w:pPr>
              <w:spacing w:after="0" w:line="148"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reference to Exhibit 10.4 to Halliburton's Form 10-Q for the quarter ended June 30, 2012, File No. 001-03492).</w:t>
              </w:r>
            </w:hyperlink>
          </w:p>
        </w:tc>
        <w:tc>
          <w:tcPr>
            <w:tcW w:w="2080" w:type="dxa"/>
            <w:vAlign w:val="bottom"/>
            <w:tcBorders>
              <w:top w:val="single" w:sz="8" w:color="0000FF"/>
            </w:tcBorders>
            <w:gridSpan w:val="10"/>
          </w:tcPr>
          <w:p>
            <w:pPr>
              <w:spacing w:after="0"/>
              <w:rPr>
                <w:sz w:val="12"/>
                <w:szCs w:val="12"/>
                <w:color w:val="auto"/>
              </w:rPr>
            </w:pPr>
          </w:p>
        </w:tc>
        <w:tc>
          <w:tcPr>
            <w:tcW w:w="40" w:type="dxa"/>
            <w:vAlign w:val="bottom"/>
            <w:gridSpan w:val="2"/>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62"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00" w:type="dxa"/>
            <w:vAlign w:val="bottom"/>
            <w:gridSpan w:val="16"/>
          </w:tcPr>
          <w:p>
            <w:pPr>
              <w:ind w:left="380"/>
              <w:spacing w:after="0"/>
              <w:rPr>
                <w:sz w:val="20"/>
                <w:szCs w:val="20"/>
                <w:color w:val="auto"/>
              </w:rPr>
            </w:pPr>
            <w:r>
              <w:rPr>
                <w:rFonts w:ascii="Times New Roman" w:cs="Times New Roman" w:eastAsia="Times New Roman" w:hAnsi="Times New Roman"/>
                <w:sz w:val="17"/>
                <w:szCs w:val="17"/>
                <w:color w:val="auto"/>
                <w:w w:val="99"/>
              </w:rPr>
              <w:t>Item 15 | Exhibits</w:t>
            </w:r>
          </w:p>
        </w:tc>
      </w:tr>
      <w:tr>
        <w:trPr>
          <w:trHeight w:val="754"/>
        </w:trPr>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10.8</w:t>
            </w:r>
          </w:p>
        </w:tc>
        <w:tc>
          <w:tcPr>
            <w:tcW w:w="20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Third Amendment to Restricted Stock Plan for Non-Employee Directors of Halliburton Company, effective December 1, 2012 (incorporated</w:t>
              </w:r>
            </w:hyperlink>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80" w:type="dxa"/>
            <w:vAlign w:val="bottom"/>
            <w:tcBorders>
              <w:top w:val="single" w:sz="8" w:color="0000FF"/>
            </w:tcBorders>
            <w:gridSpan w:val="26"/>
          </w:tcPr>
          <w:p>
            <w:pPr>
              <w:spacing w:after="0" w:line="148"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by reference to Exhibit 10.44 to Halliburton’s Form 10-K for the year ended December 31, 2012, File No. 001-03492).</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10.9</w:t>
            </w:r>
          </w:p>
        </w:tc>
        <w:tc>
          <w:tcPr>
            <w:tcW w:w="20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First Amendment dated December 1, 2012 to Halliburton Company Directors' Deferred Compensation Plan, as amended and restated</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760" w:type="dxa"/>
            <w:vAlign w:val="bottom"/>
            <w:gridSpan w:val="28"/>
          </w:tcPr>
          <w:p>
            <w:pPr>
              <w:spacing w:after="0" w:line="148"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effective May 16, 2012 (incorporated by reference to Exhibit 10.45 to Halliburton’s Form 10-K for the year ended December 31, 2012, File</w:t>
              </w:r>
            </w:hyperlink>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0" w:type="dxa"/>
            <w:vAlign w:val="bottom"/>
            <w:tcBorders>
              <w:top w:val="single" w:sz="8" w:color="0000FF"/>
            </w:tcBorders>
            <w:gridSpan w:val="23"/>
          </w:tcPr>
          <w:p>
            <w:pPr>
              <w:spacing w:after="0" w:line="161"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No. 001-03492).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7"/>
        </w:trPr>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10.10</w:t>
            </w:r>
          </w:p>
        </w:tc>
        <w:tc>
          <w:tcPr>
            <w:tcW w:w="20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Executive Agreement (Myrtle L. Jones) (incorporated by reference to Exhibit 10.1 to Halliburton's Form 10-Q for the quarter ended March</w:t>
              </w:r>
            </w:hyperlink>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560" w:type="dxa"/>
            <w:vAlign w:val="bottom"/>
            <w:tcBorders>
              <w:top w:val="single" w:sz="8" w:color="0000FF"/>
            </w:tcBorders>
            <w:gridSpan w:val="22"/>
          </w:tcPr>
          <w:p>
            <w:pPr>
              <w:spacing w:after="0" w:line="148"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31, 2013, File No. 001-03492).</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3"/>
        </w:trPr>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10.11</w:t>
            </w:r>
          </w:p>
        </w:tc>
        <w:tc>
          <w:tcPr>
            <w:tcW w:w="20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Executive Agreement (Timothy McKeon) (incorporated by reference to Exhibit 10.49 to Halliburton’s Form 10-K for the year ended</w:t>
              </w:r>
            </w:hyperlink>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00" w:type="dxa"/>
            <w:vAlign w:val="bottom"/>
            <w:tcBorders>
              <w:top w:val="single" w:sz="8" w:color="0000FF"/>
              <w:bottom w:val="single" w:sz="8" w:color="0000FF"/>
            </w:tcBorders>
            <w:gridSpan w:val="6"/>
          </w:tcPr>
          <w:p>
            <w:pPr>
              <w:spacing w:after="0" w:line="148"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December 31, 2013, File No. 001-03492).</w:t>
              </w:r>
            </w:hyperlink>
          </w:p>
        </w:tc>
        <w:tc>
          <w:tcPr>
            <w:tcW w:w="6260" w:type="dxa"/>
            <w:vAlign w:val="bottom"/>
            <w:tcBorders>
              <w:top w:val="single" w:sz="8" w:color="0000FF"/>
            </w:tcBorders>
            <w:gridSpan w:val="8"/>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470"/>
        </w:trPr>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10.12</w:t>
            </w:r>
          </w:p>
        </w:tc>
        <w:tc>
          <w:tcPr>
            <w:tcW w:w="20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Executive Agreement (Charles E. Geer, Jr.) (incorporated by reference to Exhibit 10.2 to Halliburton’s Form 8-K filed December 9, 2014,</w:t>
              </w:r>
            </w:hyperlink>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Borders>
              <w:top w:val="single" w:sz="8" w:color="0000FF"/>
              <w:bottom w:val="single" w:sz="8" w:color="0000FF"/>
            </w:tcBorders>
            <w:gridSpan w:val="3"/>
          </w:tcPr>
          <w:p>
            <w:pPr>
              <w:spacing w:after="0" w:line="148"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File No. 001-03492).</w:t>
              </w:r>
            </w:hyperlink>
          </w:p>
        </w:tc>
        <w:tc>
          <w:tcPr>
            <w:tcW w:w="804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470"/>
        </w:trPr>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10.13</w:t>
            </w:r>
          </w:p>
        </w:tc>
        <w:tc>
          <w:tcPr>
            <w:tcW w:w="20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Halliburton Annual Performance Pay Plan, as amended and restated effective January 1, 2019) (incorporated by reference to Exhibit 10.7 to</w:t>
              </w:r>
            </w:hyperlink>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40" w:type="dxa"/>
            <w:vAlign w:val="bottom"/>
            <w:tcBorders>
              <w:top w:val="single" w:sz="8" w:color="0000FF"/>
            </w:tcBorders>
            <w:gridSpan w:val="25"/>
          </w:tcPr>
          <w:p>
            <w:pPr>
              <w:spacing w:after="0" w:line="148"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Halliburton's Form 10-Q for the quarter ended June 30, 2019, File No. 001-03492).</w:t>
              </w:r>
            </w:hyperlink>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0"/>
        </w:trPr>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10.14</w:t>
            </w:r>
          </w:p>
        </w:tc>
        <w:tc>
          <w:tcPr>
            <w:tcW w:w="20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Form of Non-Employee Director Restricted Stock Agreement (Directors Plan) (incorporated by reference as Exhibit 99.5 of Halliburton's</w:t>
              </w:r>
            </w:hyperlink>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20" w:type="dxa"/>
            <w:vAlign w:val="bottom"/>
            <w:tcBorders>
              <w:top w:val="single" w:sz="8" w:color="0000FF"/>
              <w:bottom w:val="single" w:sz="8" w:color="0000FF"/>
            </w:tcBorders>
            <w:gridSpan w:val="8"/>
          </w:tcPr>
          <w:p>
            <w:pPr>
              <w:spacing w:after="0" w:line="148" w:lineRule="exact"/>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Form S-8 filed May 21, 2009, Registration No. 333-159394).</w:t>
              </w:r>
            </w:hyperlink>
          </w:p>
        </w:tc>
        <w:tc>
          <w:tcPr>
            <w:tcW w:w="524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470"/>
        </w:trPr>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10.15</w:t>
            </w:r>
          </w:p>
        </w:tc>
        <w:tc>
          <w:tcPr>
            <w:tcW w:w="20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Form of Non-Employee Director Restricted Stock Agreement (Stock and Incentive Plan) (incorporated by reference to Exhibit 10.43 to</w:t>
              </w:r>
            </w:hyperlink>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920" w:type="dxa"/>
            <w:vAlign w:val="bottom"/>
            <w:tcBorders>
              <w:top w:val="single" w:sz="8" w:color="0000FF"/>
              <w:bottom w:val="single" w:sz="8" w:color="0000FF"/>
            </w:tcBorders>
            <w:gridSpan w:val="11"/>
          </w:tcPr>
          <w:p>
            <w:pPr>
              <w:spacing w:after="0" w:line="148"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Halliburton's Form 10-K for the year ended December 31, 2011, File No. 001-03492).</w:t>
              </w:r>
            </w:hyperlink>
          </w:p>
        </w:tc>
        <w:tc>
          <w:tcPr>
            <w:tcW w:w="3400" w:type="dxa"/>
            <w:vAlign w:val="bottom"/>
            <w:tcBorders>
              <w:top w:val="single" w:sz="8" w:color="0000FF"/>
            </w:tcBorders>
            <w:gridSpan w:val="5"/>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470"/>
        </w:trPr>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10.16</w:t>
            </w:r>
          </w:p>
        </w:tc>
        <w:tc>
          <w:tcPr>
            <w:tcW w:w="20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Executive Agreement (Jeffrey A. Miller) (incorporated by reference to Exhibit 10.1 to Halliburton's Form 8-K filed June 5, 2017, File No.</w:t>
              </w:r>
            </w:hyperlink>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0000FF"/>
              <w:bottom w:val="single" w:sz="8" w:color="0000FF"/>
            </w:tcBorders>
          </w:tcPr>
          <w:p>
            <w:pPr>
              <w:spacing w:after="0" w:line="148" w:lineRule="exact"/>
              <w:rPr>
                <w:rFonts w:ascii="Times New Roman" w:cs="Times New Roman" w:eastAsia="Times New Roman" w:hAnsi="Times New Roman"/>
                <w:sz w:val="17"/>
                <w:szCs w:val="17"/>
                <w:color w:val="0000FF"/>
                <w:w w:val="98"/>
              </w:rPr>
            </w:pPr>
            <w:hyperlink r:id="rId124">
              <w:r>
                <w:rPr>
                  <w:rFonts w:ascii="Times New Roman" w:cs="Times New Roman" w:eastAsia="Times New Roman" w:hAnsi="Times New Roman"/>
                  <w:sz w:val="17"/>
                  <w:szCs w:val="17"/>
                  <w:color w:val="0000FF"/>
                  <w:w w:val="98"/>
                </w:rPr>
                <w:t>001-03492).</w:t>
              </w:r>
            </w:hyperlink>
          </w:p>
        </w:tc>
        <w:tc>
          <w:tcPr>
            <w:tcW w:w="30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06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24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70"/>
        </w:trPr>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10.17</w:t>
            </w:r>
          </w:p>
        </w:tc>
        <w:tc>
          <w:tcPr>
            <w:tcW w:w="20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Halliburton Company Stock and Incentive Plan, as amended and restated effective February 17, 2021 (incorporated by reference to Appendix</w:t>
              </w:r>
            </w:hyperlink>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0" w:type="dxa"/>
            <w:vAlign w:val="bottom"/>
            <w:tcBorders>
              <w:top w:val="single" w:sz="8" w:color="0000FF"/>
              <w:bottom w:val="single" w:sz="8" w:color="0000FF"/>
            </w:tcBorders>
            <w:gridSpan w:val="9"/>
          </w:tcPr>
          <w:p>
            <w:pPr>
              <w:spacing w:after="0" w:line="148"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A of Halliburton's proxy statement filed April 6, 2021, File No. 001-03492.</w:t>
              </w:r>
            </w:hyperlink>
          </w:p>
        </w:tc>
        <w:tc>
          <w:tcPr>
            <w:tcW w:w="454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r>
      <w:tr>
        <w:trPr>
          <w:trHeight w:val="470"/>
        </w:trPr>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10.18</w:t>
            </w:r>
          </w:p>
        </w:tc>
        <w:tc>
          <w:tcPr>
            <w:tcW w:w="20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Form of Nonstatutory Stock Option Agreement (U.S.) (incorporated by reference as Exhibit 99.2 of Halliburton's Form S-8 filed May 17,</w:t>
              </w:r>
            </w:hyperlink>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80" w:type="dxa"/>
            <w:vAlign w:val="bottom"/>
            <w:tcBorders>
              <w:top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2019, Registration No. 333-231571).</w:t>
              </w:r>
            </w:hyperlink>
          </w:p>
        </w:tc>
        <w:tc>
          <w:tcPr>
            <w:tcW w:w="40" w:type="dxa"/>
            <w:vAlign w:val="bottom"/>
            <w:gridSpan w:val="2"/>
          </w:tcPr>
          <w:p>
            <w:pPr>
              <w:spacing w:after="0"/>
              <w:rPr>
                <w:sz w:val="12"/>
                <w:szCs w:val="12"/>
                <w:color w:val="auto"/>
              </w:rPr>
            </w:pPr>
          </w:p>
        </w:tc>
        <w:tc>
          <w:tcPr>
            <w:tcW w:w="100" w:type="dxa"/>
            <w:vAlign w:val="bottom"/>
            <w:gridSpan w:val="3"/>
          </w:tcPr>
          <w:p>
            <w:pPr>
              <w:spacing w:after="0"/>
              <w:rPr>
                <w:sz w:val="12"/>
                <w:szCs w:val="12"/>
                <w:color w:val="auto"/>
              </w:rPr>
            </w:pPr>
          </w:p>
        </w:tc>
        <w:tc>
          <w:tcPr>
            <w:tcW w:w="140" w:type="dxa"/>
            <w:vAlign w:val="bottom"/>
            <w:gridSpan w:val="4"/>
          </w:tcPr>
          <w:p>
            <w:pPr>
              <w:spacing w:after="0"/>
              <w:rPr>
                <w:sz w:val="12"/>
                <w:szCs w:val="12"/>
                <w:color w:val="auto"/>
              </w:rPr>
            </w:pPr>
          </w:p>
        </w:tc>
      </w:tr>
      <w:tr>
        <w:trPr>
          <w:trHeight w:val="20"/>
        </w:trPr>
        <w:tc>
          <w:tcPr>
            <w:tcW w:w="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70"/>
        </w:trPr>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10.19</w:t>
            </w:r>
          </w:p>
        </w:tc>
        <w:tc>
          <w:tcPr>
            <w:tcW w:w="20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Form of Nonstatutory Stock Option Agreement (International) (incorporated by reference as Exhibit 99.3 of Halliburton's Form S-8 filed</w:t>
              </w:r>
            </w:hyperlink>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60" w:type="dxa"/>
            <w:vAlign w:val="bottom"/>
            <w:tcBorders>
              <w:top w:val="single" w:sz="8" w:color="0000FF"/>
              <w:bottom w:val="single" w:sz="8" w:color="0000FF"/>
            </w:tcBorders>
            <w:gridSpan w:val="7"/>
          </w:tcPr>
          <w:p>
            <w:pPr>
              <w:spacing w:after="0" w:line="148"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May 17, 2019, Registration No. 333-231571).</w:t>
              </w:r>
            </w:hyperlink>
          </w:p>
        </w:tc>
        <w:tc>
          <w:tcPr>
            <w:tcW w:w="6260" w:type="dxa"/>
            <w:vAlign w:val="bottom"/>
            <w:tcBorders>
              <w:top w:val="single" w:sz="8" w:color="0000FF"/>
            </w:tcBorders>
            <w:gridSpan w:val="10"/>
          </w:tcPr>
          <w:p>
            <w:pPr>
              <w:spacing w:after="0"/>
              <w:rPr>
                <w:sz w:val="12"/>
                <w:szCs w:val="12"/>
                <w:color w:val="auto"/>
              </w:rPr>
            </w:pPr>
          </w:p>
        </w:tc>
        <w:tc>
          <w:tcPr>
            <w:tcW w:w="100" w:type="dxa"/>
            <w:vAlign w:val="bottom"/>
            <w:gridSpan w:val="4"/>
          </w:tcPr>
          <w:p>
            <w:pPr>
              <w:spacing w:after="0"/>
              <w:rPr>
                <w:sz w:val="12"/>
                <w:szCs w:val="12"/>
                <w:color w:val="auto"/>
              </w:rPr>
            </w:pPr>
          </w:p>
        </w:tc>
        <w:tc>
          <w:tcPr>
            <w:tcW w:w="100" w:type="dxa"/>
            <w:vAlign w:val="bottom"/>
            <w:gridSpan w:val="3"/>
          </w:tcPr>
          <w:p>
            <w:pPr>
              <w:spacing w:after="0"/>
              <w:rPr>
                <w:sz w:val="12"/>
                <w:szCs w:val="12"/>
                <w:color w:val="auto"/>
              </w:rPr>
            </w:pPr>
          </w:p>
        </w:tc>
        <w:tc>
          <w:tcPr>
            <w:tcW w:w="140" w:type="dxa"/>
            <w:vAlign w:val="bottom"/>
            <w:gridSpan w:val="4"/>
          </w:tcPr>
          <w:p>
            <w:pPr>
              <w:spacing w:after="0"/>
              <w:rPr>
                <w:sz w:val="12"/>
                <w:szCs w:val="12"/>
                <w:color w:val="auto"/>
              </w:rPr>
            </w:pPr>
          </w:p>
        </w:tc>
      </w:tr>
      <w:tr>
        <w:trPr>
          <w:trHeight w:val="470"/>
        </w:trPr>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10.20</w:t>
            </w:r>
          </w:p>
        </w:tc>
        <w:tc>
          <w:tcPr>
            <w:tcW w:w="20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Executive Agreement (Eric J. Carre) (incorporated by reference as Exhibit 10.46 of Halliburton's Form 10-K for the year ended December</w:t>
              </w:r>
            </w:hyperlink>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520" w:type="dxa"/>
            <w:vAlign w:val="bottom"/>
            <w:tcBorders>
              <w:top w:val="single" w:sz="8" w:color="0000FF"/>
            </w:tcBorders>
            <w:gridSpan w:val="21"/>
          </w:tcPr>
          <w:p>
            <w:pPr>
              <w:spacing w:after="0" w:line="148"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31, 2017, File No. 001-03492).</w:t>
              </w:r>
            </w:hyperlink>
          </w:p>
        </w:tc>
        <w:tc>
          <w:tcPr>
            <w:tcW w:w="100" w:type="dxa"/>
            <w:vAlign w:val="bottom"/>
            <w:gridSpan w:val="3"/>
          </w:tcPr>
          <w:p>
            <w:pPr>
              <w:spacing w:after="0"/>
              <w:rPr>
                <w:sz w:val="12"/>
                <w:szCs w:val="12"/>
                <w:color w:val="auto"/>
              </w:rPr>
            </w:pPr>
          </w:p>
        </w:tc>
        <w:tc>
          <w:tcPr>
            <w:tcW w:w="140" w:type="dxa"/>
            <w:vAlign w:val="bottom"/>
            <w:gridSpan w:val="4"/>
          </w:tcPr>
          <w:p>
            <w:pPr>
              <w:spacing w:after="0"/>
              <w:rPr>
                <w:sz w:val="12"/>
                <w:szCs w:val="12"/>
                <w:color w:val="auto"/>
              </w:rPr>
            </w:pPr>
          </w:p>
        </w:tc>
      </w:tr>
      <w:tr>
        <w:trPr>
          <w:trHeight w:val="20"/>
        </w:trPr>
        <w:tc>
          <w:tcPr>
            <w:tcW w:w="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70"/>
        </w:trPr>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10.21</w:t>
            </w:r>
          </w:p>
        </w:tc>
        <w:tc>
          <w:tcPr>
            <w:tcW w:w="20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Executive Agreement (Lawrence J. Pope) (incorporated by reference as Exhibit 10.47 of Halliburton's Form 10-K for the year ended</w:t>
              </w:r>
            </w:hyperlink>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00" w:type="dxa"/>
            <w:vAlign w:val="bottom"/>
            <w:tcBorders>
              <w:top w:val="single" w:sz="8" w:color="0000FF"/>
              <w:bottom w:val="single" w:sz="8" w:color="0000FF"/>
            </w:tcBorders>
            <w:gridSpan w:val="6"/>
          </w:tcPr>
          <w:p>
            <w:pPr>
              <w:spacing w:after="0" w:line="148"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December 31, 2017, File No. 001-03492).</w:t>
              </w:r>
            </w:hyperlink>
          </w:p>
        </w:tc>
        <w:tc>
          <w:tcPr>
            <w:tcW w:w="6220" w:type="dxa"/>
            <w:vAlign w:val="bottom"/>
            <w:tcBorders>
              <w:top w:val="single" w:sz="8" w:color="0000FF"/>
            </w:tcBorders>
            <w:gridSpan w:val="7"/>
          </w:tcPr>
          <w:p>
            <w:pPr>
              <w:spacing w:after="0"/>
              <w:rPr>
                <w:sz w:val="12"/>
                <w:szCs w:val="12"/>
                <w:color w:val="auto"/>
              </w:rPr>
            </w:pPr>
          </w:p>
        </w:tc>
        <w:tc>
          <w:tcPr>
            <w:tcW w:w="140" w:type="dxa"/>
            <w:vAlign w:val="bottom"/>
            <w:gridSpan w:val="2"/>
          </w:tcPr>
          <w:p>
            <w:pPr>
              <w:spacing w:after="0"/>
              <w:rPr>
                <w:sz w:val="12"/>
                <w:szCs w:val="12"/>
                <w:color w:val="auto"/>
              </w:rPr>
            </w:pPr>
          </w:p>
        </w:tc>
        <w:tc>
          <w:tcPr>
            <w:tcW w:w="360" w:type="dxa"/>
            <w:vAlign w:val="bottom"/>
            <w:gridSpan w:val="9"/>
          </w:tcPr>
          <w:p>
            <w:pPr>
              <w:spacing w:after="0"/>
              <w:rPr>
                <w:sz w:val="12"/>
                <w:szCs w:val="12"/>
                <w:color w:val="auto"/>
              </w:rPr>
            </w:pPr>
          </w:p>
        </w:tc>
        <w:tc>
          <w:tcPr>
            <w:tcW w:w="140" w:type="dxa"/>
            <w:vAlign w:val="bottom"/>
            <w:gridSpan w:val="4"/>
          </w:tcPr>
          <w:p>
            <w:pPr>
              <w:spacing w:after="0"/>
              <w:rPr>
                <w:sz w:val="12"/>
                <w:szCs w:val="12"/>
                <w:color w:val="auto"/>
              </w:rPr>
            </w:pPr>
          </w:p>
        </w:tc>
      </w:tr>
      <w:tr>
        <w:trPr>
          <w:trHeight w:val="470"/>
        </w:trPr>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10.22</w:t>
            </w:r>
          </w:p>
        </w:tc>
        <w:tc>
          <w:tcPr>
            <w:tcW w:w="20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Second Amendment dated January 1, 2019, to Halliburton Company Directors’ Deferred Compensation Plan, as amended and restated</w:t>
              </w:r>
            </w:hyperlink>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60" w:type="dxa"/>
            <w:vAlign w:val="bottom"/>
            <w:tcBorders>
              <w:top w:val="single" w:sz="8" w:color="0000FF"/>
            </w:tcBorders>
            <w:gridSpan w:val="15"/>
          </w:tcPr>
          <w:p>
            <w:pPr>
              <w:spacing w:after="0" w:line="148"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effective May 16, 2012 (incorporated by reference as Exhibit 10.47 of Halliburton's Form 10-K for the year ended December 31, 2018,</w:t>
              </w:r>
            </w:hyperlink>
          </w:p>
        </w:tc>
        <w:tc>
          <w:tcPr>
            <w:tcW w:w="500" w:type="dxa"/>
            <w:vAlign w:val="bottom"/>
            <w:gridSpan w:val="13"/>
          </w:tcPr>
          <w:p>
            <w:pPr>
              <w:ind w:left="80"/>
              <w:spacing w:after="0" w:line="148"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File</w:t>
              </w:r>
            </w:hyperlink>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20" w:type="dxa"/>
            <w:vAlign w:val="bottom"/>
            <w:tcBorders>
              <w:top w:val="single" w:sz="8" w:color="0000FF"/>
            </w:tcBorders>
            <w:gridSpan w:val="24"/>
          </w:tcPr>
          <w:p>
            <w:pPr>
              <w:spacing w:after="0" w:line="161"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No. 001-03492).</w:t>
              </w:r>
            </w:hyperlink>
          </w:p>
        </w:tc>
        <w:tc>
          <w:tcPr>
            <w:tcW w:w="140" w:type="dxa"/>
            <w:vAlign w:val="bottom"/>
            <w:gridSpan w:val="4"/>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50"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2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15"/>
          </w:tcPr>
          <w:p>
            <w:pPr>
              <w:ind w:left="380"/>
              <w:spacing w:after="0"/>
              <w:rPr>
                <w:sz w:val="20"/>
                <w:szCs w:val="20"/>
                <w:color w:val="auto"/>
              </w:rPr>
            </w:pPr>
            <w:r>
              <w:rPr>
                <w:rFonts w:ascii="Times New Roman" w:cs="Times New Roman" w:eastAsia="Times New Roman" w:hAnsi="Times New Roman"/>
                <w:sz w:val="17"/>
                <w:szCs w:val="17"/>
                <w:color w:val="auto"/>
                <w:w w:val="99"/>
              </w:rPr>
              <w:t>Item 15 | Exhibits</w:t>
            </w:r>
          </w:p>
        </w:tc>
      </w:tr>
      <w:tr>
        <w:trPr>
          <w:trHeight w:val="754"/>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10.23</w:t>
            </w:r>
          </w:p>
        </w:tc>
        <w:tc>
          <w:tcPr>
            <w:tcW w:w="200" w:type="dxa"/>
            <w:vAlign w:val="bottom"/>
          </w:tcPr>
          <w:p>
            <w:pPr>
              <w:spacing w:after="0"/>
              <w:rPr>
                <w:sz w:val="24"/>
                <w:szCs w:val="24"/>
                <w:color w:val="auto"/>
              </w:rPr>
            </w:pPr>
          </w:p>
        </w:tc>
        <w:tc>
          <w:tcPr>
            <w:tcW w:w="9760" w:type="dxa"/>
            <w:vAlign w:val="bottom"/>
            <w:gridSpan w:val="27"/>
          </w:tcPr>
          <w:p>
            <w:pPr>
              <w:spacing w:after="0"/>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Executive Agreement (Mark J. Richard) (incorporated by reference as Exhibit 10.48 of Halliburton’s Form 10-K for the year ended</w:t>
              </w:r>
            </w:hyperlink>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00" w:type="dxa"/>
            <w:vAlign w:val="bottom"/>
            <w:tcBorders>
              <w:top w:val="single" w:sz="8" w:color="0000FF"/>
              <w:bottom w:val="single" w:sz="8" w:color="0000FF"/>
            </w:tcBorders>
            <w:gridSpan w:val="4"/>
          </w:tcPr>
          <w:p>
            <w:pPr>
              <w:spacing w:after="0" w:line="148"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December 31, 2018, File No. 001-03492).</w:t>
              </w:r>
            </w:hyperlink>
          </w:p>
        </w:tc>
        <w:tc>
          <w:tcPr>
            <w:tcW w:w="6140" w:type="dxa"/>
            <w:vAlign w:val="bottom"/>
            <w:tcBorders>
              <w:top w:val="single" w:sz="8" w:color="0000FF"/>
            </w:tcBorders>
            <w:gridSpan w:val="10"/>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70"/>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10.24</w:t>
            </w:r>
          </w:p>
        </w:tc>
        <w:tc>
          <w:tcPr>
            <w:tcW w:w="200" w:type="dxa"/>
            <w:vAlign w:val="bottom"/>
          </w:tcPr>
          <w:p>
            <w:pPr>
              <w:spacing w:after="0"/>
              <w:rPr>
                <w:sz w:val="24"/>
                <w:szCs w:val="24"/>
                <w:color w:val="auto"/>
              </w:rPr>
            </w:pPr>
          </w:p>
        </w:tc>
        <w:tc>
          <w:tcPr>
            <w:tcW w:w="9760" w:type="dxa"/>
            <w:vAlign w:val="bottom"/>
            <w:gridSpan w:val="27"/>
          </w:tcPr>
          <w:p>
            <w:pPr>
              <w:spacing w:after="0"/>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Halliburton Company Performance Unit Program, as amended and restated effective January 1, 2019 (incorporated by reference as Exhibit</w:t>
              </w:r>
            </w:hyperlink>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60" w:type="dxa"/>
            <w:vAlign w:val="bottom"/>
            <w:tcBorders>
              <w:top w:val="single" w:sz="8" w:color="0000FF"/>
              <w:bottom w:val="single" w:sz="8" w:color="0000FF"/>
            </w:tcBorders>
            <w:gridSpan w:val="9"/>
          </w:tcPr>
          <w:p>
            <w:pPr>
              <w:spacing w:after="0" w:line="148"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8</w:t>
              </w:r>
              <w:r>
                <w:rPr>
                  <w:rFonts w:ascii="Times New Roman" w:cs="Times New Roman" w:eastAsia="Times New Roman" w:hAnsi="Times New Roman"/>
                  <w:sz w:val="17"/>
                  <w:szCs w:val="17"/>
                  <w:color w:val="0000FF"/>
                </w:rPr>
                <w:t xml:space="preserve"> of Halliburton's Form 10-Q for the quarter ended June 30, 2019, File No. 001-03492).</w:t>
              </w:r>
            </w:hyperlink>
          </w:p>
        </w:tc>
        <w:tc>
          <w:tcPr>
            <w:tcW w:w="3300" w:type="dxa"/>
            <w:vAlign w:val="bottom"/>
            <w:tcBorders>
              <w:top w:val="single" w:sz="8" w:color="0000FF"/>
            </w:tcBorders>
            <w:gridSpan w:val="12"/>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48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10.25</w:t>
            </w:r>
          </w:p>
        </w:tc>
        <w:tc>
          <w:tcPr>
            <w:tcW w:w="200" w:type="dxa"/>
            <w:vAlign w:val="bottom"/>
          </w:tcPr>
          <w:p>
            <w:pPr>
              <w:spacing w:after="0"/>
              <w:rPr>
                <w:sz w:val="24"/>
                <w:szCs w:val="24"/>
                <w:color w:val="auto"/>
              </w:rPr>
            </w:pPr>
          </w:p>
        </w:tc>
        <w:tc>
          <w:tcPr>
            <w:tcW w:w="9760" w:type="dxa"/>
            <w:vAlign w:val="bottom"/>
            <w:gridSpan w:val="27"/>
          </w:tcPr>
          <w:p>
            <w:pPr>
              <w:spacing w:after="0"/>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 xml:space="preserve">U.S. </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3,500,000,000 Five Year Revolving Credit Agreement among Halliburton, as Borrower, the Banks party thereto, and Citibank, N.A., as</w:t>
              </w:r>
            </w:hyperlink>
          </w:p>
        </w:tc>
      </w:tr>
      <w:tr>
        <w:trPr>
          <w:trHeight w:val="173"/>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160" w:type="dxa"/>
            <w:vAlign w:val="bottom"/>
            <w:tcBorders>
              <w:top w:val="single" w:sz="8" w:color="0000FF"/>
              <w:bottom w:val="single" w:sz="8" w:color="0000FF"/>
            </w:tcBorders>
            <w:gridSpan w:val="12"/>
          </w:tcPr>
          <w:p>
            <w:pPr>
              <w:spacing w:after="0" w:line="173"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Agent (incorporated by reference to Exhibit 10.1 to Halliburton’s Form 8-K filed April 28, 2022, File No. 001-03492).</w:t>
              </w:r>
            </w:hyperlink>
          </w:p>
        </w:tc>
        <w:tc>
          <w:tcPr>
            <w:tcW w:w="158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r>
      <w:tr>
        <w:trPr>
          <w:trHeight w:val="483"/>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10.26</w:t>
            </w:r>
          </w:p>
        </w:tc>
        <w:tc>
          <w:tcPr>
            <w:tcW w:w="200" w:type="dxa"/>
            <w:vAlign w:val="bottom"/>
          </w:tcPr>
          <w:p>
            <w:pPr>
              <w:spacing w:after="0"/>
              <w:rPr>
                <w:sz w:val="24"/>
                <w:szCs w:val="24"/>
                <w:color w:val="auto"/>
              </w:rPr>
            </w:pPr>
          </w:p>
        </w:tc>
        <w:tc>
          <w:tcPr>
            <w:tcW w:w="9760" w:type="dxa"/>
            <w:vAlign w:val="bottom"/>
            <w:gridSpan w:val="27"/>
          </w:tcPr>
          <w:p>
            <w:pPr>
              <w:spacing w:after="0"/>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Halliburton Company Supplemental Executive Retirement Plan, as amended and restated effective December 5, 2019 (incorporated by</w:t>
              </w:r>
            </w:hyperlink>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960" w:type="dxa"/>
            <w:vAlign w:val="bottom"/>
            <w:tcBorders>
              <w:top w:val="single" w:sz="8" w:color="0000FF"/>
              <w:bottom w:val="single" w:sz="8" w:color="0000FF"/>
            </w:tcBorders>
            <w:gridSpan w:val="11"/>
          </w:tcPr>
          <w:p>
            <w:pPr>
              <w:spacing w:after="0" w:line="148"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reference as Exhibit 10.41 of Halliburton's Form 10-K for the year ended December 31, 2019, File No. 001-03492).</w:t>
              </w:r>
            </w:hyperlink>
          </w:p>
        </w:tc>
        <w:tc>
          <w:tcPr>
            <w:tcW w:w="132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470"/>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10.27</w:t>
            </w:r>
          </w:p>
        </w:tc>
        <w:tc>
          <w:tcPr>
            <w:tcW w:w="200" w:type="dxa"/>
            <w:vAlign w:val="bottom"/>
          </w:tcPr>
          <w:p>
            <w:pPr>
              <w:spacing w:after="0"/>
              <w:rPr>
                <w:sz w:val="24"/>
                <w:szCs w:val="24"/>
                <w:color w:val="auto"/>
              </w:rPr>
            </w:pPr>
          </w:p>
        </w:tc>
        <w:tc>
          <w:tcPr>
            <w:tcW w:w="9760" w:type="dxa"/>
            <w:vAlign w:val="bottom"/>
            <w:gridSpan w:val="27"/>
          </w:tcPr>
          <w:p>
            <w:pPr>
              <w:spacing w:after="0"/>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Halliburton Company Benefit Restoration Plan, as amended and restated effective December 5, 2019 (incorporated by reference as Exhibit</w:t>
              </w:r>
            </w:hyperlink>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540" w:type="dxa"/>
            <w:vAlign w:val="bottom"/>
            <w:tcBorders>
              <w:top w:val="single" w:sz="8" w:color="0000FF"/>
              <w:bottom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42</w:t>
              </w:r>
              <w:r>
                <w:rPr>
                  <w:rFonts w:ascii="Times New Roman" w:cs="Times New Roman" w:eastAsia="Times New Roman" w:hAnsi="Times New Roman"/>
                  <w:sz w:val="17"/>
                  <w:szCs w:val="17"/>
                  <w:color w:val="0000FF"/>
                </w:rPr>
                <w:t xml:space="preserve"> of Halliburton's Form 10-K for the year ended December 31, 2019, File No. 001-03492).</w:t>
              </w:r>
            </w:hyperlink>
          </w:p>
        </w:tc>
        <w:tc>
          <w:tcPr>
            <w:tcW w:w="3020" w:type="dxa"/>
            <w:vAlign w:val="bottom"/>
            <w:tcBorders>
              <w:top w:val="single" w:sz="8" w:color="0000FF"/>
            </w:tcBorders>
            <w:gridSpan w:val="11"/>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470"/>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10.28</w:t>
            </w:r>
          </w:p>
        </w:tc>
        <w:tc>
          <w:tcPr>
            <w:tcW w:w="200" w:type="dxa"/>
            <w:vAlign w:val="bottom"/>
          </w:tcPr>
          <w:p>
            <w:pPr>
              <w:spacing w:after="0"/>
              <w:rPr>
                <w:sz w:val="24"/>
                <w:szCs w:val="24"/>
                <w:color w:val="auto"/>
              </w:rPr>
            </w:pPr>
          </w:p>
        </w:tc>
        <w:tc>
          <w:tcPr>
            <w:tcW w:w="9760" w:type="dxa"/>
            <w:vAlign w:val="bottom"/>
            <w:gridSpan w:val="27"/>
          </w:tcPr>
          <w:p>
            <w:pPr>
              <w:spacing w:after="0"/>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Halliburton Elective Deferral Plan, as amended and restated effective December 5, 2019 (incorporated by reference as Exhibit 10.43 of</w:t>
              </w:r>
            </w:hyperlink>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300" w:type="dxa"/>
            <w:vAlign w:val="bottom"/>
            <w:tcBorders>
              <w:top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Halliburton's Form 10-K for the year ended December 31, 2019, File No. 001-03492).</w:t>
              </w:r>
            </w:hyperlink>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70"/>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10.29</w:t>
            </w:r>
          </w:p>
        </w:tc>
        <w:tc>
          <w:tcPr>
            <w:tcW w:w="200" w:type="dxa"/>
            <w:vAlign w:val="bottom"/>
          </w:tcPr>
          <w:p>
            <w:pPr>
              <w:spacing w:after="0"/>
              <w:rPr>
                <w:sz w:val="24"/>
                <w:szCs w:val="24"/>
                <w:color w:val="auto"/>
              </w:rPr>
            </w:pPr>
          </w:p>
        </w:tc>
        <w:tc>
          <w:tcPr>
            <w:tcW w:w="9760" w:type="dxa"/>
            <w:vAlign w:val="bottom"/>
            <w:gridSpan w:val="27"/>
          </w:tcPr>
          <w:p>
            <w:pPr>
              <w:spacing w:after="0"/>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Executive Agreement (Van H. Beckwith) (incorporated by reference as Exhibit 10.42 of Halliburton’s Form 10-K for the year ended</w:t>
              </w:r>
            </w:hyperlink>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00" w:type="dxa"/>
            <w:vAlign w:val="bottom"/>
            <w:tcBorders>
              <w:top w:val="single" w:sz="8" w:color="0000FF"/>
              <w:bottom w:val="single" w:sz="8" w:color="0000FF"/>
            </w:tcBorders>
            <w:gridSpan w:val="4"/>
          </w:tcPr>
          <w:p>
            <w:pPr>
              <w:spacing w:after="0" w:line="148"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December 31, 2020, File No. 001-03492).</w:t>
              </w:r>
            </w:hyperlink>
          </w:p>
        </w:tc>
        <w:tc>
          <w:tcPr>
            <w:tcW w:w="6200" w:type="dxa"/>
            <w:vAlign w:val="bottom"/>
            <w:tcBorders>
              <w:top w:val="single" w:sz="8" w:color="0000FF"/>
            </w:tcBorders>
            <w:gridSpan w:val="11"/>
          </w:tcPr>
          <w:p>
            <w:pPr>
              <w:spacing w:after="0"/>
              <w:rPr>
                <w:sz w:val="12"/>
                <w:szCs w:val="12"/>
                <w:color w:val="auto"/>
              </w:rPr>
            </w:pPr>
          </w:p>
        </w:tc>
        <w:tc>
          <w:tcPr>
            <w:tcW w:w="240" w:type="dxa"/>
            <w:vAlign w:val="bottom"/>
            <w:gridSpan w:val="3"/>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470"/>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10.30</w:t>
            </w:r>
          </w:p>
        </w:tc>
        <w:tc>
          <w:tcPr>
            <w:tcW w:w="200" w:type="dxa"/>
            <w:vAlign w:val="bottom"/>
          </w:tcPr>
          <w:p>
            <w:pPr>
              <w:spacing w:after="0"/>
              <w:rPr>
                <w:sz w:val="24"/>
                <w:szCs w:val="24"/>
                <w:color w:val="auto"/>
              </w:rPr>
            </w:pPr>
          </w:p>
        </w:tc>
        <w:tc>
          <w:tcPr>
            <w:tcW w:w="9760" w:type="dxa"/>
            <w:vAlign w:val="bottom"/>
            <w:gridSpan w:val="27"/>
          </w:tcPr>
          <w:p>
            <w:pPr>
              <w:spacing w:after="0"/>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Executive Agreement (Jill D. Sharp) (incorporated by reference as Exhibit 10.40 of Halliburton's Form 10-K for the year ended December</w:t>
              </w:r>
            </w:hyperlink>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520" w:type="dxa"/>
            <w:vAlign w:val="bottom"/>
            <w:tcBorders>
              <w:top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31, 2021, File No. 001-03492).</w:t>
              </w:r>
            </w:hyperlink>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70"/>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10.31</w:t>
            </w:r>
          </w:p>
        </w:tc>
        <w:tc>
          <w:tcPr>
            <w:tcW w:w="200" w:type="dxa"/>
            <w:vAlign w:val="bottom"/>
          </w:tcPr>
          <w:p>
            <w:pPr>
              <w:spacing w:after="0"/>
              <w:rPr>
                <w:sz w:val="24"/>
                <w:szCs w:val="24"/>
                <w:color w:val="auto"/>
              </w:rPr>
            </w:pPr>
          </w:p>
        </w:tc>
        <w:tc>
          <w:tcPr>
            <w:tcW w:w="9760" w:type="dxa"/>
            <w:vAlign w:val="bottom"/>
            <w:gridSpan w:val="27"/>
          </w:tcPr>
          <w:p>
            <w:pPr>
              <w:spacing w:after="0"/>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Amendment effective January 1, 2022, to Halliburton Annual Performance Pay Plan, as amended and restated effective as of January 1, 2019</w:t>
              </w:r>
            </w:hyperlink>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720" w:type="dxa"/>
            <w:vAlign w:val="bottom"/>
            <w:tcBorders>
              <w:top w:val="single" w:sz="8" w:color="0000FF"/>
            </w:tcBorders>
            <w:gridSpan w:val="25"/>
          </w:tcPr>
          <w:p>
            <w:pPr>
              <w:spacing w:after="0" w:line="148"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(incorporated by reference as Exhibit 10.1 of Halliburton's Form 10-Q for the quarter ended March 31, 2022, File No. 001-03492).</w:t>
              </w:r>
            </w:hyperlink>
          </w:p>
        </w:tc>
        <w:tc>
          <w:tcPr>
            <w:tcW w:w="40" w:type="dxa"/>
            <w:vAlign w:val="bottom"/>
            <w:gridSpan w:val="2"/>
          </w:tcPr>
          <w:p>
            <w:pPr>
              <w:spacing w:after="0"/>
              <w:rPr>
                <w:sz w:val="12"/>
                <w:szCs w:val="12"/>
                <w:color w:val="auto"/>
              </w:rPr>
            </w:pPr>
          </w:p>
        </w:tc>
      </w:tr>
      <w:tr>
        <w:trPr>
          <w:trHeight w:val="20"/>
        </w:trPr>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60" w:type="dxa"/>
            <w:vAlign w:val="bottom"/>
            <w:gridSpan w:val="6"/>
            <w:shd w:val="clear" w:color="auto" w:fill="0000FF"/>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70"/>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10.32</w:t>
            </w:r>
          </w:p>
        </w:tc>
        <w:tc>
          <w:tcPr>
            <w:tcW w:w="200" w:type="dxa"/>
            <w:vAlign w:val="bottom"/>
          </w:tcPr>
          <w:p>
            <w:pPr>
              <w:spacing w:after="0"/>
              <w:rPr>
                <w:sz w:val="24"/>
                <w:szCs w:val="24"/>
                <w:color w:val="auto"/>
              </w:rPr>
            </w:pPr>
          </w:p>
        </w:tc>
        <w:tc>
          <w:tcPr>
            <w:tcW w:w="9760" w:type="dxa"/>
            <w:vAlign w:val="bottom"/>
            <w:gridSpan w:val="27"/>
          </w:tcPr>
          <w:p>
            <w:pPr>
              <w:spacing w:after="0"/>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Amendment effective January 1, 2020, to Halliburton Company Performance Unit Program, as amended and restated effective as of January</w:t>
              </w:r>
            </w:hyperlink>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60" w:type="dxa"/>
            <w:vAlign w:val="bottom"/>
            <w:tcBorders>
              <w:top w:val="single" w:sz="8" w:color="0000FF"/>
            </w:tcBorders>
            <w:gridSpan w:val="22"/>
          </w:tcPr>
          <w:p>
            <w:pPr>
              <w:spacing w:after="0" w:line="148"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 xml:space="preserve">1, 2019 </w:t>
              </w:r>
            </w:hyperlink>
            <w:hyperlink r:id="rId139">
              <w:r>
                <w:rPr>
                  <w:rFonts w:ascii="Times New Roman" w:cs="Times New Roman" w:eastAsia="Times New Roman" w:hAnsi="Times New Roman"/>
                  <w:sz w:val="17"/>
                  <w:szCs w:val="17"/>
                  <w:color w:val="0000FF"/>
                </w:rPr>
                <w:t>(incorporated by reference as Exhibit 10.2 of Halliburton's Form 10-Q for the quarter ended March 31, 2022, File No. 001-03492).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20" w:type="dxa"/>
            <w:vAlign w:val="bottom"/>
            <w:gridSpan w:val="11"/>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70"/>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10.33</w:t>
            </w:r>
          </w:p>
        </w:tc>
        <w:tc>
          <w:tcPr>
            <w:tcW w:w="200" w:type="dxa"/>
            <w:vAlign w:val="bottom"/>
          </w:tcPr>
          <w:p>
            <w:pPr>
              <w:spacing w:after="0"/>
              <w:rPr>
                <w:sz w:val="24"/>
                <w:szCs w:val="24"/>
                <w:color w:val="auto"/>
              </w:rPr>
            </w:pPr>
          </w:p>
        </w:tc>
        <w:tc>
          <w:tcPr>
            <w:tcW w:w="9760" w:type="dxa"/>
            <w:vAlign w:val="bottom"/>
            <w:gridSpan w:val="27"/>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Executive Agreement (Shannon Slocum) (incorporated by reference as Exhibit 10.1 of Halliburton's Form 10-Q for the quarter ended March</w:t>
              </w:r>
            </w:hyperlink>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80" w:type="dxa"/>
            <w:vAlign w:val="bottom"/>
            <w:tcBorders>
              <w:top w:val="single" w:sz="8" w:color="0000FF"/>
            </w:tcBorders>
            <w:gridSpan w:val="23"/>
          </w:tcPr>
          <w:p>
            <w:pPr>
              <w:spacing w:after="0" w:line="148"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31, 2023, File No. 001-03492).</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10.34</w:t>
            </w:r>
          </w:p>
        </w:tc>
        <w:tc>
          <w:tcPr>
            <w:tcW w:w="200" w:type="dxa"/>
            <w:vAlign w:val="bottom"/>
          </w:tcPr>
          <w:p>
            <w:pPr>
              <w:spacing w:after="0"/>
              <w:rPr>
                <w:sz w:val="24"/>
                <w:szCs w:val="24"/>
                <w:color w:val="auto"/>
              </w:rPr>
            </w:pPr>
          </w:p>
        </w:tc>
        <w:tc>
          <w:tcPr>
            <w:tcW w:w="9760" w:type="dxa"/>
            <w:vAlign w:val="bottom"/>
            <w:gridSpan w:val="27"/>
          </w:tcPr>
          <w:p>
            <w:pPr>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Form of Indemnification Agreement for Officers (incorporated by reference as Exhibit 10.1 of Halliburton's Form 10-Q for the quarter ended</w:t>
              </w:r>
            </w:hyperlink>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700" w:type="dxa"/>
            <w:vAlign w:val="bottom"/>
            <w:tcBorders>
              <w:top w:val="single" w:sz="8" w:color="0000FF"/>
            </w:tcBorders>
            <w:gridSpan w:val="24"/>
          </w:tcPr>
          <w:p>
            <w:pPr>
              <w:spacing w:after="0" w:line="148"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June 30, 2023, File No. 001-03492).</w:t>
              </w:r>
            </w:hyperlink>
          </w:p>
        </w:tc>
        <w:tc>
          <w:tcPr>
            <w:tcW w:w="60" w:type="dxa"/>
            <w:vAlign w:val="bottom"/>
            <w:gridSpan w:val="3"/>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r>
      <w:tr>
        <w:trPr>
          <w:trHeight w:val="50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10.35</w:t>
            </w:r>
          </w:p>
        </w:tc>
        <w:tc>
          <w:tcPr>
            <w:tcW w:w="200" w:type="dxa"/>
            <w:vAlign w:val="bottom"/>
          </w:tcPr>
          <w:p>
            <w:pPr>
              <w:spacing w:after="0"/>
              <w:rPr>
                <w:sz w:val="24"/>
                <w:szCs w:val="24"/>
                <w:color w:val="auto"/>
              </w:rPr>
            </w:pPr>
          </w:p>
        </w:tc>
        <w:tc>
          <w:tcPr>
            <w:tcW w:w="9760" w:type="dxa"/>
            <w:vAlign w:val="bottom"/>
            <w:gridSpan w:val="27"/>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Form of Indemnification Agreement for Directors (incorporated by reference as Exhibit 10.2 of Halliburton's Form 10-Q for the quarter</w:t>
              </w:r>
            </w:hyperlink>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tcBorders>
              <w:top w:val="single" w:sz="8" w:color="0000FF"/>
              <w:bottom w:val="single" w:sz="8" w:color="0000FF"/>
            </w:tcBorders>
            <w:gridSpan w:val="5"/>
          </w:tcPr>
          <w:p>
            <w:pPr>
              <w:spacing w:after="0" w:line="148"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ended June 30, 2023, File No. 001-03492).</w:t>
              </w:r>
            </w:hyperlink>
          </w:p>
        </w:tc>
        <w:tc>
          <w:tcPr>
            <w:tcW w:w="6380" w:type="dxa"/>
            <w:vAlign w:val="bottom"/>
            <w:tcBorders>
              <w:top w:val="single" w:sz="8" w:color="0000FF"/>
            </w:tcBorders>
            <w:gridSpan w:val="13"/>
          </w:tcPr>
          <w:p>
            <w:pPr>
              <w:spacing w:after="0"/>
              <w:rPr>
                <w:sz w:val="12"/>
                <w:szCs w:val="12"/>
                <w:color w:val="auto"/>
              </w:rPr>
            </w:pPr>
          </w:p>
        </w:tc>
        <w:tc>
          <w:tcPr>
            <w:tcW w:w="420" w:type="dxa"/>
            <w:vAlign w:val="bottom"/>
            <w:gridSpan w:val="9"/>
          </w:tcPr>
          <w:p>
            <w:pPr>
              <w:spacing w:after="0"/>
              <w:rPr>
                <w:sz w:val="12"/>
                <w:szCs w:val="12"/>
                <w:color w:val="auto"/>
              </w:rPr>
            </w:pPr>
          </w:p>
        </w:tc>
      </w:tr>
      <w:tr>
        <w:trPr>
          <w:trHeight w:val="509"/>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10.36</w:t>
            </w:r>
          </w:p>
        </w:tc>
        <w:tc>
          <w:tcPr>
            <w:tcW w:w="200" w:type="dxa"/>
            <w:vAlign w:val="bottom"/>
          </w:tcPr>
          <w:p>
            <w:pPr>
              <w:spacing w:after="0"/>
              <w:rPr>
                <w:sz w:val="24"/>
                <w:szCs w:val="24"/>
                <w:color w:val="auto"/>
              </w:rPr>
            </w:pPr>
          </w:p>
        </w:tc>
        <w:tc>
          <w:tcPr>
            <w:tcW w:w="97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Form of Restricted Stock Agreement.</w:t>
            </w:r>
          </w:p>
        </w:tc>
      </w:tr>
      <w:tr>
        <w:trPr>
          <w:trHeight w:val="20"/>
        </w:trPr>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40" w:type="dxa"/>
            <w:vAlign w:val="bottom"/>
            <w:gridSpan w:val="20"/>
          </w:tcPr>
          <w:p>
            <w:pPr>
              <w:spacing w:after="0" w:line="20" w:lineRule="exact"/>
              <w:rPr>
                <w:sz w:val="1"/>
                <w:szCs w:val="1"/>
                <w:color w:val="auto"/>
              </w:rPr>
            </w:pPr>
          </w:p>
        </w:tc>
      </w:tr>
      <w:tr>
        <w:trPr>
          <w:trHeight w:val="457"/>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10.37</w:t>
            </w:r>
          </w:p>
        </w:tc>
        <w:tc>
          <w:tcPr>
            <w:tcW w:w="200" w:type="dxa"/>
            <w:vAlign w:val="bottom"/>
          </w:tcPr>
          <w:p>
            <w:pPr>
              <w:spacing w:after="0"/>
              <w:rPr>
                <w:sz w:val="24"/>
                <w:szCs w:val="24"/>
                <w:color w:val="auto"/>
              </w:rPr>
            </w:pPr>
          </w:p>
        </w:tc>
        <w:tc>
          <w:tcPr>
            <w:tcW w:w="976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Form of Restricted Stock Unit Agreement (International)</w:t>
            </w:r>
            <w:r>
              <w:rPr>
                <w:rFonts w:ascii="Times New Roman" w:cs="Times New Roman" w:eastAsia="Times New Roman" w:hAnsi="Times New Roman"/>
                <w:sz w:val="17"/>
                <w:szCs w:val="17"/>
                <w:u w:val="single" w:color="auto"/>
                <w:color w:val="0000FF"/>
              </w:rPr>
              <w:t>.</w:t>
            </w:r>
          </w:p>
        </w:tc>
      </w:tr>
      <w:tr>
        <w:trPr>
          <w:trHeight w:val="496"/>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10.38</w:t>
            </w:r>
          </w:p>
        </w:tc>
        <w:tc>
          <w:tcPr>
            <w:tcW w:w="200" w:type="dxa"/>
            <w:vAlign w:val="bottom"/>
          </w:tcPr>
          <w:p>
            <w:pPr>
              <w:spacing w:after="0"/>
              <w:rPr>
                <w:sz w:val="24"/>
                <w:szCs w:val="24"/>
                <w:color w:val="auto"/>
              </w:rPr>
            </w:pPr>
          </w:p>
        </w:tc>
        <w:tc>
          <w:tcPr>
            <w:tcW w:w="39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Form of Restricted Stock Unit Agreement (U.S. Expat).</w:t>
            </w:r>
          </w:p>
        </w:tc>
        <w:tc>
          <w:tcPr>
            <w:tcW w:w="5840" w:type="dxa"/>
            <w:vAlign w:val="bottom"/>
            <w:gridSpan w:val="20"/>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50" w:right="339" w:bottom="1440" w:gutter="0" w:footer="0" w:header="0"/>
        </w:sectPr>
      </w:pPr>
    </w:p>
    <w:bookmarkStart w:id="78" w:name="page79"/>
    <w:bookmarkEnd w:id="78"/>
    <w:tbl>
      <w:tblPr>
        <w:tblLayout w:type="fixed"/>
        <w:tblInd w:w="2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60" w:type="dxa"/>
            <w:vAlign w:val="bottom"/>
            <w:gridSpan w:val="2"/>
          </w:tcPr>
          <w:p>
            <w:pPr>
              <w:ind w:left="1640"/>
              <w:spacing w:after="0"/>
              <w:rPr>
                <w:sz w:val="20"/>
                <w:szCs w:val="20"/>
                <w:color w:val="auto"/>
              </w:rPr>
            </w:pPr>
            <w:r>
              <w:rPr>
                <w:rFonts w:ascii="Times New Roman" w:cs="Times New Roman" w:eastAsia="Times New Roman" w:hAnsi="Times New Roman"/>
                <w:sz w:val="17"/>
                <w:szCs w:val="17"/>
                <w:color w:val="auto"/>
                <w:w w:val="99"/>
              </w:rPr>
              <w:t>Item 15 | Exhibits</w:t>
            </w:r>
          </w:p>
        </w:tc>
      </w:tr>
      <w:tr>
        <w:trPr>
          <w:trHeight w:val="754"/>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10.39</w:t>
            </w:r>
          </w:p>
        </w:tc>
        <w:tc>
          <w:tcPr>
            <w:tcW w:w="20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Form of Performance Share Unit Award Agreement.</w:t>
            </w:r>
          </w:p>
        </w:tc>
      </w:tr>
      <w:tr>
        <w:trPr>
          <w:trHeight w:val="20"/>
        </w:trPr>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7"/>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10.40</w:t>
            </w:r>
          </w:p>
        </w:tc>
        <w:tc>
          <w:tcPr>
            <w:tcW w:w="200" w:type="dxa"/>
            <w:vAlign w:val="bottom"/>
          </w:tcPr>
          <w:p>
            <w:pPr>
              <w:spacing w:after="0"/>
              <w:rPr>
                <w:sz w:val="24"/>
                <w:szCs w:val="24"/>
                <w:color w:val="auto"/>
              </w:rPr>
            </w:pPr>
          </w:p>
        </w:tc>
        <w:tc>
          <w:tcPr>
            <w:tcW w:w="9760" w:type="dxa"/>
            <w:vAlign w:val="bottom"/>
            <w:gridSpan w:val="10"/>
          </w:tcPr>
          <w:p>
            <w:pPr>
              <w:spacing w:after="0"/>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Form of Non-Management Director Restricted Stock Unit Agreement (Stock and Incentive Plan) (incorporated by reference as Exhibit 10.42</w:t>
              </w:r>
            </w:hyperlink>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700" w:type="dxa"/>
            <w:vAlign w:val="bottom"/>
            <w:tcBorders>
              <w:top w:val="single" w:sz="8" w:color="0000FF"/>
            </w:tcBorders>
            <w:gridSpan w:val="9"/>
          </w:tcPr>
          <w:p>
            <w:pPr>
              <w:spacing w:after="0" w:line="148"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of Halliburton's Form 10-K for the year ended December 31, 2022, File No. 001-03492).</w:t>
              </w:r>
            </w:hyperlink>
          </w:p>
        </w:tc>
        <w:tc>
          <w:tcPr>
            <w:tcW w:w="60" w:type="dxa"/>
            <w:vAlign w:val="bottom"/>
          </w:tcPr>
          <w:p>
            <w:pPr>
              <w:spacing w:after="0"/>
              <w:rPr>
                <w:sz w:val="12"/>
                <w:szCs w:val="12"/>
                <w:color w:val="auto"/>
              </w:rPr>
            </w:pPr>
          </w:p>
        </w:tc>
      </w:tr>
      <w:tr>
        <w:trPr>
          <w:trHeight w:val="470"/>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21.1</w:t>
            </w:r>
          </w:p>
        </w:tc>
        <w:tc>
          <w:tcPr>
            <w:tcW w:w="200" w:type="dxa"/>
            <w:vAlign w:val="bottom"/>
          </w:tcPr>
          <w:p>
            <w:pPr>
              <w:spacing w:after="0"/>
              <w:rPr>
                <w:sz w:val="24"/>
                <w:szCs w:val="24"/>
                <w:color w:val="auto"/>
              </w:rPr>
            </w:pPr>
          </w:p>
        </w:tc>
        <w:tc>
          <w:tcPr>
            <w:tcW w:w="20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Subsidiaries of the Registrant.</w:t>
            </w:r>
          </w:p>
        </w:tc>
        <w:tc>
          <w:tcPr>
            <w:tcW w:w="4020" w:type="dxa"/>
            <w:vAlign w:val="bottom"/>
            <w:tcBorders>
              <w:top w:val="single" w:sz="8" w:color="0000FF"/>
            </w:tcBorders>
            <w:gridSpan w:val="3"/>
          </w:tcPr>
          <w:p>
            <w:pPr>
              <w:spacing w:after="0"/>
              <w:rPr>
                <w:sz w:val="24"/>
                <w:szCs w:val="24"/>
                <w:color w:val="auto"/>
              </w:rPr>
            </w:pPr>
          </w:p>
        </w:tc>
        <w:tc>
          <w:tcPr>
            <w:tcW w:w="3660" w:type="dxa"/>
            <w:vAlign w:val="bottom"/>
            <w:gridSpan w:val="4"/>
          </w:tcPr>
          <w:p>
            <w:pPr>
              <w:spacing w:after="0"/>
              <w:rPr>
                <w:sz w:val="24"/>
                <w:szCs w:val="24"/>
                <w:color w:val="auto"/>
              </w:rPr>
            </w:pPr>
          </w:p>
        </w:tc>
      </w:tr>
      <w:tr>
        <w:trPr>
          <w:trHeight w:val="444"/>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23.1</w:t>
            </w:r>
          </w:p>
        </w:tc>
        <w:tc>
          <w:tcPr>
            <w:tcW w:w="20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Consent of KPMG LLP.</w:t>
            </w:r>
          </w:p>
        </w:tc>
      </w:tr>
      <w:tr>
        <w:trPr>
          <w:trHeight w:val="20"/>
        </w:trPr>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r>
      <w:tr>
        <w:trPr>
          <w:trHeight w:val="444"/>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31.1</w:t>
            </w:r>
          </w:p>
        </w:tc>
        <w:tc>
          <w:tcPr>
            <w:tcW w:w="20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Section 302 of the Sarbanes-Oxley Act of 2002.</w:t>
            </w:r>
          </w:p>
        </w:tc>
      </w:tr>
      <w:tr>
        <w:trPr>
          <w:trHeight w:val="444"/>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31.2</w:t>
            </w:r>
          </w:p>
        </w:tc>
        <w:tc>
          <w:tcPr>
            <w:tcW w:w="200" w:type="dxa"/>
            <w:vAlign w:val="bottom"/>
          </w:tcPr>
          <w:p>
            <w:pPr>
              <w:spacing w:after="0"/>
              <w:rPr>
                <w:sz w:val="24"/>
                <w:szCs w:val="24"/>
                <w:color w:val="auto"/>
              </w:rPr>
            </w:pPr>
          </w:p>
        </w:tc>
        <w:tc>
          <w:tcPr>
            <w:tcW w:w="68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2860" w:type="dxa"/>
            <w:vAlign w:val="bottom"/>
            <w:gridSpan w:val="2"/>
          </w:tcPr>
          <w:p>
            <w:pPr>
              <w:spacing w:after="0"/>
              <w:rPr>
                <w:sz w:val="24"/>
                <w:szCs w:val="24"/>
                <w:color w:val="auto"/>
              </w:rPr>
            </w:pPr>
          </w:p>
        </w:tc>
      </w:tr>
      <w:tr>
        <w:trPr>
          <w:trHeight w:val="444"/>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32.1</w:t>
            </w:r>
          </w:p>
        </w:tc>
        <w:tc>
          <w:tcPr>
            <w:tcW w:w="20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Section 906 of the Sarbanes-Oxley Act of 2002.</w:t>
            </w:r>
          </w:p>
        </w:tc>
      </w:tr>
      <w:tr>
        <w:trPr>
          <w:trHeight w:val="444"/>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32.2</w:t>
            </w:r>
          </w:p>
        </w:tc>
        <w:tc>
          <w:tcPr>
            <w:tcW w:w="200" w:type="dxa"/>
            <w:vAlign w:val="bottom"/>
          </w:tcPr>
          <w:p>
            <w:pPr>
              <w:spacing w:after="0"/>
              <w:rPr>
                <w:sz w:val="24"/>
                <w:szCs w:val="24"/>
                <w:color w:val="auto"/>
              </w:rPr>
            </w:pPr>
          </w:p>
        </w:tc>
        <w:tc>
          <w:tcPr>
            <w:tcW w:w="68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Section 906 of the Sarbanes-Oxley Act of 2002.</w:t>
            </w:r>
          </w:p>
        </w:tc>
        <w:tc>
          <w:tcPr>
            <w:tcW w:w="40" w:type="dxa"/>
            <w:vAlign w:val="bottom"/>
            <w:tcBorders>
              <w:top w:val="single" w:sz="8" w:color="0000FF"/>
            </w:tcBorders>
          </w:tcPr>
          <w:p>
            <w:pPr>
              <w:spacing w:after="0"/>
              <w:rPr>
                <w:sz w:val="24"/>
                <w:szCs w:val="24"/>
                <w:color w:val="auto"/>
              </w:rPr>
            </w:pPr>
          </w:p>
        </w:tc>
        <w:tc>
          <w:tcPr>
            <w:tcW w:w="2860" w:type="dxa"/>
            <w:vAlign w:val="bottom"/>
            <w:gridSpan w:val="2"/>
          </w:tcPr>
          <w:p>
            <w:pPr>
              <w:spacing w:after="0"/>
              <w:rPr>
                <w:sz w:val="24"/>
                <w:szCs w:val="24"/>
                <w:color w:val="auto"/>
              </w:rPr>
            </w:pPr>
          </w:p>
        </w:tc>
      </w:tr>
      <w:tr>
        <w:trPr>
          <w:trHeight w:val="444"/>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95</w:t>
            </w:r>
          </w:p>
        </w:tc>
        <w:tc>
          <w:tcPr>
            <w:tcW w:w="200" w:type="dxa"/>
            <w:vAlign w:val="bottom"/>
          </w:tcPr>
          <w:p>
            <w:pPr>
              <w:spacing w:after="0"/>
              <w:rPr>
                <w:sz w:val="24"/>
                <w:szCs w:val="24"/>
                <w:color w:val="auto"/>
              </w:rPr>
            </w:pPr>
          </w:p>
        </w:tc>
        <w:tc>
          <w:tcPr>
            <w:tcW w:w="1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8020" w:type="dxa"/>
            <w:vAlign w:val="bottom"/>
            <w:gridSpan w:val="8"/>
          </w:tcPr>
          <w:p>
            <w:pPr>
              <w:spacing w:after="0"/>
              <w:rPr>
                <w:sz w:val="24"/>
                <w:szCs w:val="24"/>
                <w:color w:val="auto"/>
              </w:rPr>
            </w:pPr>
          </w:p>
        </w:tc>
      </w:tr>
      <w:tr>
        <w:trPr>
          <w:trHeight w:val="444"/>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97.1</w:t>
            </w:r>
          </w:p>
        </w:tc>
        <w:tc>
          <w:tcPr>
            <w:tcW w:w="20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Company Policy, Recoupment of Incentive Compensation Following a Restatement.</w:t>
            </w:r>
          </w:p>
        </w:tc>
      </w:tr>
      <w:tr>
        <w:trPr>
          <w:trHeight w:val="20"/>
        </w:trPr>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0" w:type="dxa"/>
            <w:vAlign w:val="bottom"/>
            <w:gridSpan w:val="5"/>
            <w:shd w:val="clear" w:color="auto" w:fill="0000FF"/>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r>
      <w:tr>
        <w:trPr>
          <w:trHeight w:val="431"/>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101.INS</w:t>
            </w:r>
          </w:p>
        </w:tc>
        <w:tc>
          <w:tcPr>
            <w:tcW w:w="20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XBRL Instance Document - the instance document does not appear in the Interactive Data File because its XBRL tags are embedded within</w:t>
            </w: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the Inline XBRL document</w:t>
            </w:r>
          </w:p>
        </w:tc>
      </w:tr>
      <w:tr>
        <w:trPr>
          <w:trHeight w:val="473"/>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101.SCH</w:t>
            </w:r>
          </w:p>
        </w:tc>
        <w:tc>
          <w:tcPr>
            <w:tcW w:w="20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464"/>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101.CAL</w:t>
            </w:r>
          </w:p>
        </w:tc>
        <w:tc>
          <w:tcPr>
            <w:tcW w:w="20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r>
      <w:tr>
        <w:trPr>
          <w:trHeight w:val="464"/>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101.LAB</w:t>
            </w:r>
          </w:p>
        </w:tc>
        <w:tc>
          <w:tcPr>
            <w:tcW w:w="20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r>
        <w:trPr>
          <w:trHeight w:val="464"/>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101.PRE</w:t>
            </w:r>
          </w:p>
        </w:tc>
        <w:tc>
          <w:tcPr>
            <w:tcW w:w="20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r>
      <w:tr>
        <w:trPr>
          <w:trHeight w:val="464"/>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101.DEF</w:t>
            </w:r>
          </w:p>
        </w:tc>
        <w:tc>
          <w:tcPr>
            <w:tcW w:w="20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r>
      <w:tr>
        <w:trPr>
          <w:trHeight w:val="373"/>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104</w:t>
            </w:r>
          </w:p>
        </w:tc>
        <w:tc>
          <w:tcPr>
            <w:tcW w:w="200" w:type="dxa"/>
            <w:vAlign w:val="bottom"/>
          </w:tcPr>
          <w:p>
            <w:pPr>
              <w:spacing w:after="0"/>
              <w:rPr>
                <w:sz w:val="24"/>
                <w:szCs w:val="24"/>
                <w:color w:val="auto"/>
              </w:rPr>
            </w:pPr>
          </w:p>
        </w:tc>
        <w:tc>
          <w:tcPr>
            <w:tcW w:w="97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Cover Page Interactive Data File - the cover page interactive data file does not appear in the Interactive Data File because its XBRL tags are</w:t>
            </w: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7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embedded within the Inline XBRL document</w:t>
            </w:r>
          </w:p>
        </w:tc>
      </w:tr>
    </w:tbl>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Filed with this Form 10-K.</w:t>
      </w:r>
    </w:p>
    <w:p>
      <w:pPr>
        <w:spacing w:after="0" w:line="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 Furnished with this Form 10-K.</w:t>
      </w:r>
    </w:p>
    <w:p>
      <w:pPr>
        <w:spacing w:after="0" w:line="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Management contracts or compensatory plans or arrangements.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50" w:right="339" w:bottom="1440" w:gutter="0" w:footer="0" w:header="0"/>
        </w:sectPr>
      </w:pPr>
    </w:p>
    <w:bookmarkStart w:id="79" w:name="page80"/>
    <w:bookmarkEnd w:id="79"/>
    <w:p>
      <w:pPr>
        <w:ind w:left="4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0" w:lineRule="exact"/>
        <w:rPr>
          <w:sz w:val="20"/>
          <w:szCs w:val="20"/>
          <w:color w:val="auto"/>
        </w:rPr>
      </w:pPr>
    </w:p>
    <w:p>
      <w:pPr>
        <w:spacing w:after="0" w:line="279"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As required by Section 13 or 15(d) of the Securities Exchange Act of 1934, the registrant has authorized this report to be signed on its behalf by the undersigned authorized individuals on this 6th day of February, 2024.</w:t>
      </w:r>
    </w:p>
    <w:p>
      <w:pPr>
        <w:spacing w:after="0" w:line="22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b w:val="1"/>
          <w:bCs w:val="1"/>
          <w:color w:val="auto"/>
        </w:rPr>
        <w:t>HALLIBURTON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5400" w:type="dxa"/>
        <w:tblCellMar>
          <w:top w:w="0" w:type="dxa"/>
          <w:left w:w="0" w:type="dxa"/>
          <w:bottom w:w="0" w:type="dxa"/>
          <w:right w:w="0" w:type="dxa"/>
        </w:tblCellMar>
      </w:tblPr>
      <w:tr>
        <w:trPr>
          <w:trHeight w:val="195"/>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1800" w:type="dxa"/>
            <w:vAlign w:val="bottom"/>
          </w:tcPr>
          <w:p>
            <w:pPr>
              <w:spacing w:after="0"/>
              <w:rPr>
                <w:sz w:val="17"/>
                <w:szCs w:val="17"/>
                <w:color w:val="auto"/>
              </w:rPr>
            </w:pPr>
          </w:p>
        </w:tc>
        <w:tc>
          <w:tcPr>
            <w:tcW w:w="2840" w:type="dxa"/>
            <w:vAlign w:val="bottom"/>
            <w:gridSpan w:val="2"/>
          </w:tcPr>
          <w:p>
            <w:pPr>
              <w:jc w:val="center"/>
              <w:ind w:right="1480"/>
              <w:spacing w:after="0"/>
              <w:rPr>
                <w:sz w:val="20"/>
                <w:szCs w:val="20"/>
                <w:color w:val="auto"/>
              </w:rPr>
            </w:pPr>
            <w:r>
              <w:rPr>
                <w:rFonts w:ascii="Times New Roman" w:cs="Times New Roman" w:eastAsia="Times New Roman" w:hAnsi="Times New Roman"/>
                <w:sz w:val="17"/>
                <w:szCs w:val="17"/>
                <w:color w:val="auto"/>
              </w:rPr>
              <w:t>/s/ Jeffrey A. Miller</w:t>
            </w:r>
          </w:p>
        </w:tc>
      </w:tr>
      <w:tr>
        <w:trPr>
          <w:trHeight w:val="234"/>
        </w:trPr>
        <w:tc>
          <w:tcPr>
            <w:tcW w:w="5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Jeffrey A. Miller</w:t>
            </w:r>
          </w:p>
        </w:tc>
        <w:tc>
          <w:tcPr>
            <w:tcW w:w="1480" w:type="dxa"/>
            <w:vAlign w:val="bottom"/>
          </w:tcPr>
          <w:p>
            <w:pPr>
              <w:spacing w:after="0"/>
              <w:rPr>
                <w:sz w:val="20"/>
                <w:szCs w:val="20"/>
                <w:color w:val="auto"/>
              </w:rPr>
            </w:pPr>
          </w:p>
        </w:tc>
      </w:tr>
      <w:tr>
        <w:trPr>
          <w:trHeight w:val="223"/>
        </w:trPr>
        <w:tc>
          <w:tcPr>
            <w:tcW w:w="540" w:type="dxa"/>
            <w:vAlign w:val="bottom"/>
          </w:tcPr>
          <w:p>
            <w:pPr>
              <w:spacing w:after="0"/>
              <w:rPr>
                <w:sz w:val="19"/>
                <w:szCs w:val="19"/>
                <w:color w:val="auto"/>
              </w:rPr>
            </w:pPr>
          </w:p>
        </w:tc>
        <w:tc>
          <w:tcPr>
            <w:tcW w:w="4640" w:type="dxa"/>
            <w:vAlign w:val="bottom"/>
            <w:gridSpan w:val="3"/>
          </w:tcPr>
          <w:p>
            <w:pPr>
              <w:jc w:val="center"/>
              <w:ind w:left="254"/>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tc>
      </w:tr>
    </w:tbl>
    <w:p>
      <w:pPr>
        <w:spacing w:after="0" w:line="305"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7"/>
          <w:szCs w:val="17"/>
          <w:color w:val="auto"/>
        </w:rPr>
        <w:t>As required by the Securities Exchange Act of 1934, this report has been signed below by the following persons in the capacities indicated on this 6th day of February, 2024.</w:t>
      </w:r>
    </w:p>
    <w:p>
      <w:pPr>
        <w:spacing w:after="0" w:line="2"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7"/>
          <w:szCs w:val="17"/>
          <w:u w:val="single" w:color="auto"/>
          <w:color w:val="auto"/>
        </w:rPr>
        <w:t>Signature</w:t>
      </w:r>
      <w:r>
        <w:rPr>
          <w:sz w:val="20"/>
          <w:szCs w:val="20"/>
          <w:color w:val="auto"/>
        </w:rPr>
        <w:tab/>
      </w:r>
      <w:r>
        <w:rPr>
          <w:rFonts w:ascii="Times New Roman" w:cs="Times New Roman" w:eastAsia="Times New Roman" w:hAnsi="Times New Roman"/>
          <w:sz w:val="17"/>
          <w:szCs w:val="17"/>
          <w:u w:val="single" w:color="auto"/>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Jeffrey A. Miller</w:t>
            </w:r>
          </w:p>
        </w:tc>
        <w:tc>
          <w:tcPr>
            <w:tcW w:w="5320" w:type="dxa"/>
            <w:vAlign w:val="bottom"/>
          </w:tcPr>
          <w:p>
            <w:pPr>
              <w:ind w:left="2060"/>
              <w:spacing w:after="0"/>
              <w:rPr>
                <w:sz w:val="20"/>
                <w:szCs w:val="20"/>
                <w:color w:val="auto"/>
              </w:rPr>
            </w:pPr>
            <w:r>
              <w:rPr>
                <w:rFonts w:ascii="Times New Roman" w:cs="Times New Roman" w:eastAsia="Times New Roman" w:hAnsi="Times New Roman"/>
                <w:sz w:val="17"/>
                <w:szCs w:val="17"/>
                <w:color w:val="auto"/>
              </w:rPr>
              <w:t>Chairman of the Board, Director, President and</w:t>
            </w:r>
          </w:p>
        </w:tc>
      </w:tr>
      <w:tr>
        <w:trPr>
          <w:trHeight w:val="20"/>
        </w:trPr>
        <w:tc>
          <w:tcPr>
            <w:tcW w:w="13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238"/>
        </w:trPr>
        <w:tc>
          <w:tcPr>
            <w:tcW w:w="35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Jeffrey A. Miller</w:t>
            </w:r>
          </w:p>
        </w:tc>
        <w:tc>
          <w:tcPr>
            <w:tcW w:w="5320" w:type="dxa"/>
            <w:vAlign w:val="bottom"/>
          </w:tcPr>
          <w:p>
            <w:pPr>
              <w:ind w:left="206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Eric J. Carre</w:t>
            </w:r>
          </w:p>
        </w:tc>
        <w:tc>
          <w:tcPr>
            <w:tcW w:w="4220" w:type="dxa"/>
            <w:vAlign w:val="bottom"/>
          </w:tcPr>
          <w:p>
            <w:pPr>
              <w:ind w:left="2200"/>
              <w:spacing w:after="0"/>
              <w:rPr>
                <w:sz w:val="20"/>
                <w:szCs w:val="20"/>
                <w:color w:val="auto"/>
              </w:rPr>
            </w:pPr>
            <w:r>
              <w:rPr>
                <w:rFonts w:ascii="Times New Roman" w:cs="Times New Roman" w:eastAsia="Times New Roman" w:hAnsi="Times New Roman"/>
                <w:sz w:val="17"/>
                <w:szCs w:val="17"/>
                <w:color w:val="auto"/>
                <w:w w:val="99"/>
              </w:rPr>
              <w:t>Executive Vice President and</w:t>
            </w:r>
          </w:p>
        </w:tc>
      </w:tr>
      <w:tr>
        <w:trPr>
          <w:trHeight w:val="20"/>
        </w:trPr>
        <w:tc>
          <w:tcPr>
            <w:tcW w:w="10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38"/>
        </w:trPr>
        <w:tc>
          <w:tcPr>
            <w:tcW w:w="34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Eric J. Carre</w:t>
            </w:r>
          </w:p>
        </w:tc>
        <w:tc>
          <w:tcPr>
            <w:tcW w:w="4220" w:type="dxa"/>
            <w:vAlign w:val="bottom"/>
          </w:tcPr>
          <w:p>
            <w:pPr>
              <w:ind w:left="220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9"/>
              </w:rPr>
              <w:t>/s/ Charles E. Geer, Jr.</w:t>
            </w:r>
          </w:p>
        </w:tc>
        <w:tc>
          <w:tcPr>
            <w:tcW w:w="2080" w:type="dxa"/>
            <w:vAlign w:val="bottom"/>
          </w:tcPr>
          <w:p>
            <w:pPr>
              <w:spacing w:after="0"/>
              <w:rPr>
                <w:sz w:val="16"/>
                <w:szCs w:val="16"/>
                <w:color w:val="auto"/>
              </w:rPr>
            </w:pPr>
          </w:p>
        </w:tc>
        <w:tc>
          <w:tcPr>
            <w:tcW w:w="3760" w:type="dxa"/>
            <w:vAlign w:val="bottom"/>
          </w:tcPr>
          <w:p>
            <w:pPr>
              <w:ind w:left="1980"/>
              <w:spacing w:after="0"/>
              <w:rPr>
                <w:sz w:val="20"/>
                <w:szCs w:val="20"/>
                <w:color w:val="auto"/>
              </w:rPr>
            </w:pPr>
            <w:r>
              <w:rPr>
                <w:rFonts w:ascii="Times New Roman" w:cs="Times New Roman" w:eastAsia="Times New Roman" w:hAnsi="Times New Roman"/>
                <w:sz w:val="17"/>
                <w:szCs w:val="17"/>
                <w:color w:val="auto"/>
                <w:w w:val="99"/>
              </w:rPr>
              <w:t>Senior Vice President and</w:t>
            </w:r>
          </w:p>
        </w:tc>
      </w:tr>
      <w:tr>
        <w:trPr>
          <w:trHeight w:val="238"/>
        </w:trPr>
        <w:tc>
          <w:tcPr>
            <w:tcW w:w="36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Charles E. Geer, Jr.</w:t>
            </w:r>
          </w:p>
        </w:tc>
        <w:tc>
          <w:tcPr>
            <w:tcW w:w="3760" w:type="dxa"/>
            <w:vAlign w:val="bottom"/>
          </w:tcPr>
          <w:p>
            <w:pPr>
              <w:ind w:left="1980"/>
              <w:spacing w:after="0"/>
              <w:rPr>
                <w:sz w:val="20"/>
                <w:szCs w:val="20"/>
                <w:color w:val="auto"/>
              </w:rPr>
            </w:pPr>
            <w:r>
              <w:rPr>
                <w:rFonts w:ascii="Times New Roman" w:cs="Times New Roman" w:eastAsia="Times New Roman" w:hAnsi="Times New Roman"/>
                <w:sz w:val="17"/>
                <w:szCs w:val="17"/>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6"/>
              </w:rPr>
              <w:t>Table of Contents</w:t>
            </w:r>
          </w:p>
        </w:tc>
        <w:tc>
          <w:tcPr>
            <w:tcW w:w="1940" w:type="dxa"/>
            <w:vAlign w:val="bottom"/>
            <w:gridSpan w:val="10"/>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754"/>
        </w:trPr>
        <w:tc>
          <w:tcPr>
            <w:tcW w:w="6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8"/>
              </w:rPr>
              <w:t>Signature</w:t>
            </w:r>
          </w:p>
        </w:tc>
        <w:tc>
          <w:tcPr>
            <w:tcW w:w="2520" w:type="dxa"/>
            <w:vAlign w:val="bottom"/>
            <w:gridSpan w:val="11"/>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Title</w:t>
            </w:r>
          </w:p>
        </w:tc>
      </w:tr>
      <w:tr>
        <w:trPr>
          <w:trHeight w:val="20"/>
        </w:trPr>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3160" w:type="dxa"/>
            <w:vAlign w:val="bottom"/>
            <w:gridSpan w:val="12"/>
          </w:tcPr>
          <w:p>
            <w:pPr>
              <w:ind w:left="20"/>
              <w:spacing w:after="0"/>
              <w:rPr>
                <w:sz w:val="20"/>
                <w:szCs w:val="20"/>
                <w:color w:val="auto"/>
              </w:rPr>
            </w:pPr>
            <w:r>
              <w:rPr>
                <w:rFonts w:ascii="Times New Roman" w:cs="Times New Roman" w:eastAsia="Times New Roman" w:hAnsi="Times New Roman"/>
                <w:sz w:val="17"/>
                <w:szCs w:val="17"/>
                <w:color w:val="auto"/>
              </w:rPr>
              <w:t>/s/ Abdulaziz F. Al Khayyal</w:t>
            </w:r>
          </w:p>
        </w:tc>
        <w:tc>
          <w:tcPr>
            <w:tcW w:w="1740" w:type="dxa"/>
            <w:vAlign w:val="bottom"/>
            <w:gridSpan w:val="3"/>
          </w:tcPr>
          <w:p>
            <w:pPr>
              <w:ind w:left="1160"/>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0"/>
        </w:trPr>
        <w:tc>
          <w:tcPr>
            <w:tcW w:w="20" w:type="dxa"/>
            <w:vAlign w:val="bottom"/>
            <w:shd w:val="clear" w:color="auto" w:fill="000000"/>
          </w:tcPr>
          <w:p>
            <w:pPr>
              <w:spacing w:after="0" w:line="20" w:lineRule="exact"/>
              <w:rPr>
                <w:sz w:val="1"/>
                <w:szCs w:val="1"/>
                <w:color w:val="auto"/>
              </w:rPr>
            </w:pPr>
          </w:p>
        </w:tc>
        <w:tc>
          <w:tcPr>
            <w:tcW w:w="12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3160" w:type="dxa"/>
            <w:vAlign w:val="bottom"/>
            <w:gridSpan w:val="12"/>
          </w:tcPr>
          <w:p>
            <w:pPr>
              <w:ind w:left="280"/>
              <w:spacing w:after="0"/>
              <w:rPr>
                <w:sz w:val="20"/>
                <w:szCs w:val="20"/>
                <w:color w:val="auto"/>
              </w:rPr>
            </w:pPr>
            <w:r>
              <w:rPr>
                <w:rFonts w:ascii="Times New Roman" w:cs="Times New Roman" w:eastAsia="Times New Roman" w:hAnsi="Times New Roman"/>
                <w:sz w:val="17"/>
                <w:szCs w:val="17"/>
                <w:color w:val="auto"/>
              </w:rPr>
              <w:t>Abdulaziz F. Al Khayyal</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25"/>
        </w:trPr>
        <w:tc>
          <w:tcPr>
            <w:tcW w:w="162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7"/>
                <w:szCs w:val="17"/>
                <w:color w:val="auto"/>
              </w:rPr>
              <w:t>/s/ William E. Albrecht</w:t>
            </w:r>
          </w:p>
        </w:tc>
        <w:tc>
          <w:tcPr>
            <w:tcW w:w="1560" w:type="dxa"/>
            <w:vAlign w:val="bottom"/>
            <w:gridSpan w:val="2"/>
          </w:tcPr>
          <w:p>
            <w:pPr>
              <w:spacing w:after="0"/>
              <w:rPr>
                <w:sz w:val="24"/>
                <w:szCs w:val="24"/>
                <w:color w:val="auto"/>
              </w:rPr>
            </w:pPr>
          </w:p>
        </w:tc>
        <w:tc>
          <w:tcPr>
            <w:tcW w:w="1740" w:type="dxa"/>
            <w:vAlign w:val="bottom"/>
            <w:gridSpan w:val="3"/>
          </w:tcPr>
          <w:p>
            <w:pPr>
              <w:ind w:left="1160"/>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38"/>
        </w:trPr>
        <w:tc>
          <w:tcPr>
            <w:tcW w:w="20" w:type="dxa"/>
            <w:vAlign w:val="bottom"/>
          </w:tcPr>
          <w:p>
            <w:pPr>
              <w:spacing w:after="0"/>
              <w:rPr>
                <w:sz w:val="20"/>
                <w:szCs w:val="20"/>
                <w:color w:val="auto"/>
              </w:rPr>
            </w:pPr>
          </w:p>
        </w:tc>
        <w:tc>
          <w:tcPr>
            <w:tcW w:w="3160" w:type="dxa"/>
            <w:vAlign w:val="bottom"/>
            <w:gridSpan w:val="12"/>
          </w:tcPr>
          <w:p>
            <w:pPr>
              <w:ind w:left="280"/>
              <w:spacing w:after="0"/>
              <w:rPr>
                <w:sz w:val="20"/>
                <w:szCs w:val="20"/>
                <w:color w:val="auto"/>
              </w:rPr>
            </w:pPr>
            <w:r>
              <w:rPr>
                <w:rFonts w:ascii="Times New Roman" w:cs="Times New Roman" w:eastAsia="Times New Roman" w:hAnsi="Times New Roman"/>
                <w:sz w:val="17"/>
                <w:szCs w:val="17"/>
                <w:color w:val="auto"/>
              </w:rPr>
              <w:t>William E. Albrecht</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25"/>
        </w:trPr>
        <w:tc>
          <w:tcPr>
            <w:tcW w:w="160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7"/>
                <w:szCs w:val="17"/>
                <w:color w:val="auto"/>
              </w:rPr>
              <w:t>/s/ M. Katherine Banks</w:t>
            </w:r>
          </w:p>
        </w:tc>
        <w:tc>
          <w:tcPr>
            <w:tcW w:w="1580" w:type="dxa"/>
            <w:vAlign w:val="bottom"/>
            <w:gridSpan w:val="3"/>
          </w:tcPr>
          <w:p>
            <w:pPr>
              <w:spacing w:after="0"/>
              <w:rPr>
                <w:sz w:val="24"/>
                <w:szCs w:val="24"/>
                <w:color w:val="auto"/>
              </w:rPr>
            </w:pPr>
          </w:p>
        </w:tc>
        <w:tc>
          <w:tcPr>
            <w:tcW w:w="1740" w:type="dxa"/>
            <w:vAlign w:val="bottom"/>
            <w:gridSpan w:val="3"/>
          </w:tcPr>
          <w:p>
            <w:pPr>
              <w:ind w:left="1160"/>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38"/>
        </w:trPr>
        <w:tc>
          <w:tcPr>
            <w:tcW w:w="20" w:type="dxa"/>
            <w:vAlign w:val="bottom"/>
          </w:tcPr>
          <w:p>
            <w:pPr>
              <w:spacing w:after="0"/>
              <w:rPr>
                <w:sz w:val="20"/>
                <w:szCs w:val="20"/>
                <w:color w:val="auto"/>
              </w:rPr>
            </w:pPr>
          </w:p>
        </w:tc>
        <w:tc>
          <w:tcPr>
            <w:tcW w:w="3160" w:type="dxa"/>
            <w:vAlign w:val="bottom"/>
            <w:gridSpan w:val="12"/>
          </w:tcPr>
          <w:p>
            <w:pPr>
              <w:ind w:left="280"/>
              <w:spacing w:after="0"/>
              <w:rPr>
                <w:sz w:val="20"/>
                <w:szCs w:val="20"/>
                <w:color w:val="auto"/>
              </w:rPr>
            </w:pPr>
            <w:r>
              <w:rPr>
                <w:rFonts w:ascii="Times New Roman" w:cs="Times New Roman" w:eastAsia="Times New Roman" w:hAnsi="Times New Roman"/>
                <w:sz w:val="17"/>
                <w:szCs w:val="17"/>
                <w:color w:val="auto"/>
              </w:rPr>
              <w:t>M. Katherine Banks</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25"/>
        </w:trPr>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7"/>
                <w:szCs w:val="17"/>
                <w:color w:val="auto"/>
                <w:w w:val="99"/>
              </w:rPr>
              <w:t>/s/ Alan M. Bennett</w:t>
            </w:r>
          </w:p>
        </w:tc>
        <w:tc>
          <w:tcPr>
            <w:tcW w:w="1780" w:type="dxa"/>
            <w:vAlign w:val="bottom"/>
            <w:gridSpan w:val="7"/>
          </w:tcPr>
          <w:p>
            <w:pPr>
              <w:spacing w:after="0"/>
              <w:rPr>
                <w:sz w:val="24"/>
                <w:szCs w:val="24"/>
                <w:color w:val="auto"/>
              </w:rPr>
            </w:pPr>
          </w:p>
        </w:tc>
        <w:tc>
          <w:tcPr>
            <w:tcW w:w="1740" w:type="dxa"/>
            <w:vAlign w:val="bottom"/>
            <w:gridSpan w:val="3"/>
          </w:tcPr>
          <w:p>
            <w:pPr>
              <w:ind w:left="1160"/>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38"/>
        </w:trPr>
        <w:tc>
          <w:tcPr>
            <w:tcW w:w="20" w:type="dxa"/>
            <w:vAlign w:val="bottom"/>
          </w:tcPr>
          <w:p>
            <w:pPr>
              <w:spacing w:after="0"/>
              <w:rPr>
                <w:sz w:val="20"/>
                <w:szCs w:val="20"/>
                <w:color w:val="auto"/>
              </w:rPr>
            </w:pPr>
          </w:p>
        </w:tc>
        <w:tc>
          <w:tcPr>
            <w:tcW w:w="3160" w:type="dxa"/>
            <w:vAlign w:val="bottom"/>
            <w:gridSpan w:val="12"/>
          </w:tcPr>
          <w:p>
            <w:pPr>
              <w:ind w:left="280"/>
              <w:spacing w:after="0"/>
              <w:rPr>
                <w:sz w:val="20"/>
                <w:szCs w:val="20"/>
                <w:color w:val="auto"/>
              </w:rPr>
            </w:pPr>
            <w:r>
              <w:rPr>
                <w:rFonts w:ascii="Times New Roman" w:cs="Times New Roman" w:eastAsia="Times New Roman" w:hAnsi="Times New Roman"/>
                <w:sz w:val="17"/>
                <w:szCs w:val="17"/>
                <w:color w:val="auto"/>
              </w:rPr>
              <w:t>Alan M. Bennett</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25"/>
        </w:trPr>
        <w:tc>
          <w:tcPr>
            <w:tcW w:w="20" w:type="dxa"/>
            <w:vAlign w:val="bottom"/>
          </w:tcPr>
          <w:p>
            <w:pPr>
              <w:spacing w:after="0"/>
              <w:rPr>
                <w:sz w:val="24"/>
                <w:szCs w:val="24"/>
                <w:color w:val="auto"/>
              </w:rPr>
            </w:pPr>
          </w:p>
        </w:tc>
        <w:tc>
          <w:tcPr>
            <w:tcW w:w="3160" w:type="dxa"/>
            <w:vAlign w:val="bottom"/>
            <w:gridSpan w:val="12"/>
          </w:tcPr>
          <w:p>
            <w:pPr>
              <w:ind w:left="20"/>
              <w:spacing w:after="0"/>
              <w:rPr>
                <w:sz w:val="20"/>
                <w:szCs w:val="20"/>
                <w:color w:val="auto"/>
              </w:rPr>
            </w:pPr>
            <w:r>
              <w:rPr>
                <w:rFonts w:ascii="Times New Roman" w:cs="Times New Roman" w:eastAsia="Times New Roman" w:hAnsi="Times New Roman"/>
                <w:sz w:val="17"/>
                <w:szCs w:val="17"/>
                <w:color w:val="auto"/>
              </w:rPr>
              <w:t>/s/ Milton Carroll</w:t>
            </w:r>
          </w:p>
        </w:tc>
        <w:tc>
          <w:tcPr>
            <w:tcW w:w="1740" w:type="dxa"/>
            <w:vAlign w:val="bottom"/>
            <w:gridSpan w:val="3"/>
          </w:tcPr>
          <w:p>
            <w:pPr>
              <w:ind w:left="1160"/>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0"/>
        </w:trPr>
        <w:tc>
          <w:tcPr>
            <w:tcW w:w="20" w:type="dxa"/>
            <w:vAlign w:val="bottom"/>
            <w:shd w:val="clear" w:color="auto" w:fill="000000"/>
          </w:tcPr>
          <w:p>
            <w:pPr>
              <w:spacing w:after="0" w:line="20" w:lineRule="exact"/>
              <w:rPr>
                <w:sz w:val="1"/>
                <w:szCs w:val="1"/>
                <w:color w:val="auto"/>
              </w:rPr>
            </w:pPr>
          </w:p>
        </w:tc>
        <w:tc>
          <w:tcPr>
            <w:tcW w:w="12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3160" w:type="dxa"/>
            <w:vAlign w:val="bottom"/>
            <w:gridSpan w:val="12"/>
          </w:tcPr>
          <w:p>
            <w:pPr>
              <w:ind w:left="280"/>
              <w:spacing w:after="0"/>
              <w:rPr>
                <w:sz w:val="20"/>
                <w:szCs w:val="20"/>
                <w:color w:val="auto"/>
              </w:rPr>
            </w:pPr>
            <w:r>
              <w:rPr>
                <w:rFonts w:ascii="Times New Roman" w:cs="Times New Roman" w:eastAsia="Times New Roman" w:hAnsi="Times New Roman"/>
                <w:sz w:val="17"/>
                <w:szCs w:val="17"/>
                <w:color w:val="auto"/>
              </w:rPr>
              <w:t>Milton Carroll</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25"/>
        </w:trPr>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7"/>
                <w:szCs w:val="17"/>
                <w:color w:val="auto"/>
              </w:rPr>
              <w:t>/s/ Earl M. Cummings</w:t>
            </w:r>
          </w:p>
        </w:tc>
        <w:tc>
          <w:tcPr>
            <w:tcW w:w="1600" w:type="dxa"/>
            <w:vAlign w:val="bottom"/>
            <w:gridSpan w:val="4"/>
          </w:tcPr>
          <w:p>
            <w:pPr>
              <w:spacing w:after="0"/>
              <w:rPr>
                <w:sz w:val="24"/>
                <w:szCs w:val="24"/>
                <w:color w:val="auto"/>
              </w:rPr>
            </w:pPr>
          </w:p>
        </w:tc>
        <w:tc>
          <w:tcPr>
            <w:tcW w:w="1740" w:type="dxa"/>
            <w:vAlign w:val="bottom"/>
            <w:gridSpan w:val="3"/>
          </w:tcPr>
          <w:p>
            <w:pPr>
              <w:ind w:left="1160"/>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38"/>
        </w:trPr>
        <w:tc>
          <w:tcPr>
            <w:tcW w:w="20" w:type="dxa"/>
            <w:vAlign w:val="bottom"/>
          </w:tcPr>
          <w:p>
            <w:pPr>
              <w:spacing w:after="0"/>
              <w:rPr>
                <w:sz w:val="20"/>
                <w:szCs w:val="20"/>
                <w:color w:val="auto"/>
              </w:rPr>
            </w:pPr>
          </w:p>
        </w:tc>
        <w:tc>
          <w:tcPr>
            <w:tcW w:w="3160" w:type="dxa"/>
            <w:vAlign w:val="bottom"/>
            <w:gridSpan w:val="12"/>
          </w:tcPr>
          <w:p>
            <w:pPr>
              <w:ind w:left="280"/>
              <w:spacing w:after="0"/>
              <w:rPr>
                <w:sz w:val="20"/>
                <w:szCs w:val="20"/>
                <w:color w:val="auto"/>
              </w:rPr>
            </w:pPr>
            <w:r>
              <w:rPr>
                <w:rFonts w:ascii="Times New Roman" w:cs="Times New Roman" w:eastAsia="Times New Roman" w:hAnsi="Times New Roman"/>
                <w:sz w:val="17"/>
                <w:szCs w:val="17"/>
                <w:color w:val="auto"/>
              </w:rPr>
              <w:t>Earl M. Cummings</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25"/>
        </w:trPr>
        <w:tc>
          <w:tcPr>
            <w:tcW w:w="318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/s/ Murry S. Gerber</w:t>
            </w:r>
          </w:p>
        </w:tc>
        <w:tc>
          <w:tcPr>
            <w:tcW w:w="1740" w:type="dxa"/>
            <w:vAlign w:val="bottom"/>
            <w:gridSpan w:val="3"/>
          </w:tcPr>
          <w:p>
            <w:pPr>
              <w:ind w:left="1160"/>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0"/>
        </w:trPr>
        <w:tc>
          <w:tcPr>
            <w:tcW w:w="20" w:type="dxa"/>
            <w:vAlign w:val="bottom"/>
            <w:shd w:val="clear" w:color="auto" w:fill="000000"/>
          </w:tcPr>
          <w:p>
            <w:pPr>
              <w:spacing w:after="0" w:line="20" w:lineRule="exact"/>
              <w:rPr>
                <w:sz w:val="1"/>
                <w:szCs w:val="1"/>
                <w:color w:val="auto"/>
              </w:rPr>
            </w:pPr>
          </w:p>
        </w:tc>
        <w:tc>
          <w:tcPr>
            <w:tcW w:w="12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3160" w:type="dxa"/>
            <w:vAlign w:val="bottom"/>
            <w:gridSpan w:val="12"/>
          </w:tcPr>
          <w:p>
            <w:pPr>
              <w:ind w:left="280"/>
              <w:spacing w:after="0"/>
              <w:rPr>
                <w:sz w:val="20"/>
                <w:szCs w:val="20"/>
                <w:color w:val="auto"/>
              </w:rPr>
            </w:pPr>
            <w:r>
              <w:rPr>
                <w:rFonts w:ascii="Times New Roman" w:cs="Times New Roman" w:eastAsia="Times New Roman" w:hAnsi="Times New Roman"/>
                <w:sz w:val="17"/>
                <w:szCs w:val="17"/>
                <w:color w:val="auto"/>
              </w:rPr>
              <w:t>Murry S. Gerber</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25"/>
        </w:trPr>
        <w:tc>
          <w:tcPr>
            <w:tcW w:w="14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/s/ Robert A. Malone</w:t>
            </w:r>
          </w:p>
        </w:tc>
        <w:tc>
          <w:tcPr>
            <w:tcW w:w="1720" w:type="dxa"/>
            <w:vAlign w:val="bottom"/>
            <w:gridSpan w:val="5"/>
          </w:tcPr>
          <w:p>
            <w:pPr>
              <w:spacing w:after="0"/>
              <w:rPr>
                <w:sz w:val="24"/>
                <w:szCs w:val="24"/>
                <w:color w:val="auto"/>
              </w:rPr>
            </w:pPr>
          </w:p>
        </w:tc>
        <w:tc>
          <w:tcPr>
            <w:tcW w:w="1740" w:type="dxa"/>
            <w:vAlign w:val="bottom"/>
            <w:gridSpan w:val="3"/>
          </w:tcPr>
          <w:p>
            <w:pPr>
              <w:ind w:left="1160"/>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38"/>
        </w:trPr>
        <w:tc>
          <w:tcPr>
            <w:tcW w:w="20" w:type="dxa"/>
            <w:vAlign w:val="bottom"/>
          </w:tcPr>
          <w:p>
            <w:pPr>
              <w:spacing w:after="0"/>
              <w:rPr>
                <w:sz w:val="20"/>
                <w:szCs w:val="20"/>
                <w:color w:val="auto"/>
              </w:rPr>
            </w:pPr>
          </w:p>
        </w:tc>
        <w:tc>
          <w:tcPr>
            <w:tcW w:w="3160" w:type="dxa"/>
            <w:vAlign w:val="bottom"/>
            <w:gridSpan w:val="12"/>
          </w:tcPr>
          <w:p>
            <w:pPr>
              <w:ind w:left="280"/>
              <w:spacing w:after="0"/>
              <w:rPr>
                <w:sz w:val="20"/>
                <w:szCs w:val="20"/>
                <w:color w:val="auto"/>
              </w:rPr>
            </w:pPr>
            <w:r>
              <w:rPr>
                <w:rFonts w:ascii="Times New Roman" w:cs="Times New Roman" w:eastAsia="Times New Roman" w:hAnsi="Times New Roman"/>
                <w:sz w:val="17"/>
                <w:szCs w:val="17"/>
                <w:color w:val="auto"/>
              </w:rPr>
              <w:t>Robert A. Malone</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25"/>
        </w:trPr>
        <w:tc>
          <w:tcPr>
            <w:tcW w:w="13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w w:val="98"/>
              </w:rPr>
              <w:t>/s/ Bhavesh V. Patel</w:t>
            </w:r>
          </w:p>
        </w:tc>
        <w:tc>
          <w:tcPr>
            <w:tcW w:w="1800" w:type="dxa"/>
            <w:vAlign w:val="bottom"/>
            <w:gridSpan w:val="8"/>
          </w:tcPr>
          <w:p>
            <w:pPr>
              <w:spacing w:after="0"/>
              <w:rPr>
                <w:sz w:val="24"/>
                <w:szCs w:val="24"/>
                <w:color w:val="auto"/>
              </w:rPr>
            </w:pPr>
          </w:p>
        </w:tc>
        <w:tc>
          <w:tcPr>
            <w:tcW w:w="1740" w:type="dxa"/>
            <w:vAlign w:val="bottom"/>
            <w:gridSpan w:val="3"/>
          </w:tcPr>
          <w:p>
            <w:pPr>
              <w:ind w:left="1160"/>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38"/>
        </w:trPr>
        <w:tc>
          <w:tcPr>
            <w:tcW w:w="20" w:type="dxa"/>
            <w:vAlign w:val="bottom"/>
          </w:tcPr>
          <w:p>
            <w:pPr>
              <w:spacing w:after="0"/>
              <w:rPr>
                <w:sz w:val="20"/>
                <w:szCs w:val="20"/>
                <w:color w:val="auto"/>
              </w:rPr>
            </w:pPr>
          </w:p>
        </w:tc>
        <w:tc>
          <w:tcPr>
            <w:tcW w:w="3160" w:type="dxa"/>
            <w:vAlign w:val="bottom"/>
            <w:gridSpan w:val="12"/>
          </w:tcPr>
          <w:p>
            <w:pPr>
              <w:ind w:left="280"/>
              <w:spacing w:after="0"/>
              <w:rPr>
                <w:sz w:val="20"/>
                <w:szCs w:val="20"/>
                <w:color w:val="auto"/>
              </w:rPr>
            </w:pPr>
            <w:r>
              <w:rPr>
                <w:rFonts w:ascii="Times New Roman" w:cs="Times New Roman" w:eastAsia="Times New Roman" w:hAnsi="Times New Roman"/>
                <w:sz w:val="17"/>
                <w:szCs w:val="17"/>
                <w:color w:val="auto"/>
              </w:rPr>
              <w:t>Bhavesh V. Patel</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25"/>
        </w:trPr>
        <w:tc>
          <w:tcPr>
            <w:tcW w:w="14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7"/>
                <w:szCs w:val="17"/>
                <w:color w:val="auto"/>
              </w:rPr>
              <w:t>/s/ Maurice S. Smith</w:t>
            </w:r>
          </w:p>
        </w:tc>
        <w:tc>
          <w:tcPr>
            <w:tcW w:w="1760" w:type="dxa"/>
            <w:vAlign w:val="bottom"/>
            <w:gridSpan w:val="6"/>
          </w:tcPr>
          <w:p>
            <w:pPr>
              <w:spacing w:after="0"/>
              <w:rPr>
                <w:sz w:val="24"/>
                <w:szCs w:val="24"/>
                <w:color w:val="auto"/>
              </w:rPr>
            </w:pPr>
          </w:p>
        </w:tc>
        <w:tc>
          <w:tcPr>
            <w:tcW w:w="1740" w:type="dxa"/>
            <w:vAlign w:val="bottom"/>
            <w:gridSpan w:val="3"/>
          </w:tcPr>
          <w:p>
            <w:pPr>
              <w:ind w:left="1160"/>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38"/>
        </w:trPr>
        <w:tc>
          <w:tcPr>
            <w:tcW w:w="20" w:type="dxa"/>
            <w:vAlign w:val="bottom"/>
          </w:tcPr>
          <w:p>
            <w:pPr>
              <w:spacing w:after="0"/>
              <w:rPr>
                <w:sz w:val="20"/>
                <w:szCs w:val="20"/>
                <w:color w:val="auto"/>
              </w:rPr>
            </w:pPr>
          </w:p>
        </w:tc>
        <w:tc>
          <w:tcPr>
            <w:tcW w:w="3160" w:type="dxa"/>
            <w:vAlign w:val="bottom"/>
            <w:gridSpan w:val="12"/>
          </w:tcPr>
          <w:p>
            <w:pPr>
              <w:ind w:left="280"/>
              <w:spacing w:after="0"/>
              <w:rPr>
                <w:sz w:val="20"/>
                <w:szCs w:val="20"/>
                <w:color w:val="auto"/>
              </w:rPr>
            </w:pPr>
            <w:r>
              <w:rPr>
                <w:rFonts w:ascii="Times New Roman" w:cs="Times New Roman" w:eastAsia="Times New Roman" w:hAnsi="Times New Roman"/>
                <w:sz w:val="17"/>
                <w:szCs w:val="17"/>
                <w:color w:val="auto"/>
              </w:rPr>
              <w:t>Maurice S. Smith</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25"/>
        </w:trPr>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 Janet L. Weiss</w:t>
            </w:r>
          </w:p>
        </w:tc>
        <w:tc>
          <w:tcPr>
            <w:tcW w:w="1940" w:type="dxa"/>
            <w:vAlign w:val="bottom"/>
            <w:gridSpan w:val="10"/>
          </w:tcPr>
          <w:p>
            <w:pPr>
              <w:spacing w:after="0"/>
              <w:rPr>
                <w:sz w:val="24"/>
                <w:szCs w:val="24"/>
                <w:color w:val="auto"/>
              </w:rPr>
            </w:pPr>
          </w:p>
        </w:tc>
        <w:tc>
          <w:tcPr>
            <w:tcW w:w="1740" w:type="dxa"/>
            <w:vAlign w:val="bottom"/>
            <w:gridSpan w:val="3"/>
          </w:tcPr>
          <w:p>
            <w:pPr>
              <w:ind w:left="1160"/>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38"/>
        </w:trPr>
        <w:tc>
          <w:tcPr>
            <w:tcW w:w="20" w:type="dxa"/>
            <w:vAlign w:val="bottom"/>
          </w:tcPr>
          <w:p>
            <w:pPr>
              <w:spacing w:after="0"/>
              <w:rPr>
                <w:sz w:val="20"/>
                <w:szCs w:val="20"/>
                <w:color w:val="auto"/>
              </w:rPr>
            </w:pPr>
          </w:p>
        </w:tc>
        <w:tc>
          <w:tcPr>
            <w:tcW w:w="3160" w:type="dxa"/>
            <w:vAlign w:val="bottom"/>
            <w:gridSpan w:val="12"/>
          </w:tcPr>
          <w:p>
            <w:pPr>
              <w:ind w:left="280"/>
              <w:spacing w:after="0"/>
              <w:rPr>
                <w:sz w:val="20"/>
                <w:szCs w:val="20"/>
                <w:color w:val="auto"/>
              </w:rPr>
            </w:pPr>
            <w:r>
              <w:rPr>
                <w:rFonts w:ascii="Times New Roman" w:cs="Times New Roman" w:eastAsia="Times New Roman" w:hAnsi="Times New Roman"/>
                <w:sz w:val="17"/>
                <w:szCs w:val="17"/>
                <w:color w:val="auto"/>
              </w:rPr>
              <w:t>Janet L. Weiss</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25"/>
        </w:trPr>
        <w:tc>
          <w:tcPr>
            <w:tcW w:w="196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7"/>
                <w:szCs w:val="17"/>
                <w:color w:val="auto"/>
              </w:rPr>
              <w:t>/s/ Tobi M. Edwards Young</w:t>
            </w:r>
          </w:p>
        </w:tc>
        <w:tc>
          <w:tcPr>
            <w:tcW w:w="1220" w:type="dxa"/>
            <w:vAlign w:val="bottom"/>
          </w:tcPr>
          <w:p>
            <w:pPr>
              <w:spacing w:after="0"/>
              <w:rPr>
                <w:sz w:val="24"/>
                <w:szCs w:val="24"/>
                <w:color w:val="auto"/>
              </w:rPr>
            </w:pPr>
          </w:p>
        </w:tc>
        <w:tc>
          <w:tcPr>
            <w:tcW w:w="1740" w:type="dxa"/>
            <w:vAlign w:val="bottom"/>
            <w:gridSpan w:val="3"/>
          </w:tcPr>
          <w:p>
            <w:pPr>
              <w:ind w:left="1160"/>
              <w:spacing w:after="0"/>
              <w:rPr>
                <w:sz w:val="20"/>
                <w:szCs w:val="20"/>
                <w:color w:val="auto"/>
              </w:rPr>
            </w:pPr>
            <w:r>
              <w:rPr>
                <w:rFonts w:ascii="Times New Roman" w:cs="Times New Roman" w:eastAsia="Times New Roman" w:hAnsi="Times New Roman"/>
                <w:sz w:val="17"/>
                <w:szCs w:val="17"/>
                <w:color w:val="auto"/>
                <w:w w:val="98"/>
              </w:rPr>
              <w:t>Director</w:t>
            </w:r>
          </w:p>
        </w:tc>
      </w:tr>
      <w:tr>
        <w:trPr>
          <w:trHeight w:val="238"/>
        </w:trPr>
        <w:tc>
          <w:tcPr>
            <w:tcW w:w="20" w:type="dxa"/>
            <w:vAlign w:val="bottom"/>
          </w:tcPr>
          <w:p>
            <w:pPr>
              <w:spacing w:after="0"/>
              <w:rPr>
                <w:sz w:val="20"/>
                <w:szCs w:val="20"/>
                <w:color w:val="auto"/>
              </w:rPr>
            </w:pPr>
          </w:p>
        </w:tc>
        <w:tc>
          <w:tcPr>
            <w:tcW w:w="3160" w:type="dxa"/>
            <w:vAlign w:val="bottom"/>
            <w:gridSpan w:val="12"/>
          </w:tcPr>
          <w:p>
            <w:pPr>
              <w:ind w:left="280"/>
              <w:spacing w:after="0"/>
              <w:rPr>
                <w:sz w:val="20"/>
                <w:szCs w:val="20"/>
                <w:color w:val="auto"/>
              </w:rPr>
            </w:pPr>
            <w:r>
              <w:rPr>
                <w:rFonts w:ascii="Times New Roman" w:cs="Times New Roman" w:eastAsia="Times New Roman" w:hAnsi="Times New Roman"/>
                <w:sz w:val="17"/>
                <w:szCs w:val="17"/>
                <w:color w:val="auto"/>
              </w:rPr>
              <w:t>Tobi M. Edwards Young</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HAL 2023 FORM 10-K | 79</w:t>
      </w:r>
    </w:p>
    <w:p>
      <w:pPr>
        <w:sectPr>
          <w:pgSz w:w="11900" w:h="16838" w:orient="portrait"/>
          <w:cols w:equalWidth="0" w:num="1">
            <w:col w:w="11220"/>
          </w:cols>
          <w:pgMar w:left="340" w:top="150" w:right="339" w:bottom="1440" w:gutter="0" w:footer="0" w:header="0"/>
        </w:sectPr>
      </w:pPr>
    </w:p>
    <w:bookmarkStart w:id="81" w:name="page82"/>
    <w:bookmarkEnd w:id="81"/>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THE REGISTRANT’S SECURITIES</w:t>
      </w:r>
    </w:p>
    <w:p>
      <w:pPr>
        <w:jc w:val="center"/>
        <w:spacing w:after="0" w:line="205" w:lineRule="auto"/>
        <w:rPr>
          <w:sz w:val="20"/>
          <w:szCs w:val="20"/>
          <w:color w:val="auto"/>
        </w:rPr>
      </w:pPr>
      <w:r>
        <w:rPr>
          <w:rFonts w:ascii="Times New Roman" w:cs="Times New Roman" w:eastAsia="Times New Roman" w:hAnsi="Times New Roman"/>
          <w:sz w:val="17"/>
          <w:szCs w:val="17"/>
          <w:b w:val="1"/>
          <w:bCs w:val="1"/>
          <w:color w:val="auto"/>
        </w:rPr>
        <w:t>REGISTERED PURSUANT TO SECTION 12 OF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208" w:lineRule="exact"/>
        <w:rPr>
          <w:sz w:val="20"/>
          <w:szCs w:val="20"/>
          <w:color w:val="auto"/>
        </w:rPr>
      </w:pPr>
    </w:p>
    <w:p>
      <w:pPr>
        <w:jc w:val="both"/>
        <w:ind w:firstLine="344"/>
        <w:spacing w:after="0" w:line="224" w:lineRule="auto"/>
        <w:rPr>
          <w:sz w:val="20"/>
          <w:szCs w:val="20"/>
          <w:color w:val="auto"/>
        </w:rPr>
      </w:pPr>
      <w:r>
        <w:rPr>
          <w:rFonts w:ascii="Times New Roman" w:cs="Times New Roman" w:eastAsia="Times New Roman" w:hAnsi="Times New Roman"/>
          <w:sz w:val="17"/>
          <w:szCs w:val="17"/>
          <w:color w:val="auto"/>
        </w:rPr>
        <w:t>The following description of Halliburton’s common stock, preferred stock, certificate of incorporation and by-laws is a summary only and is subject to the complete text of Halliburton’s certificate of incorporation and by-laws. You should read Halliburton’s certificate of incorporation and by-laws as currently in effect</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for more details regarding the provisions described below and for other provisions that may be important to you. This section also summarizes relevant provisions of the Delaware General Corporation Law (“DGCL”). The terms of the DGCL are more detailed than the general information provided below. Therefore, you should carefully consider the actual provisions of these laws.</w:t>
      </w:r>
    </w:p>
    <w:p>
      <w:pPr>
        <w:spacing w:after="0" w:line="190" w:lineRule="exact"/>
        <w:rPr>
          <w:sz w:val="20"/>
          <w:szCs w:val="20"/>
          <w:color w:val="auto"/>
        </w:rPr>
      </w:pPr>
    </w:p>
    <w:p>
      <w:pPr>
        <w:jc w:val="both"/>
        <w:ind w:firstLine="344"/>
        <w:spacing w:after="0" w:line="239" w:lineRule="auto"/>
        <w:rPr>
          <w:sz w:val="20"/>
          <w:szCs w:val="20"/>
          <w:color w:val="auto"/>
        </w:rPr>
      </w:pPr>
      <w:r>
        <w:rPr>
          <w:rFonts w:ascii="Times New Roman" w:cs="Times New Roman" w:eastAsia="Times New Roman" w:hAnsi="Times New Roman"/>
          <w:sz w:val="17"/>
          <w:szCs w:val="17"/>
          <w:color w:val="auto"/>
        </w:rPr>
        <w:t>Halliburton’s authorized capital stock consists of 2,000,000,000 shares of common stock, par value $2.50 per share, and 5,000,000 shares of preferred stock, without par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21" w:lineRule="exact"/>
        <w:rPr>
          <w:sz w:val="20"/>
          <w:szCs w:val="20"/>
          <w:color w:val="auto"/>
        </w:rPr>
      </w:pPr>
    </w:p>
    <w:p>
      <w:pPr>
        <w:jc w:val="both"/>
        <w:ind w:firstLine="344"/>
        <w:spacing w:after="0" w:line="228" w:lineRule="auto"/>
        <w:rPr>
          <w:sz w:val="20"/>
          <w:szCs w:val="20"/>
          <w:color w:val="auto"/>
        </w:rPr>
      </w:pPr>
      <w:r>
        <w:rPr>
          <w:rFonts w:ascii="Times New Roman" w:cs="Times New Roman" w:eastAsia="Times New Roman" w:hAnsi="Times New Roman"/>
          <w:sz w:val="17"/>
          <w:szCs w:val="17"/>
          <w:color w:val="auto"/>
        </w:rPr>
        <w:t>The holders of Halliburton common stock are entitled to one vote per share on all matters to be voted on by stockholders generally, including the election of directors. There are no cumulative voting rights, meaning that the holders of a majority of the shares voting for the election of directors can elect all of the candidates standing for election.</w:t>
      </w:r>
    </w:p>
    <w:p>
      <w:pPr>
        <w:spacing w:after="0" w:line="191" w:lineRule="exact"/>
        <w:rPr>
          <w:sz w:val="20"/>
          <w:szCs w:val="20"/>
          <w:color w:val="auto"/>
        </w:rPr>
      </w:pPr>
    </w:p>
    <w:p>
      <w:pPr>
        <w:jc w:val="both"/>
        <w:ind w:firstLine="344"/>
        <w:spacing w:after="0" w:line="218" w:lineRule="auto"/>
        <w:rPr>
          <w:sz w:val="20"/>
          <w:szCs w:val="20"/>
          <w:color w:val="auto"/>
        </w:rPr>
      </w:pPr>
      <w:r>
        <w:rPr>
          <w:rFonts w:ascii="Times New Roman" w:cs="Times New Roman" w:eastAsia="Times New Roman" w:hAnsi="Times New Roman"/>
          <w:sz w:val="17"/>
          <w:szCs w:val="17"/>
          <w:color w:val="auto"/>
        </w:rPr>
        <w:t>Halliburton’s common stock carries no preemptive or other subscription rights to purchase shares of Halliburton common stock and is not convertible, redeemable or assessable or entitled to the benefits of any sinking fund. Holders of Halliburton common stock will be entitled to receive such dividends as may from time to time be declared by Halliburton’s Board of Directors (the “Board”) out of funds legally available for the payment of dividends. If Halliburton issues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preferred stock in the future, payment of dividends to holders of Halliburton common stock may be subject to the rights of holders of Halliburton preferred stock with respect to payment of preferential dividends, if any.</w:t>
      </w:r>
    </w:p>
    <w:p>
      <w:pPr>
        <w:spacing w:after="0" w:line="178" w:lineRule="exact"/>
        <w:rPr>
          <w:sz w:val="20"/>
          <w:szCs w:val="20"/>
          <w:color w:val="auto"/>
        </w:rPr>
      </w:pPr>
    </w:p>
    <w:p>
      <w:pPr>
        <w:jc w:val="both"/>
        <w:ind w:firstLine="344"/>
        <w:spacing w:after="0" w:line="255" w:lineRule="auto"/>
        <w:rPr>
          <w:sz w:val="20"/>
          <w:szCs w:val="20"/>
          <w:color w:val="auto"/>
        </w:rPr>
      </w:pPr>
      <w:r>
        <w:rPr>
          <w:rFonts w:ascii="Times New Roman" w:cs="Times New Roman" w:eastAsia="Times New Roman" w:hAnsi="Times New Roman"/>
          <w:sz w:val="17"/>
          <w:szCs w:val="17"/>
          <w:color w:val="auto"/>
        </w:rPr>
        <w:t>If Halliburton is liquidated, dissolved or wound up, the holders of Halliburton common stock will share pro rata in Halliburton’s assets after satisfaction of all of its liabilities and the prior rights of any outstanding class of preferred stock.</w:t>
      </w:r>
    </w:p>
    <w:p>
      <w:pPr>
        <w:spacing w:after="0" w:line="165" w:lineRule="exact"/>
        <w:rPr>
          <w:sz w:val="20"/>
          <w:szCs w:val="20"/>
          <w:color w:val="auto"/>
        </w:rPr>
      </w:pPr>
    </w:p>
    <w:p>
      <w:pPr>
        <w:jc w:val="both"/>
        <w:ind w:firstLine="344"/>
        <w:spacing w:after="0" w:line="239" w:lineRule="auto"/>
        <w:rPr>
          <w:sz w:val="20"/>
          <w:szCs w:val="20"/>
          <w:color w:val="auto"/>
        </w:rPr>
      </w:pPr>
      <w:r>
        <w:rPr>
          <w:rFonts w:ascii="Times New Roman" w:cs="Times New Roman" w:eastAsia="Times New Roman" w:hAnsi="Times New Roman"/>
          <w:sz w:val="17"/>
          <w:szCs w:val="17"/>
          <w:color w:val="auto"/>
        </w:rPr>
        <w:t>Halliburton common stock is listed on the New York Stock Exchange under the symbol “HAL.” Any additional common stock that Halliburton will issue will also be listed on the New York Stock Exchange.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08" w:lineRule="exact"/>
        <w:rPr>
          <w:sz w:val="20"/>
          <w:szCs w:val="20"/>
          <w:color w:val="auto"/>
        </w:rPr>
      </w:pPr>
    </w:p>
    <w:p>
      <w:pPr>
        <w:jc w:val="both"/>
        <w:ind w:firstLine="344"/>
        <w:spacing w:after="0" w:line="239" w:lineRule="auto"/>
        <w:rPr>
          <w:sz w:val="20"/>
          <w:szCs w:val="20"/>
          <w:color w:val="auto"/>
        </w:rPr>
      </w:pPr>
      <w:r>
        <w:rPr>
          <w:rFonts w:ascii="Times New Roman" w:cs="Times New Roman" w:eastAsia="Times New Roman" w:hAnsi="Times New Roman"/>
          <w:sz w:val="17"/>
          <w:szCs w:val="17"/>
          <w:color w:val="auto"/>
        </w:rPr>
        <w:t>The Board has the authority, without stockholder approval, to issue shares of preferred stock in one or more series and to fix the number of shares and terms of each series. The Board may determine the designation and other terms of each series, including, among others:</w:t>
      </w:r>
    </w:p>
    <w:p>
      <w:pPr>
        <w:spacing w:after="0" w:line="333" w:lineRule="exact"/>
        <w:rPr>
          <w:sz w:val="20"/>
          <w:szCs w:val="20"/>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 rights;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powers;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preemptive rights;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conversion rights;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redemption rights, including pursuant to a sinking fund;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purchase obligations, including pursuant to a sinking fund; and</w:t>
      </w:r>
    </w:p>
    <w:p>
      <w:pPr>
        <w:spacing w:after="0" w:line="1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liquidation preferences</w:t>
      </w:r>
      <w:r>
        <w:rPr>
          <w:rFonts w:ascii="Calibri" w:cs="Calibri" w:eastAsia="Calibri" w:hAnsi="Calibri"/>
          <w:sz w:val="18"/>
          <w:szCs w:val="18"/>
          <w:color w:val="auto"/>
        </w:rPr>
        <w:t>.</w:t>
      </w:r>
    </w:p>
    <w:p>
      <w:pPr>
        <w:sectPr>
          <w:pgSz w:w="11900" w:h="16838" w:orient="portrait"/>
          <w:cols w:equalWidth="0" w:num="1">
            <w:col w:w="11240"/>
          </w:cols>
          <w:pgMar w:left="320" w:top="1440" w:right="339" w:bottom="1440" w:gutter="0" w:footer="0" w:header="0"/>
        </w:sectPr>
      </w:pPr>
    </w:p>
    <w:bookmarkStart w:id="82" w:name="page83"/>
    <w:bookmarkEnd w:id="82"/>
    <w:p>
      <w:pPr>
        <w:spacing w:after="0" w:line="282" w:lineRule="exact"/>
        <w:rPr>
          <w:sz w:val="20"/>
          <w:szCs w:val="20"/>
          <w:color w:val="auto"/>
        </w:rPr>
      </w:pPr>
    </w:p>
    <w:p>
      <w:pPr>
        <w:jc w:val="both"/>
        <w:ind w:firstLine="344"/>
        <w:spacing w:after="0" w:line="228" w:lineRule="auto"/>
        <w:rPr>
          <w:sz w:val="20"/>
          <w:szCs w:val="20"/>
          <w:color w:val="auto"/>
        </w:rPr>
      </w:pPr>
      <w:r>
        <w:rPr>
          <w:rFonts w:ascii="Times New Roman" w:cs="Times New Roman" w:eastAsia="Times New Roman" w:hAnsi="Times New Roman"/>
          <w:sz w:val="17"/>
          <w:szCs w:val="17"/>
          <w:color w:val="auto"/>
        </w:rPr>
        <w:t>The issuance of preferred stock, while providing desired flexibility in connection with possible acquisitions and other corporate purposes, could adversely affect the voting power of holders of Halliburton common stock. It also could affect the likelihood that holders of Halliburton common stock will receive dividend payments and payments upon liquidation. Shares of preferred stock may be offered either separately or represented by depositary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Anti-Takeover Provisions</w:t>
      </w:r>
    </w:p>
    <w:p>
      <w:pPr>
        <w:spacing w:after="0" w:line="208" w:lineRule="exact"/>
        <w:rPr>
          <w:sz w:val="20"/>
          <w:szCs w:val="20"/>
          <w:color w:val="auto"/>
        </w:rPr>
      </w:pPr>
    </w:p>
    <w:p>
      <w:pPr>
        <w:jc w:val="both"/>
        <w:ind w:firstLine="344"/>
        <w:spacing w:after="0" w:line="224" w:lineRule="auto"/>
        <w:rPr>
          <w:sz w:val="20"/>
          <w:szCs w:val="20"/>
          <w:color w:val="auto"/>
        </w:rPr>
      </w:pPr>
      <w:r>
        <w:rPr>
          <w:rFonts w:ascii="Times New Roman" w:cs="Times New Roman" w:eastAsia="Times New Roman" w:hAnsi="Times New Roman"/>
          <w:sz w:val="17"/>
          <w:szCs w:val="17"/>
          <w:color w:val="auto"/>
        </w:rPr>
        <w:t>Some provisions of Delaware law, Halliburton’s certificate of incorporation and by-laws summarized below could make certain change of control transactions more difficult, including acquisitions of Halliburton by means of a tender offer, proxy contest or otherwise, as well as removal of Halliburton’s incumbent</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directors. These provisions may have the effect of preventing changes in Halliburton’s management. It is possible that these provisions would make it more difficult to accomplish or deter transactions that a stockholder might consider in his or her best interest, including those attempts that might result in a premium over the market price for the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Combinations Under Delaware Law</w:t>
      </w:r>
    </w:p>
    <w:p>
      <w:pPr>
        <w:spacing w:after="0" w:line="208" w:lineRule="exact"/>
        <w:rPr>
          <w:sz w:val="20"/>
          <w:szCs w:val="20"/>
          <w:color w:val="auto"/>
        </w:rPr>
      </w:pPr>
    </w:p>
    <w:p>
      <w:pPr>
        <w:jc w:val="both"/>
        <w:ind w:firstLine="344"/>
        <w:spacing w:after="0" w:line="224" w:lineRule="auto"/>
        <w:rPr>
          <w:sz w:val="20"/>
          <w:szCs w:val="20"/>
          <w:color w:val="auto"/>
        </w:rPr>
      </w:pPr>
      <w:r>
        <w:rPr>
          <w:rFonts w:ascii="Times New Roman" w:cs="Times New Roman" w:eastAsia="Times New Roman" w:hAnsi="Times New Roman"/>
          <w:sz w:val="17"/>
          <w:szCs w:val="17"/>
          <w:color w:val="auto"/>
        </w:rPr>
        <w:t>Halliburton is a Delaware corporation and is subject to Section 203 of the DGCL. Generally, Section 203 prevents (i) a person who owns 15% or more of Halliburton’s outstanding voting stock (an “interested stockholder”), (ii) an affiliate or associate of Halliburton who was also an interested stockholder at any time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within three years immediately prior to the date of determination and (iii) the affiliates and associates of any such persons from engaging in any business combination with Halliburton, including mergers or consolidations or acquisitions of additional shares, for three years following the date that the person became an interested stockholder. These restrictions do not apply if:</w:t>
      </w:r>
    </w:p>
    <w:p>
      <w:pPr>
        <w:spacing w:after="0" w:line="332" w:lineRule="exact"/>
        <w:rPr>
          <w:sz w:val="20"/>
          <w:szCs w:val="20"/>
          <w:color w:val="auto"/>
        </w:rPr>
      </w:pPr>
    </w:p>
    <w:p>
      <w:pPr>
        <w:ind w:left="620" w:hanging="307"/>
        <w:spacing w:after="0" w:line="302"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the person became an interested stockholder, the Board approved either the business combination or the transaction in which the interested stockholder became an interested stockholder;</w:t>
      </w:r>
    </w:p>
    <w:p>
      <w:pPr>
        <w:spacing w:after="0" w:line="75" w:lineRule="exact"/>
        <w:rPr>
          <w:rFonts w:ascii="Times New Roman" w:cs="Times New Roman" w:eastAsia="Times New Roman" w:hAnsi="Times New Roman"/>
          <w:sz w:val="17"/>
          <w:szCs w:val="17"/>
          <w:color w:val="auto"/>
        </w:rPr>
      </w:pPr>
    </w:p>
    <w:p>
      <w:pPr>
        <w:ind w:left="620" w:hanging="307"/>
        <w:spacing w:after="0" w:line="302"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that resulted in the stockholder becoming an interested stockholder, the interested stockholder owned at least 85% of Halliburton voting stock that was outstanding at the time the transaction commenced, other than statutorily excluded shares; or</w:t>
      </w:r>
    </w:p>
    <w:p>
      <w:pPr>
        <w:spacing w:after="0" w:line="75" w:lineRule="exact"/>
        <w:rPr>
          <w:rFonts w:ascii="Times New Roman" w:cs="Times New Roman" w:eastAsia="Times New Roman" w:hAnsi="Times New Roman"/>
          <w:sz w:val="17"/>
          <w:szCs w:val="17"/>
          <w:color w:val="auto"/>
        </w:rPr>
      </w:pPr>
    </w:p>
    <w:p>
      <w:pPr>
        <w:ind w:left="620" w:hanging="307"/>
        <w:spacing w:after="0" w:line="302"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subsequent to the time the stockholder became an interested stockholder, the business combination is approved by both the Board and the holders of at least two-thirds of Halliburton outstanding voting stock that is not owned by the interested stockholder.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Number and Election of Directors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Halliburton’s by-laws provide that the number of directors shall not be less than 8 nor more than 20, with the number of directors to be fixed from time to</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time by or in the manner provided in the by-laws. Halliburton’s by-laws provide that the number of directors shall be fixed by resolution of the Board or by the stockholders at the annual meeting, and that in the event of a vacancy or newly created directorship, the remaining directors have the sole power to fill any such vacancies.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 of Stockholder Actions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Any Halliburton stockholder wishing to submit a nomination to the Board must follow certain procedures contained in Halliburton’s by-laws. In addition,</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Halliburton’s by-laws require written application by a holder of at least 10% of the outstanding Halliburton voting stock entitled to vote on the matter to be presented at the meeting or two or more holders owning in the aggregate at least 25% of the outstanding Halliburton voting stock entitled to vote on the matter to be presented at the meeting to call a special meeting of the Halliburton stockholders. Generally, a notice of a stockholder proposal or nomination of a director</w:t>
      </w:r>
    </w:p>
    <w:p>
      <w:pPr>
        <w:jc w:val="both"/>
        <w:spacing w:after="0" w:line="221" w:lineRule="auto"/>
        <w:rPr>
          <w:sz w:val="20"/>
          <w:szCs w:val="20"/>
          <w:color w:val="auto"/>
        </w:rPr>
      </w:pPr>
      <w:r>
        <w:rPr>
          <w:rFonts w:ascii="Times New Roman" w:cs="Times New Roman" w:eastAsia="Times New Roman" w:hAnsi="Times New Roman"/>
          <w:sz w:val="17"/>
          <w:szCs w:val="17"/>
          <w:color w:val="auto"/>
        </w:rPr>
        <w:t>candidate is timely if it is received not less than 90 days nor more than 120 days prior to the first anniversary of the immediately preceding annual meeting. Halliburton’s by-laws specify the requirements as to form and content of all stockholders’ notices. These requirements may preclude stockholders from bringing matters before the stockholders at an annual or special meeting to the extent they do not comply with the requirements in these advance notice procedures.</w:t>
      </w:r>
    </w:p>
    <w:p>
      <w:pPr>
        <w:sectPr>
          <w:pgSz w:w="11900" w:h="16838" w:orient="portrait"/>
          <w:cols w:equalWidth="0" w:num="1">
            <w:col w:w="11240"/>
          </w:cols>
          <w:pgMar w:left="320" w:top="1440" w:right="339" w:bottom="1440" w:gutter="0" w:footer="0" w:header="0"/>
        </w:sectPr>
      </w:pPr>
    </w:p>
    <w:bookmarkStart w:id="83" w:name="page84"/>
    <w:bookmarkEnd w:id="83"/>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Authorized but Unissued Shares</w:t>
      </w:r>
    </w:p>
    <w:p>
      <w:pPr>
        <w:spacing w:after="0" w:line="208" w:lineRule="exact"/>
        <w:rPr>
          <w:sz w:val="20"/>
          <w:szCs w:val="20"/>
          <w:color w:val="auto"/>
        </w:rPr>
      </w:pPr>
    </w:p>
    <w:p>
      <w:pPr>
        <w:jc w:val="both"/>
        <w:ind w:firstLine="344"/>
        <w:spacing w:after="0" w:line="224" w:lineRule="auto"/>
        <w:rPr>
          <w:sz w:val="20"/>
          <w:szCs w:val="20"/>
          <w:color w:val="auto"/>
        </w:rPr>
      </w:pPr>
      <w:r>
        <w:rPr>
          <w:rFonts w:ascii="Times New Roman" w:cs="Times New Roman" w:eastAsia="Times New Roman" w:hAnsi="Times New Roman"/>
          <w:sz w:val="17"/>
          <w:szCs w:val="17"/>
          <w:color w:val="auto"/>
        </w:rPr>
        <w:t>Halliburton’s certificate of incorporation provides that the authorized but unissued shares of preferred stock are available for future issuance without stockholder approval and does not preclude the future issuance without stockholder approval of the authorized but unissued shares of Halliburton’s common stock.</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These additional shares may be utilized for a variety of corporate purposes, including future public offerings to raise additional capital, corporate acquisitions and employee benefit plans. The existence of authorized but unissued shares of common stock and preferred stock could make it more difficult or discourage an attempt to obtain control of Halliburton by means of a proxy contest, tender offer, merger or otherwise.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Amendments to Halliburton’s By-laws</w:t>
      </w:r>
    </w:p>
    <w:p>
      <w:pPr>
        <w:spacing w:after="0" w:line="208" w:lineRule="exact"/>
        <w:rPr>
          <w:sz w:val="20"/>
          <w:szCs w:val="20"/>
          <w:color w:val="auto"/>
        </w:rPr>
      </w:pPr>
    </w:p>
    <w:p>
      <w:pPr>
        <w:jc w:val="both"/>
        <w:ind w:firstLine="344"/>
        <w:spacing w:after="0" w:line="239" w:lineRule="auto"/>
        <w:rPr>
          <w:sz w:val="20"/>
          <w:szCs w:val="20"/>
          <w:color w:val="auto"/>
        </w:rPr>
      </w:pPr>
      <w:r>
        <w:rPr>
          <w:rFonts w:ascii="Times New Roman" w:cs="Times New Roman" w:eastAsia="Times New Roman" w:hAnsi="Times New Roman"/>
          <w:sz w:val="17"/>
          <w:szCs w:val="17"/>
          <w:color w:val="auto"/>
        </w:rPr>
        <w:t>Halliburton’s by-laws may be amended or repealed or new by-laws may be adopted (i) by the affirmative vote of the majority of the Board or (ii) at any annual or special meeting of the stockholders where a quorum is present by the affirmative vote of the majority of the stockholders entitled to vote at such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 of Director Liability and Indemnification Arrangements</w:t>
      </w:r>
    </w:p>
    <w:p>
      <w:pPr>
        <w:spacing w:after="0" w:line="208" w:lineRule="exact"/>
        <w:rPr>
          <w:sz w:val="20"/>
          <w:szCs w:val="20"/>
          <w:color w:val="auto"/>
        </w:rPr>
      </w:pPr>
    </w:p>
    <w:p>
      <w:pPr>
        <w:jc w:val="both"/>
        <w:ind w:firstLine="344"/>
        <w:spacing w:after="0" w:line="224" w:lineRule="auto"/>
        <w:rPr>
          <w:sz w:val="20"/>
          <w:szCs w:val="20"/>
          <w:color w:val="auto"/>
        </w:rPr>
      </w:pPr>
      <w:r>
        <w:rPr>
          <w:rFonts w:ascii="Times New Roman" w:cs="Times New Roman" w:eastAsia="Times New Roman" w:hAnsi="Times New Roman"/>
          <w:sz w:val="17"/>
          <w:szCs w:val="17"/>
          <w:color w:val="auto"/>
        </w:rPr>
        <w:t>Halliburton’s by-laws contain provisions that provide for indemnification of officers and directors to the fullest extent permitted by, and in the manner permissible under, the DGCL, which empowers a Delaware corporation to indemnify any person who was or is or is threatened to be made a witness in or a party</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to any threatened, pending or completed action, suit or proceeding, whether civil, criminal, administrative or investigative (other than an action by or in the right of the corporation) by reason of the fact that such person is or was a director, officer, employee or agent of such corporation or is or was serving at the request of such corporation as a director, officer, employee or agent of another corporation, partnership, joint venture, trust or other enterprise. The indemnity may include</w:t>
      </w:r>
    </w:p>
    <w:p>
      <w:pPr>
        <w:jc w:val="both"/>
        <w:spacing w:after="0" w:line="211" w:lineRule="auto"/>
        <w:rPr>
          <w:sz w:val="20"/>
          <w:szCs w:val="20"/>
          <w:color w:val="auto"/>
        </w:rPr>
      </w:pPr>
      <w:r>
        <w:rPr>
          <w:rFonts w:ascii="Times New Roman" w:cs="Times New Roman" w:eastAsia="Times New Roman" w:hAnsi="Times New Roman"/>
          <w:sz w:val="17"/>
          <w:szCs w:val="17"/>
          <w:color w:val="auto"/>
        </w:rPr>
        <w:t>expenses (including attorneys’ fees), liabilities, judgments, fines, excise taxes, penalties and amounts paid in settlement actually and reasonably incurred by such person in connection with such action, suit or proceeding, provided that such person acted in good faith and in a manner such person reasonably believed to be in or not opposed to the best interests of the corporation, and, with respect to any criminal action or proceeding, had no reasonable cause to believe such person’s</w:t>
      </w:r>
    </w:p>
    <w:p>
      <w:pPr>
        <w:spacing w:after="0"/>
        <w:rPr>
          <w:sz w:val="20"/>
          <w:szCs w:val="20"/>
          <w:color w:val="auto"/>
        </w:rPr>
      </w:pPr>
      <w:r>
        <w:rPr>
          <w:rFonts w:ascii="Times New Roman" w:cs="Times New Roman" w:eastAsia="Times New Roman" w:hAnsi="Times New Roman"/>
          <w:sz w:val="17"/>
          <w:szCs w:val="17"/>
          <w:color w:val="auto"/>
        </w:rPr>
        <w:t>conduct was unlawful.</w:t>
      </w:r>
    </w:p>
    <w:p>
      <w:pPr>
        <w:spacing w:after="0" w:line="186" w:lineRule="exact"/>
        <w:rPr>
          <w:sz w:val="20"/>
          <w:szCs w:val="20"/>
          <w:color w:val="auto"/>
        </w:rPr>
      </w:pPr>
    </w:p>
    <w:p>
      <w:pPr>
        <w:jc w:val="both"/>
        <w:ind w:firstLine="344"/>
        <w:spacing w:after="0" w:line="224" w:lineRule="auto"/>
        <w:rPr>
          <w:sz w:val="20"/>
          <w:szCs w:val="20"/>
          <w:color w:val="auto"/>
        </w:rPr>
      </w:pPr>
      <w:r>
        <w:rPr>
          <w:rFonts w:ascii="Times New Roman" w:cs="Times New Roman" w:eastAsia="Times New Roman" w:hAnsi="Times New Roman"/>
          <w:sz w:val="17"/>
          <w:szCs w:val="17"/>
          <w:color w:val="auto"/>
        </w:rPr>
        <w:t>As permitted by the DGCL, Halliburton’s certificate of incorporation contains a provision eliminating the personal liability of Halliburton’s directors to Halliburton or Halliburton’s stockholders for monetary damages for breach of fiduciary duty as a director, subject to certain exceptions. Halliburton’s limitation of</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liability and indemnification provisions may discourage stockholders from bringing a lawsuit against directors or officers for breach of their fiduciary duty. These provisions may also have the effect of reducing the likelihood of derivative litigation against directors or officers, even though such an action, if successful, might otherwise benefit Halliburton and stockholders of Halliburton.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transfer agent and registrar for Halliburton common stock is Computershare Shareowner Services LLC.</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THE DEPOSITARY SHARES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may issue shares of preferred stock either separately or represented by depositary shares. We may also, at our option, elect to offer fractional shares of</w:t>
      </w:r>
    </w:p>
    <w:p>
      <w:pPr>
        <w:spacing w:after="0" w:line="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preferred stock. If we exercise this option, we will issue receipts for depositary shares, each of which will represent a fraction of a share of a particular series of preferred stock, to be described in an applicable prospectus supplement.</w:t>
      </w:r>
    </w:p>
    <w:p>
      <w:pPr>
        <w:spacing w:after="0" w:line="178" w:lineRule="exact"/>
        <w:rPr>
          <w:sz w:val="20"/>
          <w:szCs w:val="20"/>
          <w:color w:val="auto"/>
        </w:rPr>
      </w:pPr>
    </w:p>
    <w:p>
      <w:pPr>
        <w:jc w:val="both"/>
        <w:ind w:firstLine="344"/>
        <w:spacing w:after="0" w:line="224" w:lineRule="auto"/>
        <w:rPr>
          <w:sz w:val="20"/>
          <w:szCs w:val="20"/>
          <w:color w:val="auto"/>
        </w:rPr>
      </w:pPr>
      <w:r>
        <w:rPr>
          <w:rFonts w:ascii="Times New Roman" w:cs="Times New Roman" w:eastAsia="Times New Roman" w:hAnsi="Times New Roman"/>
          <w:sz w:val="17"/>
          <w:szCs w:val="17"/>
          <w:color w:val="auto"/>
        </w:rPr>
        <w:t>The shares represented by depositary shares will be deposited under a deposit agreement between us and a bank or trust company selected by us and having its principal office in the United States and having a combined capital and surplus of at least $50,000,000. Subject to the terms of the deposit agreement, each</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owner of a depositary share will be entitled, in proportion to the applicable share or fraction thereof represented by the depositary share, to all of the rights and preferences, if any, of the share represented thereby, including any dividend, voting, redemption, conversion and liquidation rights. The depositary shares will be evidenced by depositary receipts issued pursuant to the deposit agreement.</w:t>
      </w:r>
    </w:p>
    <w:p>
      <w:pPr>
        <w:spacing w:after="0" w:line="190" w:lineRule="exact"/>
        <w:rPr>
          <w:sz w:val="20"/>
          <w:szCs w:val="20"/>
          <w:color w:val="auto"/>
        </w:rPr>
      </w:pPr>
    </w:p>
    <w:p>
      <w:pPr>
        <w:jc w:val="both"/>
        <w:ind w:firstLine="344"/>
        <w:spacing w:after="0" w:line="216" w:lineRule="auto"/>
        <w:rPr>
          <w:sz w:val="20"/>
          <w:szCs w:val="20"/>
          <w:color w:val="auto"/>
        </w:rPr>
      </w:pPr>
      <w:r>
        <w:rPr>
          <w:rFonts w:ascii="Times New Roman" w:cs="Times New Roman" w:eastAsia="Times New Roman" w:hAnsi="Times New Roman"/>
          <w:sz w:val="17"/>
          <w:szCs w:val="17"/>
          <w:color w:val="auto"/>
        </w:rPr>
        <w:t>The prospectus supplement relating to any depositary shares being offered will include specific terms relating to the offering, including a discussion of certain United States federal income tax consequences.</w:t>
      </w:r>
    </w:p>
    <w:p>
      <w:pPr>
        <w:spacing w:after="0" w:line="1" w:lineRule="exact"/>
        <w:rPr>
          <w:sz w:val="20"/>
          <w:szCs w:val="20"/>
          <w:color w:val="auto"/>
        </w:rPr>
      </w:pPr>
    </w:p>
    <w:p>
      <w:pPr>
        <w:jc w:val="both"/>
        <w:ind w:firstLine="344"/>
        <w:spacing w:after="0" w:line="236" w:lineRule="auto"/>
        <w:rPr>
          <w:sz w:val="20"/>
          <w:szCs w:val="20"/>
          <w:color w:val="auto"/>
        </w:rPr>
      </w:pPr>
      <w:r>
        <w:rPr>
          <w:rFonts w:ascii="Times New Roman" w:cs="Times New Roman" w:eastAsia="Times New Roman" w:hAnsi="Times New Roman"/>
          <w:sz w:val="17"/>
          <w:szCs w:val="17"/>
          <w:color w:val="auto"/>
        </w:rPr>
        <w:t>We will include a copy of the form of deposit agreement, including the form of depositary receipt, and any other instrument establishing the terms of any depositary shares we offer as exhibits to a filing we will make with the SEC in connection with that offering.</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THE WARRANTS</w:t>
      </w:r>
    </w:p>
    <w:p>
      <w:pPr>
        <w:spacing w:after="0" w:line="221" w:lineRule="exact"/>
        <w:rPr>
          <w:sz w:val="20"/>
          <w:szCs w:val="20"/>
          <w:color w:val="auto"/>
        </w:rPr>
      </w:pPr>
    </w:p>
    <w:p>
      <w:pPr>
        <w:jc w:val="both"/>
        <w:ind w:firstLine="344"/>
        <w:spacing w:after="0" w:line="218" w:lineRule="auto"/>
        <w:rPr>
          <w:sz w:val="20"/>
          <w:szCs w:val="20"/>
          <w:color w:val="auto"/>
        </w:rPr>
      </w:pPr>
      <w:r>
        <w:rPr>
          <w:rFonts w:ascii="Times New Roman" w:cs="Times New Roman" w:eastAsia="Times New Roman" w:hAnsi="Times New Roman"/>
          <w:sz w:val="17"/>
          <w:szCs w:val="17"/>
          <w:color w:val="auto"/>
        </w:rPr>
        <w:t>We may issue warrants to purchase common stock, preferred stock, debt securities, depositary shares, purchase contracts or other securities described in this prospectus or any combination of the foregoing. Warrants may be issued independently or together with any other securities and may be attached to or separate from the other securities. Each series of warrants will be issued under a separate warrant agreement to be entered into between us and a warrant agent we will</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name in a prospectus supplement. The warrant agent will act solely as our agent in connection with the warrants and will not assume any obligation or relationship of agency or trust for or with any holders or beneficial owners of warrants.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prospectus supplement relating to any warrants being offered will include specific terms relating to the offering. We will file the form of any warrant</w:t>
      </w:r>
    </w:p>
    <w:p>
      <w:pPr>
        <w:spacing w:after="0" w:line="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agreement as an exhibit to a filing we will make with the SEC in connection with that offering. The prospectus supplement will include some or all of the following terms:</w:t>
      </w:r>
    </w:p>
    <w:p>
      <w:pPr>
        <w:spacing w:after="0" w:line="333" w:lineRule="exact"/>
        <w:rPr>
          <w:sz w:val="20"/>
          <w:szCs w:val="20"/>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of the warrants;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number of the warrants offered;</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designation, number and terms of the common stock, preferred stock, debt securities, depositary shares, purchase contracts or other securities purchasable upon exercise of the warrants, and procedures by which the number of securities purchasable may be adjusted;</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of the warrants;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dates or periods during which the warrants are exercisable;</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and terms of any securities with which the warrants are issued;</w:t>
      </w:r>
    </w:p>
    <w:p>
      <w:pPr>
        <w:spacing w:after="0" w:line="152" w:lineRule="exact"/>
        <w:rPr>
          <w:rFonts w:ascii="Times New Roman" w:cs="Times New Roman" w:eastAsia="Times New Roman" w:hAnsi="Times New Roman"/>
          <w:sz w:val="17"/>
          <w:szCs w:val="17"/>
          <w:color w:val="auto"/>
        </w:rPr>
      </w:pPr>
    </w:p>
    <w:p>
      <w:pPr>
        <w:ind w:left="620" w:hanging="307"/>
        <w:spacing w:after="0" w:line="303" w:lineRule="auto"/>
        <w:tabs>
          <w:tab w:leader="none" w:pos="61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warrants are issued as a unit with another security, the date, if any, on and after which the warrants and the other security will be separately transferable;</w:t>
      </w:r>
    </w:p>
    <w:p>
      <w:pPr>
        <w:spacing w:after="0" w:line="7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exercise price is not payable in U.S. dollars, the foreign currency, currency unit or composite currency in which the exercise price is denominated;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minimum or maximum amount of warrants that may be exercised at any one time; and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terms, procedures and limitations relating to the transferability, exchange or exercise of the warrants.</w:t>
      </w:r>
    </w:p>
    <w:p>
      <w:pPr>
        <w:sectPr>
          <w:pgSz w:w="11900" w:h="16838" w:orient="portrait"/>
          <w:cols w:equalWidth="0" w:num="1">
            <w:col w:w="11240"/>
          </w:cols>
          <w:pgMar w:left="320" w:top="1440" w:right="339" w:bottom="1440" w:gutter="0" w:footer="0" w:header="0"/>
        </w:sectPr>
      </w:pPr>
    </w:p>
    <w:bookmarkStart w:id="85" w:name="page86"/>
    <w:bookmarkEnd w:id="85"/>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THE SUBSCRIPTION RIGHTS</w:t>
      </w:r>
    </w:p>
    <w:p>
      <w:pPr>
        <w:spacing w:after="0" w:line="376" w:lineRule="exact"/>
        <w:rPr>
          <w:sz w:val="20"/>
          <w:szCs w:val="20"/>
          <w:color w:val="auto"/>
        </w:rPr>
      </w:pPr>
    </w:p>
    <w:p>
      <w:pPr>
        <w:jc w:val="both"/>
        <w:ind w:firstLine="344"/>
        <w:spacing w:after="0" w:line="224" w:lineRule="auto"/>
        <w:rPr>
          <w:sz w:val="20"/>
          <w:szCs w:val="20"/>
          <w:color w:val="auto"/>
        </w:rPr>
      </w:pPr>
      <w:r>
        <w:rPr>
          <w:rFonts w:ascii="Times New Roman" w:cs="Times New Roman" w:eastAsia="Times New Roman" w:hAnsi="Times New Roman"/>
          <w:sz w:val="17"/>
          <w:szCs w:val="17"/>
          <w:color w:val="auto"/>
        </w:rPr>
        <w:t>We may issue subscription rights to purchase common stock, preferred stock, debt securities, depositary shares or other securities described in this prospectus. These subscription rights may be issued independently or together with any other security described in this prospectus and may or may not be transferable by the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stockholder purchasing or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In connection with a subscription rights offering to our stockholders, we will distribute certificates evidencing the</w:t>
      </w:r>
    </w:p>
    <w:p>
      <w:pPr>
        <w:jc w:val="both"/>
        <w:spacing w:after="0" w:line="228" w:lineRule="auto"/>
        <w:rPr>
          <w:sz w:val="20"/>
          <w:szCs w:val="20"/>
          <w:color w:val="auto"/>
        </w:rPr>
      </w:pPr>
      <w:r>
        <w:rPr>
          <w:rFonts w:ascii="Times New Roman" w:cs="Times New Roman" w:eastAsia="Times New Roman" w:hAnsi="Times New Roman"/>
          <w:sz w:val="17"/>
          <w:szCs w:val="17"/>
          <w:color w:val="auto"/>
        </w:rPr>
        <w:t>subscription rights and a prospectus supplement to our stockholders on the record date that we set for receiving subscription rights in such subscription rights offering.</w:t>
      </w:r>
    </w:p>
    <w:p>
      <w:pPr>
        <w:spacing w:after="0" w:line="178" w:lineRule="exact"/>
        <w:rPr>
          <w:sz w:val="20"/>
          <w:szCs w:val="20"/>
          <w:color w:val="auto"/>
        </w:rPr>
      </w:pPr>
    </w:p>
    <w:p>
      <w:pPr>
        <w:jc w:val="both"/>
        <w:ind w:firstLine="344"/>
        <w:spacing w:after="0" w:line="255" w:lineRule="auto"/>
        <w:rPr>
          <w:sz w:val="20"/>
          <w:szCs w:val="20"/>
          <w:color w:val="auto"/>
        </w:rPr>
      </w:pPr>
      <w:r>
        <w:rPr>
          <w:rFonts w:ascii="Times New Roman" w:cs="Times New Roman" w:eastAsia="Times New Roman" w:hAnsi="Times New Roman"/>
          <w:sz w:val="17"/>
          <w:szCs w:val="17"/>
          <w:color w:val="auto"/>
        </w:rPr>
        <w:t>The prospectus supplement relating to any subscription rights being offered will include specific terms relating to the offering. These terms will include some or all of the following:</w:t>
      </w:r>
    </w:p>
    <w:p>
      <w:pPr>
        <w:spacing w:after="0" w:line="397" w:lineRule="exact"/>
        <w:rPr>
          <w:sz w:val="20"/>
          <w:szCs w:val="20"/>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prices, if any, for the subscription rights;</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payable for each share of common stock, preferred stock, debt securities, depositary shares or other securities upon the exercise of the subscription rights;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subscription rights issued to each stockholder;</w:t>
      </w:r>
    </w:p>
    <w:p>
      <w:pPr>
        <w:spacing w:after="0" w:line="15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terms of the shares of common stock, preferred stock, debt securities, depositary shares or other securities which may be purchased per each subscription right;</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the subscription rights are transferable;</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terms of the subscription rights, including the terms, procedures and limitations relating to the exchange and exercise of the subscription rights;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rights to exercise the subscription rights shall commence, and the date on which the subscription rights shall expire;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the subscription rights may include an over-subscription privilege with respect to unsubscribed securities; and</w:t>
      </w:r>
    </w:p>
    <w:p>
      <w:pPr>
        <w:spacing w:after="0" w:line="152" w:lineRule="exact"/>
        <w:rPr>
          <w:rFonts w:ascii="Times New Roman" w:cs="Times New Roman" w:eastAsia="Times New Roman" w:hAnsi="Times New Roman"/>
          <w:sz w:val="17"/>
          <w:szCs w:val="17"/>
          <w:color w:val="auto"/>
        </w:rPr>
      </w:pPr>
    </w:p>
    <w:p>
      <w:pPr>
        <w:ind w:left="620" w:hanging="307"/>
        <w:spacing w:after="0" w:line="302"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material terms of any standby underwriting or purchase arrangement entered into by us in connection with the offering of subscription rights.</w:t>
      </w:r>
    </w:p>
    <w:p>
      <w:pPr>
        <w:spacing w:after="0" w:line="385" w:lineRule="exact"/>
        <w:rPr>
          <w:sz w:val="20"/>
          <w:szCs w:val="20"/>
          <w:color w:val="auto"/>
        </w:rPr>
      </w:pPr>
    </w:p>
    <w:p>
      <w:pPr>
        <w:jc w:val="both"/>
        <w:ind w:firstLine="344"/>
        <w:spacing w:after="0" w:line="218" w:lineRule="auto"/>
        <w:rPr>
          <w:sz w:val="20"/>
          <w:szCs w:val="20"/>
          <w:color w:val="auto"/>
        </w:rPr>
      </w:pPr>
      <w:r>
        <w:rPr>
          <w:rFonts w:ascii="Times New Roman" w:cs="Times New Roman" w:eastAsia="Times New Roman" w:hAnsi="Times New Roman"/>
          <w:sz w:val="17"/>
          <w:szCs w:val="17"/>
          <w:color w:val="auto"/>
        </w:rPr>
        <w:t>Each subscription right will entitle the holder of the subscription right to purchase for cash such amount of common stock, preferred stock, debt securities, depositary shares or other securities,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subscription rights set forth in the prospectus supplement. After the close of business on the expiration date, all unexercised subscription rights will become void.</w:t>
      </w:r>
    </w:p>
    <w:p>
      <w:pPr>
        <w:spacing w:after="0" w:line="186" w:lineRule="exact"/>
        <w:rPr>
          <w:sz w:val="20"/>
          <w:szCs w:val="20"/>
          <w:color w:val="auto"/>
        </w:rPr>
      </w:pPr>
    </w:p>
    <w:p>
      <w:pPr>
        <w:jc w:val="both"/>
        <w:ind w:firstLine="344"/>
        <w:spacing w:after="0" w:line="224" w:lineRule="auto"/>
        <w:rPr>
          <w:sz w:val="20"/>
          <w:szCs w:val="20"/>
          <w:color w:val="auto"/>
        </w:rPr>
      </w:pPr>
      <w:r>
        <w:rPr>
          <w:rFonts w:ascii="Times New Roman" w:cs="Times New Roman" w:eastAsia="Times New Roman" w:hAnsi="Times New Roman"/>
          <w:sz w:val="17"/>
          <w:szCs w:val="17"/>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the prospectus supplement, we will forward, as soon as practicable, the shares of common stock, preferred stock, debt securities or other securities purchasable upon such exercise. We may determine to offer any unsubscribed offered securities directly to persons other than stockholders, to or through agents, underwriters or dealers or through a combination of such methods, including pursuant to standby underwriting arrangements, as set forth in the prospectus supplement.</w:t>
      </w:r>
    </w:p>
    <w:p>
      <w:pPr>
        <w:sectPr>
          <w:pgSz w:w="11900" w:h="16838" w:orient="portrait"/>
          <w:cols w:equalWidth="0" w:num="1">
            <w:col w:w="11240"/>
          </w:cols>
          <w:pgMar w:left="320" w:top="1440" w:right="339" w:bottom="1440" w:gutter="0" w:footer="0" w:header="0"/>
        </w:sectPr>
      </w:pPr>
    </w:p>
    <w:bookmarkStart w:id="86" w:name="page87"/>
    <w:bookmarkEnd w:id="86"/>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THE PURCHASE CONTRACTS</w:t>
      </w:r>
    </w:p>
    <w:p>
      <w:pPr>
        <w:spacing w:after="0" w:line="208" w:lineRule="exact"/>
        <w:rPr>
          <w:sz w:val="20"/>
          <w:szCs w:val="20"/>
          <w:color w:val="auto"/>
        </w:rPr>
      </w:pPr>
    </w:p>
    <w:p>
      <w:pPr>
        <w:jc w:val="both"/>
        <w:ind w:firstLine="344"/>
        <w:spacing w:after="0" w:line="224" w:lineRule="auto"/>
        <w:rPr>
          <w:sz w:val="20"/>
          <w:szCs w:val="20"/>
          <w:color w:val="auto"/>
        </w:rPr>
      </w:pPr>
      <w:r>
        <w:rPr>
          <w:rFonts w:ascii="Times New Roman" w:cs="Times New Roman" w:eastAsia="Times New Roman" w:hAnsi="Times New Roman"/>
          <w:sz w:val="17"/>
          <w:szCs w:val="17"/>
          <w:color w:val="auto"/>
        </w:rPr>
        <w:t>We may issue purchase contracts representing contracts obligating holders, subject to the terms of such purchase contracts, to purchase from us, and for us to sell to the holders thereof, a specified or varying number of our common stock, preferred stock or other securities described in this prospectus at a future date or</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7"/>
          <w:szCs w:val="17"/>
          <w:color w:val="auto"/>
        </w:rPr>
        <w:t>dates. Alternatively, the purchase contracts may, subject to the terms of such purchase contracts, obligate us to purchase from holders, and obligate holders to sell to us, a specified or varying number of shares of common stock, preferred stock or other securities described in this prospectus. The price per unit of our common stock, preferred stock or other securities described in this prospectus, and number of units, may be fixed at the time the purchase contracts are entered into or may</w:t>
      </w:r>
    </w:p>
    <w:p>
      <w:pPr>
        <w:spacing w:after="0"/>
        <w:rPr>
          <w:sz w:val="20"/>
          <w:szCs w:val="20"/>
          <w:color w:val="auto"/>
        </w:rPr>
      </w:pPr>
      <w:r>
        <w:rPr>
          <w:rFonts w:ascii="Times New Roman" w:cs="Times New Roman" w:eastAsia="Times New Roman" w:hAnsi="Times New Roman"/>
          <w:sz w:val="17"/>
          <w:szCs w:val="17"/>
          <w:color w:val="auto"/>
        </w:rPr>
        <w:t>be determined by reference to a specific formula set forth in the purchase contracts.</w:t>
      </w:r>
    </w:p>
    <w:p>
      <w:pPr>
        <w:spacing w:after="0" w:line="186" w:lineRule="exact"/>
        <w:rPr>
          <w:sz w:val="20"/>
          <w:szCs w:val="20"/>
          <w:color w:val="auto"/>
        </w:rPr>
      </w:pPr>
    </w:p>
    <w:p>
      <w:pPr>
        <w:jc w:val="both"/>
        <w:ind w:firstLine="344"/>
        <w:spacing w:after="0" w:line="224" w:lineRule="auto"/>
        <w:rPr>
          <w:sz w:val="20"/>
          <w:szCs w:val="20"/>
          <w:color w:val="auto"/>
        </w:rPr>
      </w:pPr>
      <w:r>
        <w:rPr>
          <w:rFonts w:ascii="Times New Roman" w:cs="Times New Roman" w:eastAsia="Times New Roman" w:hAnsi="Times New Roman"/>
          <w:sz w:val="17"/>
          <w:szCs w:val="17"/>
          <w:color w:val="auto"/>
        </w:rPr>
        <w:t>The prospectus supplement relating to any purchase contracts being offered will include specific terms relating to the offering. The purchase contracts will be issued pursuant to documents to be issued by us. We will include a copy of the documents establishing the terms of any purchase contract we offer as exhibits to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filing we will make with the SEC in connection with that offering.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THE UNITS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may issue units of securities consisting of one or more of the following securities: common stock, preferred stock, debt securities, warrants, depositary</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shares, subscription rights, purchase contracts or any combination thereof. We may evidence each series of units issued by unit certificates that we will issue under a separate agreement. We may enter into unit agreements with a unit agent. Each unit agent will be a bank or trust company that we select. We will include a copy of the documents establishing the terms of any units we offer as exhibits to a filing we will make with the SEC in connection with that offering.</w:t>
      </w:r>
    </w:p>
    <w:p>
      <w:pPr>
        <w:spacing w:after="0" w:line="190" w:lineRule="exact"/>
        <w:rPr>
          <w:sz w:val="20"/>
          <w:szCs w:val="20"/>
          <w:color w:val="auto"/>
        </w:rPr>
      </w:pPr>
    </w:p>
    <w:p>
      <w:pPr>
        <w:jc w:val="both"/>
        <w:ind w:firstLine="344"/>
        <w:spacing w:after="0" w:line="239" w:lineRule="auto"/>
        <w:rPr>
          <w:sz w:val="20"/>
          <w:szCs w:val="20"/>
          <w:color w:val="auto"/>
        </w:rPr>
      </w:pPr>
      <w:r>
        <w:rPr>
          <w:rFonts w:ascii="Times New Roman" w:cs="Times New Roman" w:eastAsia="Times New Roman" w:hAnsi="Times New Roman"/>
          <w:sz w:val="17"/>
          <w:szCs w:val="17"/>
          <w:color w:val="auto"/>
        </w:rPr>
        <w:t>The prospectus supplement relating to any units being offered will include specific terms relating to the offering. These terms will include some or all of the following:</w:t>
      </w:r>
    </w:p>
    <w:p>
      <w:pPr>
        <w:spacing w:after="0" w:line="200" w:lineRule="exact"/>
        <w:rPr>
          <w:sz w:val="20"/>
          <w:szCs w:val="20"/>
          <w:color w:val="auto"/>
        </w:rPr>
      </w:pPr>
    </w:p>
    <w:p>
      <w:pPr>
        <w:spacing w:after="0" w:line="223" w:lineRule="exact"/>
        <w:rPr>
          <w:sz w:val="20"/>
          <w:szCs w:val="20"/>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of the series of units;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and description of the separate constituent securities comprising the units;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or prices at which the units will be issued;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if any, on and after which the constituent securities comprising the units will be separately transferable;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appropriate, a discussion of material United States federal income tax considerations; and</w:t>
      </w:r>
    </w:p>
    <w:p>
      <w:pPr>
        <w:spacing w:after="0" w:line="1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terms of the units and their constituent securities</w:t>
      </w:r>
      <w:r>
        <w:rPr>
          <w:rFonts w:ascii="Calibri" w:cs="Calibri" w:eastAsia="Calibri" w:hAnsi="Calibri"/>
          <w:sz w:val="18"/>
          <w:szCs w:val="18"/>
          <w:color w:val="auto"/>
        </w:rPr>
        <w:t>.</w:t>
      </w:r>
    </w:p>
    <w:p>
      <w:pPr>
        <w:sectPr>
          <w:pgSz w:w="11900" w:h="16838" w:orient="portrait"/>
          <w:cols w:equalWidth="0" w:num="1">
            <w:col w:w="11240"/>
          </w:cols>
          <w:pgMar w:left="320" w:top="1440" w:right="339" w:bottom="1440" w:gutter="0" w:footer="0" w:header="0"/>
        </w:sectPr>
      </w:pPr>
    </w:p>
    <w:bookmarkStart w:id="87" w:name="page88"/>
    <w:bookmarkEnd w:id="87"/>
    <w:p>
      <w:pPr>
        <w:spacing w:after="0"/>
        <w:rPr>
          <w:sz w:val="20"/>
          <w:szCs w:val="20"/>
          <w:color w:val="auto"/>
        </w:rPr>
      </w:pPr>
      <w:r>
        <w:rPr>
          <w:rFonts w:ascii="Calibri" w:cs="Calibri" w:eastAsia="Calibri" w:hAnsi="Calibri"/>
          <w:sz w:val="27"/>
          <w:szCs w:val="27"/>
          <w:color w:val="auto"/>
        </w:rPr>
        <w:t>RESTRICTED STOCK AGREEMENT</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140" w:type="dxa"/>
            <w:vAlign w:val="bottom"/>
          </w:tcPr>
          <w:p>
            <w:pPr>
              <w:spacing w:after="0"/>
              <w:rPr>
                <w:sz w:val="20"/>
                <w:szCs w:val="20"/>
                <w:color w:val="auto"/>
              </w:rPr>
            </w:pPr>
            <w:r>
              <w:rPr>
                <w:rFonts w:ascii="Calibri" w:cs="Calibri" w:eastAsia="Calibri" w:hAnsi="Calibri"/>
                <w:sz w:val="19"/>
                <w:szCs w:val="19"/>
                <w:color w:val="auto"/>
              </w:rPr>
              <w:t>Grant Date:</w:t>
            </w:r>
          </w:p>
        </w:tc>
        <w:tc>
          <w:tcPr>
            <w:tcW w:w="1240" w:type="dxa"/>
            <w:vAlign w:val="bottom"/>
            <w:gridSpan w:val="2"/>
            <w:shd w:val="clear" w:color="auto" w:fill="FFFF00"/>
          </w:tcPr>
          <w:p>
            <w:pPr>
              <w:spacing w:after="0"/>
              <w:rPr>
                <w:sz w:val="20"/>
                <w:szCs w:val="20"/>
                <w:color w:val="auto"/>
              </w:rPr>
            </w:pPr>
            <w:r>
              <w:rPr>
                <w:rFonts w:ascii="Calibri" w:cs="Calibri" w:eastAsia="Calibri" w:hAnsi="Calibri"/>
                <w:sz w:val="19"/>
                <w:szCs w:val="19"/>
                <w:color w:val="auto"/>
                <w:highlight w:val="yellow"/>
                <w:w w:val="99"/>
              </w:rPr>
              <w:t>&lt;&lt;Grant Date&gt;&gt;</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140" w:type="dxa"/>
            <w:vAlign w:val="bottom"/>
            <w:vMerge w:val="restart"/>
          </w:tcPr>
          <w:p>
            <w:pPr>
              <w:spacing w:after="0"/>
              <w:rPr>
                <w:sz w:val="20"/>
                <w:szCs w:val="20"/>
                <w:color w:val="auto"/>
              </w:rPr>
            </w:pPr>
            <w:r>
              <w:rPr>
                <w:rFonts w:ascii="Calibri" w:cs="Calibri" w:eastAsia="Calibri" w:hAnsi="Calibri"/>
                <w:sz w:val="19"/>
                <w:szCs w:val="19"/>
                <w:color w:val="auto"/>
              </w:rPr>
              <w:t>Grantee (“Employee”):</w:t>
            </w:r>
          </w:p>
        </w:tc>
        <w:tc>
          <w:tcPr>
            <w:tcW w:w="700" w:type="dxa"/>
            <w:vAlign w:val="bottom"/>
            <w:vMerge w:val="restart"/>
          </w:tcPr>
          <w:p>
            <w:pPr>
              <w:spacing w:after="0"/>
              <w:rPr>
                <w:sz w:val="20"/>
                <w:szCs w:val="20"/>
                <w:color w:val="auto"/>
              </w:rPr>
            </w:pPr>
          </w:p>
        </w:tc>
        <w:tc>
          <w:tcPr>
            <w:tcW w:w="138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2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1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740" w:type="dxa"/>
            <w:vAlign w:val="bottom"/>
            <w:gridSpan w:val="3"/>
            <w:shd w:val="clear" w:color="auto" w:fill="FFFF00"/>
          </w:tcPr>
          <w:p>
            <w:pPr>
              <w:spacing w:after="0" w:line="194" w:lineRule="exact"/>
              <w:rPr>
                <w:sz w:val="20"/>
                <w:szCs w:val="20"/>
                <w:color w:val="auto"/>
              </w:rPr>
            </w:pPr>
            <w:r>
              <w:rPr>
                <w:rFonts w:ascii="Calibri" w:cs="Calibri" w:eastAsia="Calibri" w:hAnsi="Calibri"/>
                <w:sz w:val="19"/>
                <w:szCs w:val="19"/>
                <w:color w:val="auto"/>
                <w:highlight w:val="yellow"/>
              </w:rPr>
              <w:t>&lt;&lt;Partcipant Name&gt;&gt;</w:t>
            </w: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220" w:type="dxa"/>
            <w:vAlign w:val="bottom"/>
            <w:gridSpan w:val="4"/>
            <w:vMerge w:val="restart"/>
          </w:tcPr>
          <w:p>
            <w:pPr>
              <w:spacing w:after="0"/>
              <w:rPr>
                <w:sz w:val="20"/>
                <w:szCs w:val="20"/>
                <w:color w:val="auto"/>
              </w:rPr>
            </w:pPr>
            <w:r>
              <w:rPr>
                <w:rFonts w:ascii="Calibri" w:cs="Calibri" w:eastAsia="Calibri" w:hAnsi="Calibri"/>
                <w:sz w:val="19"/>
                <w:szCs w:val="19"/>
                <w:color w:val="auto"/>
              </w:rPr>
              <w:t>Aggregate Number of Shares Subject to Award:</w:t>
            </w:r>
          </w:p>
        </w:tc>
        <w:tc>
          <w:tcPr>
            <w:tcW w:w="25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220" w:type="dxa"/>
            <w:vAlign w:val="bottom"/>
            <w:gridSpan w:val="4"/>
            <w:vMerge w:val="continue"/>
          </w:tcPr>
          <w:p>
            <w:pPr>
              <w:spacing w:after="0"/>
              <w:rPr>
                <w:sz w:val="16"/>
                <w:szCs w:val="16"/>
                <w:color w:val="auto"/>
              </w:rPr>
            </w:pPr>
          </w:p>
        </w:tc>
        <w:tc>
          <w:tcPr>
            <w:tcW w:w="2580" w:type="dxa"/>
            <w:vAlign w:val="bottom"/>
            <w:gridSpan w:val="2"/>
            <w:shd w:val="clear" w:color="auto" w:fill="FFFF00"/>
          </w:tcPr>
          <w:p>
            <w:pPr>
              <w:spacing w:after="0" w:line="194" w:lineRule="exact"/>
              <w:rPr>
                <w:sz w:val="20"/>
                <w:szCs w:val="20"/>
                <w:color w:val="auto"/>
              </w:rPr>
            </w:pPr>
            <w:r>
              <w:rPr>
                <w:rFonts w:ascii="Calibri" w:cs="Calibri" w:eastAsia="Calibri" w:hAnsi="Calibri"/>
                <w:sz w:val="19"/>
                <w:szCs w:val="19"/>
                <w:color w:val="auto"/>
                <w:highlight w:val="yellow"/>
              </w:rPr>
              <w:t>&lt;&lt;Number _Restricted_Shares&gt;&gt;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16" w:lineRule="auto"/>
        <w:rPr>
          <w:sz w:val="20"/>
          <w:szCs w:val="20"/>
          <w:color w:val="auto"/>
        </w:rPr>
      </w:pPr>
      <w:r>
        <w:rPr>
          <w:rFonts w:ascii="Calibri" w:cs="Calibri" w:eastAsia="Calibri" w:hAnsi="Calibri"/>
          <w:sz w:val="19"/>
          <w:szCs w:val="19"/>
          <w:color w:val="auto"/>
        </w:rPr>
        <w:t xml:space="preserve">This </w:t>
      </w:r>
      <w:r>
        <w:rPr>
          <w:rFonts w:ascii="Calibri" w:cs="Calibri" w:eastAsia="Calibri" w:hAnsi="Calibri"/>
          <w:sz w:val="19"/>
          <w:szCs w:val="19"/>
          <w:b w:val="1"/>
          <w:bCs w:val="1"/>
          <w:color w:val="auto"/>
        </w:rPr>
        <w:t>RESTRICTED STOCK AGREEMENT</w:t>
      </w:r>
      <w:r>
        <w:rPr>
          <w:rFonts w:ascii="Calibri" w:cs="Calibri" w:eastAsia="Calibri" w:hAnsi="Calibri"/>
          <w:sz w:val="19"/>
          <w:szCs w:val="19"/>
          <w:color w:val="auto"/>
        </w:rPr>
        <w:t xml:space="preserve"> (“Agreement”) is made as of </w:t>
      </w:r>
      <w:r>
        <w:rPr>
          <w:rFonts w:ascii="Calibri" w:cs="Calibri" w:eastAsia="Calibri" w:hAnsi="Calibri"/>
          <w:sz w:val="19"/>
          <w:szCs w:val="19"/>
          <w:b w:val="1"/>
          <w:bCs w:val="1"/>
          <w:color w:val="auto"/>
          <w:highlight w:val="yellow"/>
        </w:rPr>
        <w:t>&lt;&lt;Grant Date&gt;&gt;</w:t>
      </w:r>
      <w:r>
        <w:rPr>
          <w:rFonts w:ascii="Calibri" w:cs="Calibri" w:eastAsia="Calibri" w:hAnsi="Calibri"/>
          <w:sz w:val="19"/>
          <w:szCs w:val="19"/>
          <w:color w:val="auto"/>
        </w:rPr>
        <w:t xml:space="preserve">, between </w:t>
      </w:r>
      <w:r>
        <w:rPr>
          <w:rFonts w:ascii="Calibri" w:cs="Calibri" w:eastAsia="Calibri" w:hAnsi="Calibri"/>
          <w:sz w:val="19"/>
          <w:szCs w:val="19"/>
          <w:b w:val="1"/>
          <w:bCs w:val="1"/>
          <w:color w:val="auto"/>
        </w:rPr>
        <w:t>HALLIBURTON COMPANY</w:t>
      </w:r>
      <w:r>
        <w:rPr>
          <w:rFonts w:ascii="Calibri" w:cs="Calibri" w:eastAsia="Calibri" w:hAnsi="Calibri"/>
          <w:sz w:val="19"/>
          <w:szCs w:val="19"/>
          <w:color w:val="auto"/>
        </w:rPr>
        <w:t xml:space="preserve">, a Delaware corporaton (the “Company”), and </w:t>
      </w:r>
      <w:r>
        <w:rPr>
          <w:rFonts w:ascii="Calibri" w:cs="Calibri" w:eastAsia="Calibri" w:hAnsi="Calibri"/>
          <w:sz w:val="19"/>
          <w:szCs w:val="19"/>
          <w:b w:val="1"/>
          <w:bCs w:val="1"/>
          <w:color w:val="auto"/>
          <w:highlight w:val="yellow"/>
        </w:rPr>
        <w:t>&lt;&lt;Partcipant Name&gt;&gt;</w:t>
      </w:r>
      <w:r>
        <w:rPr>
          <w:rFonts w:ascii="Calibri" w:cs="Calibri" w:eastAsia="Calibri" w:hAnsi="Calibri"/>
          <w:sz w:val="19"/>
          <w:szCs w:val="19"/>
          <w:color w:val="auto"/>
        </w:rPr>
        <w:t xml:space="preserve"> (“Employee”).</w:t>
      </w:r>
    </w:p>
    <w:p>
      <w:pPr>
        <w:spacing w:after="0" w:line="188" w:lineRule="exact"/>
        <w:rPr>
          <w:sz w:val="20"/>
          <w:szCs w:val="20"/>
          <w:color w:val="auto"/>
        </w:rPr>
      </w:pPr>
    </w:p>
    <w:p>
      <w:pPr>
        <w:jc w:val="both"/>
        <w:ind w:left="620" w:hanging="307"/>
        <w:spacing w:after="0" w:line="204" w:lineRule="auto"/>
        <w:tabs>
          <w:tab w:leader="none" w:pos="612" w:val="left"/>
        </w:tabs>
        <w:numPr>
          <w:ilvl w:val="0"/>
          <w:numId w:val="42"/>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Award of Shares</w:t>
      </w:r>
      <w:r>
        <w:rPr>
          <w:rFonts w:ascii="Calibri" w:cs="Calibri" w:eastAsia="Calibri" w:hAnsi="Calibri"/>
          <w:sz w:val="19"/>
          <w:szCs w:val="19"/>
          <w:color w:val="auto"/>
        </w:rPr>
        <w:t>. Pursuant to the Halliburton Company Stock and Incentve Plan, as amended (the “Plan”) the aggregate number of</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shares subject to the award set forth above of Halliburton Company common stock, par value $2.50 per share (“Stock”), shall be issued as hereinafer provided in Employee’s name subject to the terms and conditons of this Agreement and the Plan. The shares granted pursuant to this Agreement that are subject to Forfeiture Restrictons (as defned below) are referred to as the “Restricted Shares”. The Restricted Shares shall be issued upon acceptance hereof by Employee and upon satsfacton of the conditons of this Agreement.</w:t>
      </w:r>
    </w:p>
    <w:p>
      <w:pPr>
        <w:spacing w:after="0" w:line="200" w:lineRule="exact"/>
        <w:rPr>
          <w:rFonts w:ascii="Calibri" w:cs="Calibri" w:eastAsia="Calibri" w:hAnsi="Calibri"/>
          <w:sz w:val="19"/>
          <w:szCs w:val="19"/>
          <w:color w:val="auto"/>
        </w:rPr>
      </w:pPr>
    </w:p>
    <w:p>
      <w:pPr>
        <w:jc w:val="both"/>
        <w:ind w:left="620" w:hanging="307"/>
        <w:spacing w:after="0" w:line="205" w:lineRule="auto"/>
        <w:tabs>
          <w:tab w:leader="none" w:pos="612" w:val="left"/>
        </w:tabs>
        <w:numPr>
          <w:ilvl w:val="0"/>
          <w:numId w:val="42"/>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Plan Incorporated</w:t>
      </w:r>
      <w:r>
        <w:rPr>
          <w:rFonts w:ascii="Calibri" w:cs="Calibri" w:eastAsia="Calibri" w:hAnsi="Calibri"/>
          <w:sz w:val="19"/>
          <w:szCs w:val="19"/>
          <w:color w:val="auto"/>
        </w:rPr>
        <w:t>. Employee acknowledges receipt of a copy of the Plan, and agrees that this award of Restricted Shares shall be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subject to all of the terms and conditons set forth in the Plan, including future amendments thereto. The Plan is incorporated herein by reference as a part of this Agreement. Except as otherwise defned herein, capitalized terms shall have the same meaning ascribed to them under the Plan.</w:t>
      </w:r>
    </w:p>
    <w:p>
      <w:pPr>
        <w:spacing w:after="0" w:line="181" w:lineRule="exact"/>
        <w:rPr>
          <w:rFonts w:ascii="Calibri" w:cs="Calibri" w:eastAsia="Calibri" w:hAnsi="Calibri"/>
          <w:sz w:val="19"/>
          <w:szCs w:val="19"/>
          <w:color w:val="auto"/>
        </w:rPr>
      </w:pPr>
    </w:p>
    <w:p>
      <w:pPr>
        <w:ind w:left="620" w:hanging="307"/>
        <w:spacing w:after="0"/>
        <w:tabs>
          <w:tab w:leader="none" w:pos="620" w:val="left"/>
        </w:tabs>
        <w:numPr>
          <w:ilvl w:val="0"/>
          <w:numId w:val="42"/>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Vestng of Restricted Shares; Forfeiture of Restricted Shares</w:t>
      </w:r>
      <w:r>
        <w:rPr>
          <w:rFonts w:ascii="Calibri" w:cs="Calibri" w:eastAsia="Calibri" w:hAnsi="Calibri"/>
          <w:sz w:val="19"/>
          <w:szCs w:val="19"/>
          <w:color w:val="auto"/>
        </w:rPr>
        <w:t>.</w:t>
      </w:r>
    </w:p>
    <w:p>
      <w:pPr>
        <w:spacing w:after="0" w:line="199" w:lineRule="exact"/>
        <w:rPr>
          <w:rFonts w:ascii="Calibri" w:cs="Calibri" w:eastAsia="Calibri" w:hAnsi="Calibri"/>
          <w:sz w:val="19"/>
          <w:szCs w:val="19"/>
          <w:color w:val="auto"/>
        </w:rPr>
      </w:pPr>
    </w:p>
    <w:p>
      <w:pPr>
        <w:jc w:val="both"/>
        <w:ind w:left="1240" w:hanging="309"/>
        <w:spacing w:after="0"/>
        <w:tabs>
          <w:tab w:leader="none" w:pos="1244" w:val="left"/>
        </w:tabs>
        <w:numPr>
          <w:ilvl w:val="1"/>
          <w:numId w:val="42"/>
        </w:numPr>
        <w:rPr>
          <w:rFonts w:ascii="Calibri" w:cs="Calibri" w:eastAsia="Calibri" w:hAnsi="Calibri"/>
          <w:sz w:val="19"/>
          <w:szCs w:val="19"/>
          <w:color w:val="auto"/>
        </w:rPr>
      </w:pPr>
      <w:r>
        <w:rPr>
          <w:rFonts w:ascii="Calibri" w:cs="Calibri" w:eastAsia="Calibri" w:hAnsi="Calibri"/>
          <w:sz w:val="19"/>
          <w:szCs w:val="19"/>
          <w:b w:val="1"/>
          <w:bCs w:val="1"/>
          <w:color w:val="auto"/>
        </w:rPr>
        <w:t xml:space="preserve">Vestng Schedule. </w:t>
      </w:r>
      <w:r>
        <w:rPr>
          <w:rFonts w:ascii="Calibri" w:cs="Calibri" w:eastAsia="Calibri" w:hAnsi="Calibri"/>
          <w:sz w:val="19"/>
          <w:szCs w:val="19"/>
          <w:color w:val="auto"/>
        </w:rPr>
        <w:t>The Restricted Shares shall vest (i.e., Forfeiture Restrictons lapse) in accordance with the vestng details for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this grant displayed in the Distributon Schedule in the Employee’s Account at www.NetBenefts.Fidelity.com, provided the Employee has been contnuously and actvely employed by the Company or any of its Subsidiaries and afliated companies from the date of this Agreement through the applicable vestng date. The prohibiton against transfer and the obligaton to forfeit and surrender Restricted Shares to the Company upon terminaton of employment are herein referred to as “Forfeiture Restrictons”.</w:t>
      </w:r>
    </w:p>
    <w:p>
      <w:pPr>
        <w:spacing w:after="0" w:line="206" w:lineRule="exact"/>
        <w:rPr>
          <w:rFonts w:ascii="Calibri" w:cs="Calibri" w:eastAsia="Calibri" w:hAnsi="Calibri"/>
          <w:sz w:val="19"/>
          <w:szCs w:val="19"/>
          <w:color w:val="auto"/>
        </w:rPr>
      </w:pPr>
    </w:p>
    <w:p>
      <w:pPr>
        <w:jc w:val="both"/>
        <w:ind w:left="1240" w:hanging="309"/>
        <w:spacing w:after="0" w:line="229" w:lineRule="auto"/>
        <w:tabs>
          <w:tab w:leader="none" w:pos="1240" w:val="left"/>
        </w:tabs>
        <w:numPr>
          <w:ilvl w:val="1"/>
          <w:numId w:val="42"/>
        </w:numPr>
        <w:rPr>
          <w:rFonts w:ascii="Calibri" w:cs="Calibri" w:eastAsia="Calibri" w:hAnsi="Calibri"/>
          <w:sz w:val="19"/>
          <w:szCs w:val="19"/>
          <w:color w:val="auto"/>
        </w:rPr>
      </w:pPr>
      <w:r>
        <w:rPr>
          <w:rFonts w:ascii="Calibri" w:cs="Calibri" w:eastAsia="Calibri" w:hAnsi="Calibri"/>
          <w:sz w:val="19"/>
          <w:szCs w:val="19"/>
          <w:b w:val="1"/>
          <w:bCs w:val="1"/>
          <w:color w:val="auto"/>
        </w:rPr>
        <w:t>Accelerated Vestng</w:t>
      </w:r>
      <w:r>
        <w:rPr>
          <w:rFonts w:ascii="Calibri" w:cs="Calibri" w:eastAsia="Calibri" w:hAnsi="Calibri"/>
          <w:sz w:val="19"/>
          <w:szCs w:val="19"/>
          <w:color w:val="auto"/>
        </w:rPr>
        <w:t>. The Forfeiture Restrictons shall lapse as to all of the Restricted Shares on the earlier of (i) the date of</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 xml:space="preserve">Employee’s Qualifying Terminaton (as such term is defned in the Plan), or (ii) the date Employee’s employment with the Company is terminated by reason of death or disability (as determined by the Company). In the event Employee’s employment is terminated for any other reason, including retrement, upon the recommendaton of </w:t>
      </w:r>
      <w:r>
        <w:rPr>
          <w:rFonts w:ascii="Calibri" w:cs="Calibri" w:eastAsia="Calibri" w:hAnsi="Calibri"/>
          <w:sz w:val="19"/>
          <w:szCs w:val="19"/>
          <w:color w:val="231F20"/>
        </w:rPr>
        <w:t>applicable management of the</w:t>
      </w:r>
      <w:r>
        <w:rPr>
          <w:rFonts w:ascii="Calibri" w:cs="Calibri" w:eastAsia="Calibri" w:hAnsi="Calibri"/>
          <w:sz w:val="19"/>
          <w:szCs w:val="19"/>
          <w:color w:val="auto"/>
        </w:rPr>
        <w:t xml:space="preserve"> </w:t>
      </w:r>
      <w:r>
        <w:rPr>
          <w:rFonts w:ascii="Calibri" w:cs="Calibri" w:eastAsia="Calibri" w:hAnsi="Calibri"/>
          <w:sz w:val="19"/>
          <w:szCs w:val="19"/>
          <w:color w:val="231F20"/>
        </w:rPr>
        <w:t>Company and/or business unit</w:t>
      </w:r>
      <w:r>
        <w:rPr>
          <w:rFonts w:ascii="Calibri" w:cs="Calibri" w:eastAsia="Calibri" w:hAnsi="Calibri"/>
          <w:sz w:val="19"/>
          <w:szCs w:val="19"/>
          <w:color w:val="000000"/>
        </w:rPr>
        <w:t>, the Commitee which administers the Plan (the “Commitee”) or its delegate, as appropriate,</w:t>
      </w:r>
      <w:r>
        <w:rPr>
          <w:rFonts w:ascii="Calibri" w:cs="Calibri" w:eastAsia="Calibri" w:hAnsi="Calibri"/>
          <w:sz w:val="19"/>
          <w:szCs w:val="19"/>
          <w:color w:val="231F20"/>
        </w:rPr>
        <w:t xml:space="preserve"> </w:t>
      </w:r>
      <w:r>
        <w:rPr>
          <w:rFonts w:ascii="Calibri" w:cs="Calibri" w:eastAsia="Calibri" w:hAnsi="Calibri"/>
          <w:sz w:val="19"/>
          <w:szCs w:val="19"/>
          <w:color w:val="000000"/>
        </w:rPr>
        <w:t>may, in the Commitee’s or such delegate’s sole discreton, approve the lapse of Forfeiture Restrictons as to any or all Restricted Shares stll subject to such restrictons, such lapse to be efectve on the date of such approval or Employee’s terminaton date, if later.</w:t>
      </w:r>
    </w:p>
    <w:p>
      <w:pPr>
        <w:spacing w:after="0" w:line="191" w:lineRule="exact"/>
        <w:rPr>
          <w:rFonts w:ascii="Calibri" w:cs="Calibri" w:eastAsia="Calibri" w:hAnsi="Calibri"/>
          <w:sz w:val="19"/>
          <w:szCs w:val="19"/>
          <w:color w:val="auto"/>
        </w:rPr>
      </w:pPr>
    </w:p>
    <w:p>
      <w:pPr>
        <w:jc w:val="both"/>
        <w:ind w:left="1240" w:hanging="309"/>
        <w:spacing w:after="0" w:line="204" w:lineRule="auto"/>
        <w:tabs>
          <w:tab w:leader="none" w:pos="1233" w:val="left"/>
        </w:tabs>
        <w:numPr>
          <w:ilvl w:val="1"/>
          <w:numId w:val="42"/>
        </w:numPr>
        <w:rPr>
          <w:rFonts w:ascii="Calibri" w:cs="Calibri" w:eastAsia="Calibri" w:hAnsi="Calibri"/>
          <w:sz w:val="19"/>
          <w:szCs w:val="19"/>
          <w:color w:val="auto"/>
        </w:rPr>
      </w:pPr>
      <w:r>
        <w:rPr>
          <w:rFonts w:ascii="Calibri" w:cs="Calibri" w:eastAsia="Calibri" w:hAnsi="Calibri"/>
          <w:sz w:val="19"/>
          <w:szCs w:val="19"/>
          <w:b w:val="1"/>
          <w:bCs w:val="1"/>
          <w:color w:val="auto"/>
        </w:rPr>
        <w:t>Forfeiture of the Restricted Shares</w:t>
      </w:r>
      <w:r>
        <w:rPr>
          <w:rFonts w:ascii="Calibri" w:cs="Calibri" w:eastAsia="Calibri" w:hAnsi="Calibri"/>
          <w:sz w:val="19"/>
          <w:szCs w:val="19"/>
          <w:color w:val="auto"/>
        </w:rPr>
        <w:t>. In the event of terminaton of Employee’s employment with the Company or any</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Subsidiary or afliated company for any reason other than as otherwise provided in this Paragraph 3, Employee shall, for no consideraton, forfeit all Restricted Shares to the extent they are not fully vested as of Employee’s terminaton date. Any queston as to whether and when there has been a terminaton of such employment and the cause for such terminaton, shall be determined by the Commitee, or its delegate, as appropriate, and its determinaton shall be fnal.</w:t>
      </w:r>
    </w:p>
    <w:p>
      <w:pPr>
        <w:spacing w:after="0" w:line="200" w:lineRule="exact"/>
        <w:rPr>
          <w:rFonts w:ascii="Calibri" w:cs="Calibri" w:eastAsia="Calibri" w:hAnsi="Calibri"/>
          <w:sz w:val="19"/>
          <w:szCs w:val="19"/>
          <w:color w:val="auto"/>
        </w:rPr>
      </w:pPr>
    </w:p>
    <w:p>
      <w:pPr>
        <w:jc w:val="both"/>
        <w:ind w:left="620" w:hanging="307"/>
        <w:spacing w:after="0" w:line="206" w:lineRule="auto"/>
        <w:tabs>
          <w:tab w:leader="none" w:pos="612" w:val="left"/>
        </w:tabs>
        <w:numPr>
          <w:ilvl w:val="0"/>
          <w:numId w:val="42"/>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Book Entry Record</w:t>
      </w:r>
      <w:r>
        <w:rPr>
          <w:rFonts w:ascii="Calibri" w:cs="Calibri" w:eastAsia="Calibri" w:hAnsi="Calibri"/>
          <w:sz w:val="19"/>
          <w:szCs w:val="19"/>
          <w:color w:val="auto"/>
        </w:rPr>
        <w:t>. The Restricted Shares shall be represented by book entry transacton registered in the name of a nominee of the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Company, pursuant to which Employee shall have votng rights and shall be enttled to receive all dividends unless and untl the Restricted Shares are forfeited pursuant to the</w:t>
      </w:r>
    </w:p>
    <w:p>
      <w:pPr>
        <w:sectPr>
          <w:pgSz w:w="11900" w:h="16838" w:orient="portrait"/>
          <w:cols w:equalWidth="0" w:num="1">
            <w:col w:w="11240"/>
          </w:cols>
          <w:pgMar w:left="320" w:top="1051" w:right="339" w:bottom="1440" w:gutter="0" w:footer="0" w:header="0"/>
        </w:sectPr>
      </w:pPr>
    </w:p>
    <w:bookmarkStart w:id="88" w:name="page89"/>
    <w:bookmarkEnd w:id="88"/>
    <w:p>
      <w:pPr>
        <w:jc w:val="both"/>
        <w:ind w:left="307"/>
        <w:spacing w:after="0" w:line="204" w:lineRule="auto"/>
        <w:rPr>
          <w:sz w:val="20"/>
          <w:szCs w:val="20"/>
          <w:color w:val="auto"/>
        </w:rPr>
      </w:pPr>
      <w:r>
        <w:rPr>
          <w:rFonts w:ascii="Calibri" w:cs="Calibri" w:eastAsia="Calibri" w:hAnsi="Calibri"/>
          <w:sz w:val="19"/>
          <w:szCs w:val="19"/>
          <w:color w:val="auto"/>
        </w:rPr>
        <w:t>provisions of this Agreement. Notwithstanding any other provisions of this Agreement, the issuance or delivery of any shares of Stock (whether subject to restrictons or unrestricted) may be postponed for such period as may be required to comply with applicable requirements of any natonal securites exchange or any requirements under any law or regulaton applicable to the issuance or delivery of such shares. The Company shall not be obligated to issue or deliver any shares of Stock if the issuance or delivery thereof shall consttute a violaton of any provision of any law or of any regulaton or any natonal securites exchange.</w:t>
      </w:r>
    </w:p>
    <w:p>
      <w:pPr>
        <w:spacing w:after="0" w:line="187" w:lineRule="exact"/>
        <w:rPr>
          <w:sz w:val="20"/>
          <w:szCs w:val="20"/>
          <w:color w:val="auto"/>
        </w:rPr>
      </w:pPr>
    </w:p>
    <w:p>
      <w:pPr>
        <w:jc w:val="both"/>
        <w:ind w:left="307" w:hanging="307"/>
        <w:spacing w:after="0" w:line="205" w:lineRule="auto"/>
        <w:tabs>
          <w:tab w:leader="none" w:pos="299" w:val="left"/>
        </w:tabs>
        <w:numPr>
          <w:ilvl w:val="0"/>
          <w:numId w:val="43"/>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Non-Disclosure, Non-Solicit and Non-Compete Covenants</w:t>
      </w:r>
      <w:r>
        <w:rPr>
          <w:rFonts w:ascii="Calibri" w:cs="Calibri" w:eastAsia="Calibri" w:hAnsi="Calibri"/>
          <w:sz w:val="19"/>
          <w:szCs w:val="19"/>
          <w:color w:val="auto"/>
        </w:rPr>
        <w:t>. To further align Employee’s interests with the Company’s long-term</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business interests, including the preservaton of the Company’s goodwill and the protecton of the Confdental Business Informaton (as defned below) that Employee has obtained and will, necessarily contnue to receive and rely on, Employee and the Company hereby agree to the following:</w:t>
      </w:r>
    </w:p>
    <w:p>
      <w:pPr>
        <w:spacing w:after="0" w:line="200" w:lineRule="exact"/>
        <w:rPr>
          <w:rFonts w:ascii="Calibri" w:cs="Calibri" w:eastAsia="Calibri" w:hAnsi="Calibri"/>
          <w:sz w:val="19"/>
          <w:szCs w:val="19"/>
          <w:color w:val="auto"/>
        </w:rPr>
      </w:pPr>
    </w:p>
    <w:p>
      <w:pPr>
        <w:jc w:val="both"/>
        <w:ind w:left="927" w:hanging="309"/>
        <w:spacing w:after="0" w:line="209" w:lineRule="auto"/>
        <w:tabs>
          <w:tab w:leader="none" w:pos="931" w:val="left"/>
        </w:tabs>
        <w:numPr>
          <w:ilvl w:val="1"/>
          <w:numId w:val="43"/>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Non-Disclosure of Confdental Business Informaton</w:t>
      </w:r>
      <w:r>
        <w:rPr>
          <w:rFonts w:ascii="Calibri" w:cs="Calibri" w:eastAsia="Calibri" w:hAnsi="Calibri"/>
          <w:sz w:val="19"/>
          <w:szCs w:val="19"/>
          <w:color w:val="auto"/>
        </w:rPr>
        <w:t>. Employee agrees that (a) the Company’s Confdental Business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Informaton consttutes valuable, special, and unique assets that the Company uses in its business to obtain a compettve advantage over its compettors; and (b) the protecton of such Confdental Business Informaton against unauthorized disclosure and Employee’s use thereof is of critcal importance to the Company in maintaining its compettve positon. Employee also acknowledges and agrees that any unauthorized use or disclosure of such Confdental Business Informaton or other confdental informaton would cause irreparable harm to the Company. In consideraton of the foregoing, Employee thereby agrees that Employee will not at any tme during employment by the Company, and for so long thereafer as the pertnent informaton or documentaton remains confdental, use (either for the beneft of Employee or the beneft of others), publish, disclose, claim ownership of, communicate, divulge or send to others, access, or take, any Confdental Business Informaton or any confdental informaton of the Company or its afliates, including the vendors, consultants, joint ventures, or customers of the Company, except to the extent needed to carry out Employee’s obligatons to the Company or as otherwise authorized in writng by the Company. Employee acknowledges and agrees that any unauthorized use or disclosure of Confdental Business Informaton or other confdental informaton would cause irreparable harm to the Company. Notwithstanding the foregoing, this Agreement does not prevent Employee from: (i) making a good faith report of possible violatons of applicable law to the Securites and Exchange Commission or any other governmental agency or entty; or (ii) making disclosures that are protected under the whistleblower provisions of applicable law or receiving any award for informaton provided under such whistleblower provisions.</w:t>
      </w:r>
    </w:p>
    <w:p>
      <w:pPr>
        <w:spacing w:after="0" w:line="210" w:lineRule="exact"/>
        <w:rPr>
          <w:rFonts w:ascii="Calibri" w:cs="Calibri" w:eastAsia="Calibri" w:hAnsi="Calibri"/>
          <w:sz w:val="19"/>
          <w:szCs w:val="19"/>
          <w:color w:val="auto"/>
        </w:rPr>
      </w:pPr>
    </w:p>
    <w:p>
      <w:pPr>
        <w:jc w:val="both"/>
        <w:ind w:left="927" w:hanging="309"/>
        <w:spacing w:after="0" w:line="206" w:lineRule="auto"/>
        <w:tabs>
          <w:tab w:leader="none" w:pos="927" w:val="left"/>
        </w:tabs>
        <w:numPr>
          <w:ilvl w:val="1"/>
          <w:numId w:val="43"/>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Non-Solicit and Non-Compete</w:t>
      </w:r>
      <w:r>
        <w:rPr>
          <w:rFonts w:ascii="Calibri" w:cs="Calibri" w:eastAsia="Calibri" w:hAnsi="Calibri"/>
          <w:sz w:val="19"/>
          <w:szCs w:val="19"/>
          <w:color w:val="auto"/>
        </w:rPr>
        <w:t>. During Employee’s employment with the Company and for one year immediately thereafer,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Employee will not, other than on behalf of the Company, directly or indirectly, as a proprietor, partner, employee, agent or otherwise:</w:t>
      </w:r>
    </w:p>
    <w:p>
      <w:pPr>
        <w:spacing w:after="0" w:line="202" w:lineRule="exact"/>
        <w:rPr>
          <w:rFonts w:ascii="Calibri" w:cs="Calibri" w:eastAsia="Calibri" w:hAnsi="Calibri"/>
          <w:sz w:val="19"/>
          <w:szCs w:val="19"/>
          <w:color w:val="auto"/>
        </w:rPr>
      </w:pPr>
    </w:p>
    <w:p>
      <w:pPr>
        <w:jc w:val="both"/>
        <w:ind w:left="1547" w:hanging="310"/>
        <w:spacing w:after="0" w:line="205" w:lineRule="auto"/>
        <w:tabs>
          <w:tab w:leader="none" w:pos="1541" w:val="left"/>
        </w:tabs>
        <w:numPr>
          <w:ilvl w:val="2"/>
          <w:numId w:val="43"/>
        </w:numPr>
        <w:rPr>
          <w:rFonts w:ascii="Calibri" w:cs="Calibri" w:eastAsia="Calibri" w:hAnsi="Calibri"/>
          <w:sz w:val="19"/>
          <w:szCs w:val="19"/>
          <w:color w:val="auto"/>
        </w:rPr>
      </w:pPr>
      <w:r>
        <w:rPr>
          <w:rFonts w:ascii="Calibri" w:cs="Calibri" w:eastAsia="Calibri" w:hAnsi="Calibri"/>
          <w:sz w:val="19"/>
          <w:szCs w:val="19"/>
          <w:color w:val="auto"/>
        </w:rPr>
        <w:t>Solicit, directly or indirectly, or cause or permit others to solicit, directly or indirectly, any person (i) formerly employed by the Company during the six (6) month period immediately preceding or following the terminaton of Employee’s employment (“Former Employee”) or (ii) employed by the Company (“Current Employee”). The term “solicit” includes, but is not limited to, the following (regardless of whether done directly or indirectly): (a) requestng that a Former or</w:t>
      </w:r>
    </w:p>
    <w:p>
      <w:pPr>
        <w:ind w:left="1547"/>
        <w:spacing w:after="0" w:line="193" w:lineRule="auto"/>
        <w:rPr>
          <w:sz w:val="20"/>
          <w:szCs w:val="20"/>
          <w:color w:val="auto"/>
        </w:rPr>
      </w:pPr>
      <w:r>
        <w:rPr>
          <w:rFonts w:ascii="Calibri" w:cs="Calibri" w:eastAsia="Calibri" w:hAnsi="Calibri"/>
          <w:sz w:val="19"/>
          <w:szCs w:val="19"/>
          <w:color w:val="auto"/>
        </w:rPr>
        <w:t>Current Employee change employment; (b) informing a Former or Current Employee that an opening exists elsewhere;</w:t>
      </w:r>
    </w:p>
    <w:p>
      <w:pPr>
        <w:jc w:val="both"/>
        <w:ind w:left="1547"/>
        <w:spacing w:after="0" w:line="194" w:lineRule="auto"/>
        <w:tabs>
          <w:tab w:leader="none" w:pos="1823" w:val="left"/>
        </w:tabs>
        <w:numPr>
          <w:ilvl w:val="1"/>
          <w:numId w:val="44"/>
        </w:numPr>
        <w:rPr>
          <w:rFonts w:ascii="Calibri" w:cs="Calibri" w:eastAsia="Calibri" w:hAnsi="Calibri"/>
          <w:sz w:val="19"/>
          <w:szCs w:val="19"/>
          <w:color w:val="auto"/>
        </w:rPr>
      </w:pPr>
      <w:r>
        <w:rPr>
          <w:rFonts w:ascii="Calibri" w:cs="Calibri" w:eastAsia="Calibri" w:hAnsi="Calibri"/>
          <w:sz w:val="19"/>
          <w:szCs w:val="19"/>
          <w:color w:val="auto"/>
        </w:rPr>
        <w:t>assistng a Former or Current Employee in fnding employment elsewhere; (d) inquiring if a Former or Current Employee “knows of anyone who might be interested” in a positon elsewhere; (e) inquiring if a Former or Current Employee might have an interest in employment elsewhere; (f) informing others of the name or status of, or other informaton about, a Former or Current Employee; or (g) any other similar conduct, the intended or actual efect of which is that a Former Employee afliates with another employer or a Current Employee leaves the employment of the Company.</w:t>
      </w:r>
    </w:p>
    <w:p>
      <w:pPr>
        <w:spacing w:after="0" w:line="203" w:lineRule="exact"/>
        <w:rPr>
          <w:rFonts w:ascii="Calibri" w:cs="Calibri" w:eastAsia="Calibri" w:hAnsi="Calibri"/>
          <w:sz w:val="19"/>
          <w:szCs w:val="19"/>
          <w:color w:val="auto"/>
        </w:rPr>
      </w:pPr>
    </w:p>
    <w:p>
      <w:pPr>
        <w:jc w:val="both"/>
        <w:ind w:left="1547" w:hanging="310"/>
        <w:spacing w:after="0" w:line="206" w:lineRule="auto"/>
        <w:tabs>
          <w:tab w:leader="none" w:pos="1547" w:val="left"/>
        </w:tabs>
        <w:numPr>
          <w:ilvl w:val="0"/>
          <w:numId w:val="45"/>
        </w:numPr>
        <w:rPr>
          <w:rFonts w:ascii="Calibri" w:cs="Calibri" w:eastAsia="Calibri" w:hAnsi="Calibri"/>
          <w:sz w:val="19"/>
          <w:szCs w:val="19"/>
          <w:color w:val="auto"/>
        </w:rPr>
      </w:pPr>
      <w:r>
        <w:rPr>
          <w:rFonts w:ascii="Calibri" w:cs="Calibri" w:eastAsia="Calibri" w:hAnsi="Calibri"/>
          <w:sz w:val="19"/>
          <w:szCs w:val="19"/>
          <w:color w:val="auto"/>
        </w:rPr>
        <w:t>Sell, atempt to sell, or assist in the efort of anyone else who sells or atempts to sell, any products or services which compete with products or services ofered by Company to any actual or prospectve customer of the Company with whom or with which Employee dealt at any tme during the last twelve (12) months of Employee’s</w:t>
      </w:r>
    </w:p>
    <w:p>
      <w:pPr>
        <w:sectPr>
          <w:pgSz w:w="11900" w:h="16838" w:orient="portrait"/>
          <w:cols w:equalWidth="0" w:num="1">
            <w:col w:w="10927"/>
          </w:cols>
          <w:pgMar w:left="633" w:top="1055" w:right="339" w:bottom="1440" w:gutter="0" w:footer="0" w:header="0"/>
        </w:sectPr>
      </w:pPr>
    </w:p>
    <w:bookmarkStart w:id="89" w:name="page90"/>
    <w:bookmarkEnd w:id="89"/>
    <w:p>
      <w:pPr>
        <w:ind w:left="929"/>
        <w:spacing w:after="0"/>
        <w:rPr>
          <w:sz w:val="20"/>
          <w:szCs w:val="20"/>
          <w:color w:val="auto"/>
        </w:rPr>
      </w:pPr>
      <w:r>
        <w:rPr>
          <w:rFonts w:ascii="Calibri" w:cs="Calibri" w:eastAsia="Calibri" w:hAnsi="Calibri"/>
          <w:sz w:val="19"/>
          <w:szCs w:val="19"/>
          <w:color w:val="auto"/>
        </w:rPr>
        <w:t>employment by the Company or about whom Employee has any Confdental Business Informaton.</w:t>
      </w:r>
    </w:p>
    <w:p>
      <w:pPr>
        <w:spacing w:after="0" w:line="200" w:lineRule="exact"/>
        <w:rPr>
          <w:sz w:val="20"/>
          <w:szCs w:val="20"/>
          <w:color w:val="auto"/>
        </w:rPr>
      </w:pPr>
    </w:p>
    <w:p>
      <w:pPr>
        <w:ind w:left="929" w:hanging="310"/>
        <w:spacing w:after="0" w:line="210" w:lineRule="auto"/>
        <w:tabs>
          <w:tab w:leader="none" w:pos="934" w:val="left"/>
        </w:tabs>
        <w:numPr>
          <w:ilvl w:val="0"/>
          <w:numId w:val="46"/>
        </w:numPr>
        <w:rPr>
          <w:rFonts w:ascii="Calibri" w:cs="Calibri" w:eastAsia="Calibri" w:hAnsi="Calibri"/>
          <w:sz w:val="19"/>
          <w:szCs w:val="19"/>
          <w:color w:val="auto"/>
        </w:rPr>
      </w:pPr>
      <w:r>
        <w:rPr>
          <w:rFonts w:ascii="Calibri" w:cs="Calibri" w:eastAsia="Calibri" w:hAnsi="Calibri"/>
          <w:sz w:val="19"/>
          <w:szCs w:val="19"/>
          <w:color w:val="auto"/>
        </w:rPr>
        <w:t>Directly or indirectly, solicit, encourage, or induce said actual or prospectve customers of the Company to terminate or reduce their business with the Company.</w:t>
      </w:r>
    </w:p>
    <w:p>
      <w:pPr>
        <w:spacing w:after="0" w:line="200" w:lineRule="exact"/>
        <w:rPr>
          <w:rFonts w:ascii="Calibri" w:cs="Calibri" w:eastAsia="Calibri" w:hAnsi="Calibri"/>
          <w:sz w:val="19"/>
          <w:szCs w:val="19"/>
          <w:color w:val="auto"/>
        </w:rPr>
      </w:pPr>
    </w:p>
    <w:p>
      <w:pPr>
        <w:jc w:val="both"/>
        <w:ind w:left="929" w:hanging="310"/>
        <w:spacing w:after="0" w:line="211" w:lineRule="auto"/>
        <w:tabs>
          <w:tab w:leader="none" w:pos="933" w:val="left"/>
        </w:tabs>
        <w:numPr>
          <w:ilvl w:val="0"/>
          <w:numId w:val="46"/>
        </w:numPr>
        <w:rPr>
          <w:rFonts w:ascii="Calibri" w:cs="Calibri" w:eastAsia="Calibri" w:hAnsi="Calibri"/>
          <w:sz w:val="19"/>
          <w:szCs w:val="19"/>
          <w:color w:val="auto"/>
        </w:rPr>
      </w:pPr>
      <w:r>
        <w:rPr>
          <w:rFonts w:ascii="Calibri" w:cs="Calibri" w:eastAsia="Calibri" w:hAnsi="Calibri"/>
          <w:sz w:val="19"/>
          <w:szCs w:val="19"/>
          <w:color w:val="auto"/>
        </w:rPr>
        <w:t>Partcipate in, work for, or provide services, in the Territory in which Employee was employed, to any person or entty that is, or is actvely planning to be, a “Compettve Business.” The “Territory in which Employee was employed” shall mean (1) Employee’s geographical area of responsibility, (2) a zone of 150 miles radius from a facility, locaton or ofce of the Company in which Employee was employed during the last eighteen (18) months of Employee’s employment at the Company, and (3) all locatons from which Employee regularly performed Employee’s job functons or performed signifcant job functons, during the last eighteen (18) months of Employee’s employment at the Company. The term “Compettve Business” shall mean any business (however organized or conducted) that competes with a business in which the Company is engaged or in which the Company was actvely planning to engage, at any tme during the last twelve (12) months of Employee’s employment by the Company, provided that Employee was involved with or had access to Confdental Business Informaton regarding such business. This restricton does not prohibit Employee from working for a person or entty, even if a Compettve Business, in a capacity unrelated to the work that Employee performed for the Company, provided Employee and any new employer frst provide the Company with adequate writen assurances of the steps taken to ensure the protecton, and to prevent the use or disclosure, of Confdental Business Informaton. Nothing in this Subparagraph 5(b)(iv) shall prohibit Employee and Employee’s afliates from owning, as passive investors, in the aggregate not more than fve percent of equity securites of any Compettve Business.</w:t>
      </w:r>
    </w:p>
    <w:p>
      <w:pPr>
        <w:spacing w:after="0" w:line="190" w:lineRule="exact"/>
        <w:rPr>
          <w:rFonts w:ascii="Calibri" w:cs="Calibri" w:eastAsia="Calibri" w:hAnsi="Calibri"/>
          <w:sz w:val="19"/>
          <w:szCs w:val="19"/>
          <w:color w:val="auto"/>
        </w:rPr>
      </w:pPr>
    </w:p>
    <w:p>
      <w:pPr>
        <w:jc w:val="both"/>
        <w:ind w:left="929" w:hanging="310"/>
        <w:spacing w:after="0" w:line="205" w:lineRule="auto"/>
        <w:tabs>
          <w:tab w:leader="none" w:pos="927" w:val="left"/>
        </w:tabs>
        <w:numPr>
          <w:ilvl w:val="0"/>
          <w:numId w:val="46"/>
        </w:numPr>
        <w:rPr>
          <w:rFonts w:ascii="Calibri" w:cs="Calibri" w:eastAsia="Calibri" w:hAnsi="Calibri"/>
          <w:sz w:val="19"/>
          <w:szCs w:val="19"/>
          <w:color w:val="auto"/>
        </w:rPr>
      </w:pPr>
      <w:r>
        <w:rPr>
          <w:rFonts w:ascii="Calibri" w:cs="Calibri" w:eastAsia="Calibri" w:hAnsi="Calibri"/>
          <w:sz w:val="19"/>
          <w:szCs w:val="19"/>
          <w:color w:val="auto"/>
        </w:rPr>
        <w:t>Act in any capacity for or with any Compettve Business, or for or with any of their agents, if in such capacity Employee would, because of the nature of his/her role with such Compettve Business and Employee’s knowledge of Confdental Business Informaton, inevitably use and/or disclose any Confdental Business Informaton in his/her work for, or on behalf of, the Compettve Business or its agent.</w:t>
      </w:r>
    </w:p>
    <w:p>
      <w:pPr>
        <w:spacing w:after="0" w:line="200" w:lineRule="exact"/>
        <w:rPr>
          <w:rFonts w:ascii="Calibri" w:cs="Calibri" w:eastAsia="Calibri" w:hAnsi="Calibri"/>
          <w:sz w:val="19"/>
          <w:szCs w:val="19"/>
          <w:color w:val="auto"/>
        </w:rPr>
      </w:pPr>
    </w:p>
    <w:p>
      <w:pPr>
        <w:ind w:left="929" w:hanging="310"/>
        <w:spacing w:after="0" w:line="216" w:lineRule="auto"/>
        <w:tabs>
          <w:tab w:leader="none" w:pos="933" w:val="left"/>
        </w:tabs>
        <w:numPr>
          <w:ilvl w:val="0"/>
          <w:numId w:val="46"/>
        </w:numPr>
        <w:rPr>
          <w:rFonts w:ascii="Calibri" w:cs="Calibri" w:eastAsia="Calibri" w:hAnsi="Calibri"/>
          <w:sz w:val="19"/>
          <w:szCs w:val="19"/>
          <w:color w:val="auto"/>
        </w:rPr>
      </w:pPr>
      <w:r>
        <w:rPr>
          <w:rFonts w:ascii="Calibri" w:cs="Calibri" w:eastAsia="Calibri" w:hAnsi="Calibri"/>
          <w:sz w:val="19"/>
          <w:szCs w:val="19"/>
          <w:color w:val="auto"/>
        </w:rPr>
        <w:t>Otherwise interfere with, disrupt or atempt to disrupt relatons between the Company and any of its employees, contractors, vendors, third party business afliates, or consultants.</w:t>
      </w:r>
    </w:p>
    <w:p>
      <w:pPr>
        <w:spacing w:after="0" w:line="188" w:lineRule="exact"/>
        <w:rPr>
          <w:sz w:val="20"/>
          <w:szCs w:val="20"/>
          <w:color w:val="auto"/>
        </w:rPr>
      </w:pPr>
    </w:p>
    <w:p>
      <w:pPr>
        <w:jc w:val="both"/>
        <w:ind w:left="309"/>
        <w:spacing w:after="0" w:line="200" w:lineRule="auto"/>
        <w:rPr>
          <w:sz w:val="20"/>
          <w:szCs w:val="20"/>
          <w:color w:val="auto"/>
        </w:rPr>
      </w:pPr>
      <w:r>
        <w:rPr>
          <w:rFonts w:ascii="Calibri" w:cs="Calibri" w:eastAsia="Calibri" w:hAnsi="Calibri"/>
          <w:sz w:val="19"/>
          <w:szCs w:val="19"/>
          <w:color w:val="auto"/>
        </w:rPr>
        <w:t>Employee agrees that (a) the covenants contained in this Agreement are necessary for the protecton of the Company’s business, goodwill, customer and employee relatonships and Confdental Business Informaton, and (b) the compensaton and other consideraton received by Employee, including the Restricted Shares, are based on Employee’s agreement to such covenants. Employee represents and warrants that the tme, scope of actvity and geographic area restricted by this Agreement are reasonable, especially in the view of the worldwide scope of the business operatons of the Company, Employee’s positon and responsibilites with the Company, and the nature of the Confdental Business Informaton, that the enforcement of those restrictons contained in this Agreement would not be unduly burdensome to or impose any undue hardship on Employee, and that Employee will be able to earn a reasonable living while abiding by such covenants.</w:t>
      </w:r>
    </w:p>
    <w:p>
      <w:pPr>
        <w:spacing w:after="0" w:line="207" w:lineRule="exact"/>
        <w:rPr>
          <w:sz w:val="20"/>
          <w:szCs w:val="20"/>
          <w:color w:val="auto"/>
        </w:rPr>
      </w:pPr>
    </w:p>
    <w:p>
      <w:pPr>
        <w:jc w:val="both"/>
        <w:ind w:left="309" w:hanging="309"/>
        <w:spacing w:after="0" w:line="201" w:lineRule="auto"/>
        <w:tabs>
          <w:tab w:leader="none" w:pos="301" w:val="left"/>
        </w:tabs>
        <w:numPr>
          <w:ilvl w:val="0"/>
          <w:numId w:val="47"/>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State Specifc Limitatons</w:t>
      </w:r>
      <w:r>
        <w:rPr>
          <w:rFonts w:ascii="Calibri" w:cs="Calibri" w:eastAsia="Calibri" w:hAnsi="Calibri"/>
          <w:sz w:val="19"/>
          <w:szCs w:val="19"/>
          <w:color w:val="auto"/>
        </w:rPr>
        <w:t>. Employee and the Company hereby further agree that, in spite of anything in the Agreement to the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contrary, if and to the extent Employee works for the Company, not including temporary assignments or business travel, in the states mentoned below, the restrictons in Paragraph 5(b) will be revised as set forth below. During any porton of Employee’s employment with the Company when Employee is not assigned to one of the states listed below, this Agreement shall be enforceable in its entrety:</w:t>
      </w:r>
    </w:p>
    <w:p>
      <w:pPr>
        <w:spacing w:after="0" w:line="201" w:lineRule="exact"/>
        <w:rPr>
          <w:rFonts w:ascii="Calibri" w:cs="Calibri" w:eastAsia="Calibri" w:hAnsi="Calibri"/>
          <w:sz w:val="19"/>
          <w:szCs w:val="19"/>
          <w:color w:val="auto"/>
        </w:rPr>
      </w:pPr>
    </w:p>
    <w:p>
      <w:pPr>
        <w:jc w:val="both"/>
        <w:ind w:left="929" w:hanging="310"/>
        <w:spacing w:after="0" w:line="206" w:lineRule="auto"/>
        <w:tabs>
          <w:tab w:leader="none" w:pos="923" w:val="left"/>
        </w:tabs>
        <w:numPr>
          <w:ilvl w:val="1"/>
          <w:numId w:val="47"/>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California</w:t>
      </w:r>
      <w:r>
        <w:rPr>
          <w:rFonts w:ascii="Calibri" w:cs="Calibri" w:eastAsia="Calibri" w:hAnsi="Calibri"/>
          <w:sz w:val="19"/>
          <w:szCs w:val="19"/>
          <w:color w:val="auto"/>
        </w:rPr>
        <w:t>: The only provisions of Paragraph 5(b) that will apply during Employee’s ongoing (not temporary or business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travel) assignment in California shall be Subparagraph (i) and, to the extent necessary to protect the Company’s trade secrets, Subparagraphs (v) and (vi).</w:t>
      </w:r>
    </w:p>
    <w:p>
      <w:pPr>
        <w:sectPr>
          <w:pgSz w:w="11900" w:h="16838" w:orient="portrait"/>
          <w:cols w:equalWidth="0" w:num="1">
            <w:col w:w="10309"/>
          </w:cols>
          <w:pgMar w:left="1251" w:top="1049" w:right="339" w:bottom="1440" w:gutter="0" w:footer="0" w:header="0"/>
        </w:sectPr>
      </w:pPr>
    </w:p>
    <w:bookmarkStart w:id="90" w:name="page91"/>
    <w:bookmarkEnd w:id="90"/>
    <w:p>
      <w:pPr>
        <w:jc w:val="both"/>
        <w:ind w:left="1547" w:hanging="310"/>
        <w:spacing w:after="0" w:line="199" w:lineRule="auto"/>
        <w:tabs>
          <w:tab w:leader="none" w:pos="1547" w:val="left"/>
        </w:tabs>
        <w:numPr>
          <w:ilvl w:val="2"/>
          <w:numId w:val="48"/>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Colorado</w:t>
      </w:r>
      <w:r>
        <w:rPr>
          <w:rFonts w:ascii="Calibri" w:cs="Calibri" w:eastAsia="Calibri" w:hAnsi="Calibri"/>
          <w:sz w:val="19"/>
          <w:szCs w:val="19"/>
          <w:color w:val="auto"/>
        </w:rPr>
        <w:t>: If Employee has an ongoing (not temporary or business travel) assignment in Colorado, the provisions of</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Paragraph 5(b)(i), (ii), (iv) and (v) shall only apply to Employee if Employee’s annualized cash compensaton meets or exceeds the threshold amount for highly compensated workers within the meaning of C.R.S. § 8-2-113(2) and the provisions of Paragraph 5(b)(iii) shall only apply to Employee if Employee’s annualized cash compensaton is at least 60% of the then-applicable highly-compensated threshold under Colorado law. Additonally, Employee acknowledges that the Company has provided Employee with a separate notce advising Employee of the restrictve covenants in Paragraph 5 in accordance with CRS § 8-2-113 and that the Company gave Employee at least fourteen (14) days to review the notce and the Agreement.</w:t>
      </w:r>
    </w:p>
    <w:p>
      <w:pPr>
        <w:spacing w:after="0" w:line="195" w:lineRule="exact"/>
        <w:rPr>
          <w:rFonts w:ascii="Calibri" w:cs="Calibri" w:eastAsia="Calibri" w:hAnsi="Calibri"/>
          <w:sz w:val="19"/>
          <w:szCs w:val="19"/>
          <w:color w:val="auto"/>
        </w:rPr>
      </w:pPr>
    </w:p>
    <w:p>
      <w:pPr>
        <w:ind w:left="1547" w:hanging="310"/>
        <w:spacing w:after="0"/>
        <w:tabs>
          <w:tab w:leader="none" w:pos="1547" w:val="left"/>
        </w:tabs>
        <w:numPr>
          <w:ilvl w:val="2"/>
          <w:numId w:val="48"/>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Louisiana</w:t>
      </w:r>
      <w:r>
        <w:rPr>
          <w:rFonts w:ascii="Calibri" w:cs="Calibri" w:eastAsia="Calibri" w:hAnsi="Calibri"/>
          <w:sz w:val="19"/>
          <w:szCs w:val="19"/>
          <w:color w:val="auto"/>
        </w:rPr>
        <w:t>: The provisions of Paragraph 5(b) will apply during Employee’s ongoing (not temporary or business travel)</w:t>
      </w:r>
    </w:p>
    <w:p>
      <w:pPr>
        <w:jc w:val="both"/>
        <w:ind w:left="1547"/>
        <w:spacing w:after="0"/>
        <w:rPr>
          <w:rFonts w:ascii="Calibri" w:cs="Calibri" w:eastAsia="Calibri" w:hAnsi="Calibri"/>
          <w:sz w:val="19"/>
          <w:szCs w:val="19"/>
          <w:color w:val="auto"/>
        </w:rPr>
      </w:pPr>
      <w:r>
        <w:rPr>
          <w:rFonts w:ascii="Calibri" w:cs="Calibri" w:eastAsia="Calibri" w:hAnsi="Calibri"/>
          <w:sz w:val="19"/>
          <w:szCs w:val="19"/>
          <w:color w:val="auto"/>
        </w:rPr>
        <w:t>assignment in Louisiana in the following Louisiana parishes and municipalites: Acadia, Bienville, Bossier, Caddo, Calcasieu, Cameron, Iberia, Lafayete, Lafourche, Orleans, Plaquemines, Rapides, St. Mary, St. Martn, Terrebonne, and Vermilion.</w:t>
      </w:r>
    </w:p>
    <w:p>
      <w:pPr>
        <w:spacing w:after="0" w:line="303" w:lineRule="exact"/>
        <w:rPr>
          <w:rFonts w:ascii="Calibri" w:cs="Calibri" w:eastAsia="Calibri" w:hAnsi="Calibri"/>
          <w:sz w:val="19"/>
          <w:szCs w:val="19"/>
          <w:color w:val="auto"/>
        </w:rPr>
      </w:pPr>
    </w:p>
    <w:p>
      <w:pPr>
        <w:jc w:val="both"/>
        <w:ind w:left="1547" w:hanging="310"/>
        <w:spacing w:after="0" w:line="205" w:lineRule="auto"/>
        <w:tabs>
          <w:tab w:leader="none" w:pos="1551" w:val="left"/>
        </w:tabs>
        <w:numPr>
          <w:ilvl w:val="2"/>
          <w:numId w:val="48"/>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North Dakota</w:t>
      </w:r>
      <w:r>
        <w:rPr>
          <w:rFonts w:ascii="Calibri" w:cs="Calibri" w:eastAsia="Calibri" w:hAnsi="Calibri"/>
          <w:sz w:val="19"/>
          <w:szCs w:val="19"/>
          <w:color w:val="auto"/>
        </w:rPr>
        <w:t>: All provisions of Paragraph 5(b) will apply during Employee’s ongoing (not temporary or business travel)</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assignment in North Dakota. For the one year period immediately following the end of said Employee’s employment, the only provisions of Paragraph 5(b) that will apply shall be Subparagraph (i) and, to the extent necessary to protect Company’s trade secrets and/or Confdental Business Informaton, Subparagraphs (v) and (vi).</w:t>
      </w:r>
    </w:p>
    <w:p>
      <w:pPr>
        <w:spacing w:after="0" w:line="187" w:lineRule="exact"/>
        <w:rPr>
          <w:rFonts w:ascii="Calibri" w:cs="Calibri" w:eastAsia="Calibri" w:hAnsi="Calibri"/>
          <w:sz w:val="19"/>
          <w:szCs w:val="19"/>
          <w:color w:val="auto"/>
        </w:rPr>
      </w:pPr>
    </w:p>
    <w:p>
      <w:pPr>
        <w:jc w:val="both"/>
        <w:ind w:left="1547" w:hanging="310"/>
        <w:spacing w:after="0" w:line="205" w:lineRule="auto"/>
        <w:tabs>
          <w:tab w:leader="none" w:pos="1546" w:val="left"/>
        </w:tabs>
        <w:numPr>
          <w:ilvl w:val="2"/>
          <w:numId w:val="48"/>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Oklahoma</w:t>
      </w:r>
      <w:r>
        <w:rPr>
          <w:rFonts w:ascii="Calibri" w:cs="Calibri" w:eastAsia="Calibri" w:hAnsi="Calibri"/>
          <w:sz w:val="19"/>
          <w:szCs w:val="19"/>
          <w:color w:val="auto"/>
        </w:rPr>
        <w:t>: The only provisions of Paragraph 5(b) that will apply during Employee’s ongoing (not temporary or business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travel) assignment in Oklahoma shall be Subparagraph (i), and to the extent necessary to prevent the direct solicitaton of the sale of goods and/or services from the customers of the Company, Subparagraphs (ii) and (iii), and to the extent necessary to protect the Company’s trade secrets, Subparagraphs (v) and (vi).</w:t>
      </w:r>
    </w:p>
    <w:p>
      <w:pPr>
        <w:spacing w:after="0" w:line="200" w:lineRule="exact"/>
        <w:rPr>
          <w:rFonts w:ascii="Calibri" w:cs="Calibri" w:eastAsia="Calibri" w:hAnsi="Calibri"/>
          <w:sz w:val="19"/>
          <w:szCs w:val="19"/>
          <w:color w:val="auto"/>
        </w:rPr>
      </w:pPr>
    </w:p>
    <w:p>
      <w:pPr>
        <w:jc w:val="both"/>
        <w:ind w:left="927" w:hanging="309"/>
        <w:spacing w:after="0" w:line="209" w:lineRule="auto"/>
        <w:tabs>
          <w:tab w:leader="none" w:pos="927" w:val="left"/>
        </w:tabs>
        <w:numPr>
          <w:ilvl w:val="1"/>
          <w:numId w:val="49"/>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Confdental Business Informaton</w:t>
      </w:r>
      <w:r>
        <w:rPr>
          <w:rFonts w:ascii="Calibri" w:cs="Calibri" w:eastAsia="Calibri" w:hAnsi="Calibri"/>
          <w:sz w:val="19"/>
          <w:szCs w:val="19"/>
          <w:color w:val="auto"/>
        </w:rPr>
        <w:t>. As used in this Agreement, the term “Confdental Business Informaton” means any and all</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of the Company’s trade secrets, confdental and/or proprietary informaton, and all other informaton and data that is not generally known to third persons who could derive economic value from its use or disclosure, including, but not limited to, the Company’s strategies, methods, products, sofware, designs, drawings, books, records, data, and technical informaton concerning its products, equipment, services and processes, procurement procedures and pricing techniques; the methods though which the Company identfes, hires, trains and compensates its employees; details regarding the Company’s employees, including their compensaton, contact informaton, and their performance and conduct; methods to locate and qualify contractors, vendors and third party afliates; the identty of and other informaton (such as credit and fnancial data) concerning the Company’s contractors, vendors and third party business afliates; the individuals, and their contact Informaton, at contractors, vendors and third party business afliates with whom the Company has dealt; the amounts and types of goods and/or services purchased in the past from contractors, vendors and third party business afliates; the amounts paid for such past purchases; the identty of the Company’s customers; the individuals, and their contact informaton, at customers with whom Employee has dealt; the amounts and types of products and services purchased in the past by such customers; the amount paid for such past purchases, the tming of such past purchases, and the method of payment for such past purchases; the Company’s plans for future products and services; the details of any ongoing or planned negotatons for future products and services; and the Company’s plans for the future, including without limitaton plans for its products and services, for geographic and customer markets, and for marketng, promotng, selling, distributng and providing its products and services.</w:t>
      </w:r>
    </w:p>
    <w:p>
      <w:pPr>
        <w:spacing w:after="0" w:line="201" w:lineRule="exact"/>
        <w:rPr>
          <w:rFonts w:ascii="Calibri" w:cs="Calibri" w:eastAsia="Calibri" w:hAnsi="Calibri"/>
          <w:sz w:val="19"/>
          <w:szCs w:val="19"/>
          <w:color w:val="auto"/>
        </w:rPr>
      </w:pPr>
    </w:p>
    <w:p>
      <w:pPr>
        <w:jc w:val="both"/>
        <w:ind w:left="307" w:hanging="307"/>
        <w:spacing w:after="0" w:line="206" w:lineRule="auto"/>
        <w:tabs>
          <w:tab w:leader="none" w:pos="299" w:val="left"/>
        </w:tabs>
        <w:numPr>
          <w:ilvl w:val="0"/>
          <w:numId w:val="50"/>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Non-Transferability</w:t>
      </w:r>
      <w:r>
        <w:rPr>
          <w:rFonts w:ascii="Calibri" w:cs="Calibri" w:eastAsia="Calibri" w:hAnsi="Calibri"/>
          <w:sz w:val="19"/>
          <w:szCs w:val="19"/>
          <w:color w:val="auto"/>
        </w:rPr>
        <w:t>. The Restricted Shares may not be sold, assigned, pledged, exchanged, hypothecated, encumbered, disposed of, or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otherwise transferred, except by will or the laws of descent and distributon or pursuant to a “qualifed domestc relatons order” as defned by the Internal Revenue Code (the “Code”) or Title I of the Employee Retrement Income Security Act of</w:t>
      </w:r>
    </w:p>
    <w:p>
      <w:pPr>
        <w:sectPr>
          <w:pgSz w:w="11900" w:h="16838" w:orient="portrait"/>
          <w:cols w:equalWidth="0" w:num="1">
            <w:col w:w="10927"/>
          </w:cols>
          <w:pgMar w:left="633" w:top="1288" w:right="339" w:bottom="1440" w:gutter="0" w:footer="0" w:header="0"/>
        </w:sectPr>
      </w:pPr>
    </w:p>
    <w:bookmarkStart w:id="91" w:name="page92"/>
    <w:bookmarkEnd w:id="91"/>
    <w:p>
      <w:pPr>
        <w:jc w:val="both"/>
        <w:ind w:left="307"/>
        <w:spacing w:after="0" w:line="206" w:lineRule="auto"/>
        <w:rPr>
          <w:sz w:val="20"/>
          <w:szCs w:val="20"/>
          <w:color w:val="auto"/>
        </w:rPr>
      </w:pPr>
      <w:r>
        <w:rPr>
          <w:rFonts w:ascii="Calibri" w:cs="Calibri" w:eastAsia="Calibri" w:hAnsi="Calibri"/>
          <w:sz w:val="19"/>
          <w:szCs w:val="19"/>
          <w:color w:val="auto"/>
        </w:rPr>
        <w:t>1974, as amended, or similar order. Upon any atempt to transfer, assign, pledge, hypothecate or otherwise dispose of the Restricted Shares or such rights contrary to the provisions hereof or in the Plan, the Restricted Shares and such rights shall immediately become null and void.</w:t>
      </w:r>
    </w:p>
    <w:p>
      <w:pPr>
        <w:spacing w:after="0" w:line="202" w:lineRule="exact"/>
        <w:rPr>
          <w:sz w:val="20"/>
          <w:szCs w:val="20"/>
          <w:color w:val="auto"/>
        </w:rPr>
      </w:pPr>
    </w:p>
    <w:p>
      <w:pPr>
        <w:jc w:val="both"/>
        <w:ind w:left="307" w:hanging="307"/>
        <w:spacing w:after="0" w:line="212" w:lineRule="auto"/>
        <w:tabs>
          <w:tab w:leader="none" w:pos="299" w:val="left"/>
        </w:tabs>
        <w:numPr>
          <w:ilvl w:val="0"/>
          <w:numId w:val="51"/>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Withholding of Tax</w:t>
      </w:r>
      <w:r>
        <w:rPr>
          <w:rFonts w:ascii="Calibri" w:cs="Calibri" w:eastAsia="Calibri" w:hAnsi="Calibri"/>
          <w:sz w:val="19"/>
          <w:szCs w:val="19"/>
          <w:color w:val="auto"/>
        </w:rPr>
        <w:t>. Employee acknowledges that, regardless of any acton taken by the Company or, if diferent, the Subsidiary or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afliated company that employs Employee (the “Employer”), the ultmate liability for all income tax, social contributons, payroll tax, fringe benefts tax, payment on account, hypothetcal tax or other tax-related items related to Employee’s partcipaton in the Plan and legally applicable to Employee or deemed by the Company or the Employer in their discreton to be an appropriate charge to Employee even if legally applicable to the Company or the Employer (“Tax-Related Items”), is and remains Employee’s responsibility and may exceed the amount actually withheld by the Company or the Employer, if any. Employee further acknowledges that the Company and/or the Employer (a) make no representatons or undertakings regarding the treatment of any Tax-Related Items in connecton with any aspect of the Restricted Shares, including, but not limited to, the grant, vestng, issuance of shares of Stock, the subsequent sale of shares of Stock acquired under the Plan and the receipt of any dividends; and (b) do not commit to and are under no obligaton to structure the terms of the grant or any aspect of the Restricted Shares to reduce or eliminate Employee’s liability for Tax-Related Items or achieve any partcular tax result. Further, if Employee is subject to Tax-Related Items in more than one jurisdicton between the Grant Date and the date of any relevant taxable or tax withholding event, as applicable, Employee acknowledges that the Company and/or the Employer (or former employer, as applicable) may be required to withhold or account for Tax-Related Items in more than one jurisdicton.</w:t>
      </w:r>
    </w:p>
    <w:p>
      <w:pPr>
        <w:spacing w:after="0" w:line="211" w:lineRule="exact"/>
        <w:rPr>
          <w:rFonts w:ascii="Calibri" w:cs="Calibri" w:eastAsia="Calibri" w:hAnsi="Calibri"/>
          <w:sz w:val="19"/>
          <w:szCs w:val="19"/>
          <w:color w:val="auto"/>
        </w:rPr>
      </w:pPr>
    </w:p>
    <w:p>
      <w:pPr>
        <w:jc w:val="both"/>
        <w:ind w:left="307"/>
        <w:spacing w:after="0" w:line="229" w:lineRule="auto"/>
        <w:rPr>
          <w:rFonts w:ascii="Calibri" w:cs="Calibri" w:eastAsia="Calibri" w:hAnsi="Calibri"/>
          <w:sz w:val="19"/>
          <w:szCs w:val="19"/>
          <w:color w:val="auto"/>
        </w:rPr>
      </w:pPr>
      <w:r>
        <w:rPr>
          <w:rFonts w:ascii="Calibri" w:cs="Calibri" w:eastAsia="Calibri" w:hAnsi="Calibri"/>
          <w:sz w:val="19"/>
          <w:szCs w:val="19"/>
          <w:color w:val="auto"/>
        </w:rPr>
        <w:t>Prior to the relevant taxable or tax withholding event, as applicable, Employee agrees to make adequate arrangements satsfactory to the Company and/or the Employer to satsfy all Tax-Related Items. In this regard, unless otherwise approved by the Commitee, the Company shall satsfy the obligatons with regard to all Tax-Related Items by either (i) withholding from Employee’s wages or other cash compensaton payable to Employee by the Company and/or the Employer, (ii) reacquiring and withholding a number of shares of Stock from the Restricted Shares having a Fair Market Value equal to the amount required to be withheld or (iii) permitng Employee to tender to the Company cash (including check, bank draf or money order delivered to the Company’s Stock Plan Administrator) or, if allowed by the Commitee, shares of Stock previously acquired by Employee having a Fair Market Value equal to the amount required to be withheld.</w:t>
      </w:r>
    </w:p>
    <w:p>
      <w:pPr>
        <w:spacing w:after="0" w:line="139" w:lineRule="exact"/>
        <w:rPr>
          <w:rFonts w:ascii="Calibri" w:cs="Calibri" w:eastAsia="Calibri" w:hAnsi="Calibri"/>
          <w:sz w:val="19"/>
          <w:szCs w:val="19"/>
          <w:color w:val="auto"/>
        </w:rPr>
      </w:pPr>
    </w:p>
    <w:p>
      <w:pPr>
        <w:jc w:val="both"/>
        <w:ind w:left="307"/>
        <w:spacing w:after="0" w:line="205" w:lineRule="auto"/>
        <w:rPr>
          <w:rFonts w:ascii="Calibri" w:cs="Calibri" w:eastAsia="Calibri" w:hAnsi="Calibri"/>
          <w:sz w:val="19"/>
          <w:szCs w:val="19"/>
          <w:color w:val="auto"/>
        </w:rPr>
      </w:pPr>
      <w:r>
        <w:rPr>
          <w:rFonts w:ascii="Calibri" w:cs="Calibri" w:eastAsia="Calibri" w:hAnsi="Calibri"/>
          <w:sz w:val="19"/>
          <w:szCs w:val="19"/>
          <w:color w:val="auto"/>
        </w:rPr>
        <w:t>Notwithstanding the foregoing, if Employee is subject to Secton 16 of the U.S. Securites Exchange Act of 1934, as amended, pursuant to Rule 16a-2 promulgated thereunder, any Tax-Related Items withholding obligatons shall be satsfed by the Company reacquiring and withholding a number of shares of Stock from the Restricted Shares having a Fair Market Value equal to the amount required to be withheld.</w:t>
      </w:r>
    </w:p>
    <w:p>
      <w:pPr>
        <w:spacing w:after="0" w:line="135" w:lineRule="exact"/>
        <w:rPr>
          <w:rFonts w:ascii="Calibri" w:cs="Calibri" w:eastAsia="Calibri" w:hAnsi="Calibri"/>
          <w:sz w:val="19"/>
          <w:szCs w:val="19"/>
          <w:color w:val="auto"/>
        </w:rPr>
      </w:pPr>
    </w:p>
    <w:p>
      <w:pPr>
        <w:jc w:val="both"/>
        <w:ind w:left="307"/>
        <w:spacing w:after="0" w:line="201" w:lineRule="auto"/>
        <w:rPr>
          <w:rFonts w:ascii="Calibri" w:cs="Calibri" w:eastAsia="Calibri" w:hAnsi="Calibri"/>
          <w:sz w:val="19"/>
          <w:szCs w:val="19"/>
          <w:color w:val="auto"/>
        </w:rPr>
      </w:pPr>
      <w:r>
        <w:rPr>
          <w:rFonts w:ascii="Calibri" w:cs="Calibri" w:eastAsia="Calibri" w:hAnsi="Calibri"/>
          <w:sz w:val="19"/>
          <w:szCs w:val="19"/>
          <w:color w:val="auto"/>
        </w:rPr>
        <w:t>Depending on the withholding method, the Company may withhold or account for Tax-Related Items by considering applicable statutory withholding rates (as determined by the Company in good faith and in its sole discreton) or other applicable withholding rates, including maximum applicable rates. In the event of over-withholding, Employee may receive a refund of any over-withheld amount in cash (with no enttlement to the share equivalent), or if not refunded, Employee may seek a refund from the local tax authorites. In the event of under-withholding, Employee may be required to pay any additonal Tax-Related Items directly to the applicable tax authority or to the Company and/or the Employer.</w:t>
      </w:r>
    </w:p>
    <w:p>
      <w:pPr>
        <w:spacing w:after="0" w:line="136" w:lineRule="exact"/>
        <w:rPr>
          <w:rFonts w:ascii="Calibri" w:cs="Calibri" w:eastAsia="Calibri" w:hAnsi="Calibri"/>
          <w:sz w:val="19"/>
          <w:szCs w:val="19"/>
          <w:color w:val="auto"/>
        </w:rPr>
      </w:pPr>
    </w:p>
    <w:p>
      <w:pPr>
        <w:jc w:val="both"/>
        <w:ind w:left="307"/>
        <w:spacing w:after="0" w:line="205" w:lineRule="auto"/>
        <w:rPr>
          <w:rFonts w:ascii="Calibri" w:cs="Calibri" w:eastAsia="Calibri" w:hAnsi="Calibri"/>
          <w:sz w:val="19"/>
          <w:szCs w:val="19"/>
          <w:color w:val="auto"/>
        </w:rPr>
      </w:pPr>
      <w:r>
        <w:rPr>
          <w:rFonts w:ascii="Calibri" w:cs="Calibri" w:eastAsia="Calibri" w:hAnsi="Calibri"/>
          <w:sz w:val="19"/>
          <w:szCs w:val="19"/>
          <w:color w:val="auto"/>
        </w:rPr>
        <w:t>Employee agrees to pay to the Company or the Employer any amount of Tax-Related Items that the Company or the Employer may be required to withhold or account for as a result of Employee’s partcipaton in the Plan that cannot be satsfed by the means previously described. The Company may refuse to issue or deliver shares of Stock or proceeds from the sale of shares of Stock untl arrangements satsfactory to the Company have been made in connecton with the Tax-Related Items.</w:t>
      </w:r>
    </w:p>
    <w:p>
      <w:pPr>
        <w:spacing w:after="0" w:line="187" w:lineRule="exact"/>
        <w:rPr>
          <w:rFonts w:ascii="Calibri" w:cs="Calibri" w:eastAsia="Calibri" w:hAnsi="Calibri"/>
          <w:sz w:val="19"/>
          <w:szCs w:val="19"/>
          <w:color w:val="auto"/>
        </w:rPr>
      </w:pPr>
    </w:p>
    <w:p>
      <w:pPr>
        <w:jc w:val="both"/>
        <w:ind w:left="307" w:hanging="307"/>
        <w:spacing w:after="0" w:line="204" w:lineRule="auto"/>
        <w:tabs>
          <w:tab w:leader="none" w:pos="299" w:val="left"/>
        </w:tabs>
        <w:numPr>
          <w:ilvl w:val="0"/>
          <w:numId w:val="51"/>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Status of Stock</w:t>
      </w:r>
      <w:r>
        <w:rPr>
          <w:rFonts w:ascii="Calibri" w:cs="Calibri" w:eastAsia="Calibri" w:hAnsi="Calibri"/>
          <w:sz w:val="19"/>
          <w:szCs w:val="19"/>
          <w:color w:val="auto"/>
        </w:rPr>
        <w:t>. Employee agrees that the Restricted Shares will not be sold or otherwise disposed of in any manner which would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consttute a violaton of any applicable U.S. federal or state securites laws. Employee also agrees (i) that the Company may refuse to register the transfer of the Restricted Shares on the stock transfer records of the Company if such proposed transfer would in the opinion of counsel to the Company consttute a violaton of any applicable securites law, and (ii) that the Company may give related instructons to its transfer agent, if any, to stop registraton of the transfer of the Restricted Shares.</w:t>
      </w:r>
    </w:p>
    <w:p>
      <w:pPr>
        <w:sectPr>
          <w:pgSz w:w="11900" w:h="16838" w:orient="portrait"/>
          <w:cols w:equalWidth="0" w:num="1">
            <w:col w:w="10927"/>
          </w:cols>
          <w:pgMar w:left="633" w:top="1056" w:right="339" w:bottom="1440" w:gutter="0" w:footer="0" w:header="0"/>
        </w:sectPr>
      </w:pPr>
    </w:p>
    <w:bookmarkStart w:id="92" w:name="page93"/>
    <w:bookmarkEnd w:id="92"/>
    <w:p>
      <w:pPr>
        <w:jc w:val="both"/>
        <w:ind w:left="307" w:hanging="307"/>
        <w:spacing w:after="0" w:line="218" w:lineRule="auto"/>
        <w:tabs>
          <w:tab w:leader="none" w:pos="299" w:val="left"/>
        </w:tabs>
        <w:numPr>
          <w:ilvl w:val="0"/>
          <w:numId w:val="52"/>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Nature of Grant</w:t>
      </w:r>
      <w:r>
        <w:rPr>
          <w:rFonts w:ascii="Calibri" w:cs="Calibri" w:eastAsia="Calibri" w:hAnsi="Calibri"/>
          <w:sz w:val="19"/>
          <w:szCs w:val="19"/>
          <w:color w:val="auto"/>
        </w:rPr>
        <w:t>. Nothing contained in this Agreement is intended to consttute or create a contract of employment, nor shall it</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consttute or create the right to remain associated with or in the employ of the Company and its Subsidiaries or afliated companies for any partcular period of tme. This Agreement shall not interfere in any way with the Company’s right to terminate Employee’s employment at any tme. For purposes of this Agreement, Employee shall be considered in the employment of the Company as long as Employee remains an employee of either the Company, any successor corporaton or a parent or subsidiary corporaton (as defned in Secton 424 of the Code) of the Company or any successor corporaton. Any queston as to whether and when there has been a terminaton of such employment, and the cause of such terminaton, shall be determined by the Commitee, or its delegate, as appropriate, and its determinaton shall be fnal. Furthermore, this Agreement, the Plan, and any other Plan documents are not part of Employee’s employment contract, if any, and do not guarantee either Employee’s right to receive any future grants under such Agreement or the Plan or the inclusion of the value of any grants in the calculaton of severance payments, if any, upon terminaton of employment.</w:t>
      </w:r>
    </w:p>
    <w:p>
      <w:pPr>
        <w:spacing w:after="0" w:line="200" w:lineRule="exact"/>
        <w:rPr>
          <w:rFonts w:ascii="Calibri" w:cs="Calibri" w:eastAsia="Calibri" w:hAnsi="Calibri"/>
          <w:sz w:val="19"/>
          <w:szCs w:val="19"/>
          <w:color w:val="auto"/>
        </w:rPr>
      </w:pPr>
    </w:p>
    <w:p>
      <w:pPr>
        <w:jc w:val="both"/>
        <w:ind w:left="307" w:hanging="307"/>
        <w:spacing w:after="0" w:line="201" w:lineRule="auto"/>
        <w:tabs>
          <w:tab w:leader="none" w:pos="307" w:val="left"/>
        </w:tabs>
        <w:numPr>
          <w:ilvl w:val="0"/>
          <w:numId w:val="52"/>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Data Privacy</w:t>
      </w:r>
      <w:r>
        <w:rPr>
          <w:rFonts w:ascii="Calibri" w:cs="Calibri" w:eastAsia="Calibri" w:hAnsi="Calibri"/>
          <w:sz w:val="19"/>
          <w:szCs w:val="19"/>
          <w:color w:val="auto"/>
        </w:rPr>
        <w:t>.</w:t>
      </w:r>
      <w:r>
        <w:rPr>
          <w:rFonts w:ascii="Calibri" w:cs="Calibri" w:eastAsia="Calibri" w:hAnsi="Calibri"/>
          <w:sz w:val="19"/>
          <w:szCs w:val="19"/>
          <w:b w:val="1"/>
          <w:bCs w:val="1"/>
          <w:color w:val="auto"/>
        </w:rPr>
        <w:t xml:space="preserve"> </w:t>
      </w:r>
      <w:r>
        <w:rPr>
          <w:rFonts w:ascii="Calibri" w:cs="Calibri" w:eastAsia="Calibri" w:hAnsi="Calibri"/>
          <w:sz w:val="19"/>
          <w:szCs w:val="19"/>
          <w:i w:val="1"/>
          <w:iCs w:val="1"/>
          <w:color w:val="auto"/>
        </w:rPr>
        <w:t>Employee understands that the Company, its Subsidiaries and afliated companies and/or the Employer may hold certain</w:t>
      </w:r>
      <w:r>
        <w:rPr>
          <w:rFonts w:ascii="Calibri" w:cs="Calibri" w:eastAsia="Calibri" w:hAnsi="Calibri"/>
          <w:sz w:val="19"/>
          <w:szCs w:val="19"/>
          <w:b w:val="1"/>
          <w:bCs w:val="1"/>
          <w:color w:val="auto"/>
        </w:rPr>
        <w:t xml:space="preserve"> </w:t>
      </w:r>
      <w:r>
        <w:rPr>
          <w:rFonts w:ascii="Calibri" w:cs="Calibri" w:eastAsia="Calibri" w:hAnsi="Calibri"/>
          <w:sz w:val="19"/>
          <w:szCs w:val="19"/>
          <w:i w:val="1"/>
          <w:iCs w:val="1"/>
          <w:color w:val="auto"/>
        </w:rPr>
        <w:t>personal informaton about Employee, specifcally: Employee’s name, home address, email address and telephone number, date of birth, social security or insurance number, passport number or other identfcaton number, salary, natonality, and any shares of Stock or directorships held in the Company, and details of the Restricted Shares or any other enttlement to shares of Stock, canceled, exercised, vested, unvested or outstanding in Employee’s favor (“Data”), for the purpose of implementng, administering and managing the Plan. More informaton about how the Company collects, processes, protects, and transfers Data, as well as the rights of Employees in relaton to their Data, is found in the Employee Privacy Notce available on HalWorld.</w:t>
      </w:r>
    </w:p>
    <w:p>
      <w:pPr>
        <w:spacing w:after="0" w:line="200" w:lineRule="exact"/>
        <w:rPr>
          <w:rFonts w:ascii="Calibri" w:cs="Calibri" w:eastAsia="Calibri" w:hAnsi="Calibri"/>
          <w:sz w:val="19"/>
          <w:szCs w:val="19"/>
          <w:color w:val="auto"/>
        </w:rPr>
      </w:pPr>
    </w:p>
    <w:p>
      <w:pPr>
        <w:jc w:val="both"/>
        <w:ind w:left="307"/>
        <w:spacing w:after="0" w:line="205" w:lineRule="auto"/>
        <w:rPr>
          <w:rFonts w:ascii="Calibri" w:cs="Calibri" w:eastAsia="Calibri" w:hAnsi="Calibri"/>
          <w:sz w:val="19"/>
          <w:szCs w:val="19"/>
          <w:color w:val="auto"/>
        </w:rPr>
      </w:pPr>
      <w:r>
        <w:rPr>
          <w:rFonts w:ascii="Calibri" w:cs="Calibri" w:eastAsia="Calibri" w:hAnsi="Calibri"/>
          <w:sz w:val="19"/>
          <w:szCs w:val="19"/>
          <w:i w:val="1"/>
          <w:iCs w:val="1"/>
          <w:color w:val="auto"/>
        </w:rPr>
        <w:t>Employee hereby explicitly and unambiguously consents to the collecton, use and transfer, in electronic or other form, of Employee’s Data as described in this Agreement and any other grant materials by and among, as necessary and applicable, the Company and any of its Subsidiaries or afliated companies, for the exclusive purpose of implementng, administering and managing Employee’s partcipaton in the Plan.</w:t>
      </w:r>
    </w:p>
    <w:p>
      <w:pPr>
        <w:spacing w:after="0" w:line="187" w:lineRule="exact"/>
        <w:rPr>
          <w:rFonts w:ascii="Calibri" w:cs="Calibri" w:eastAsia="Calibri" w:hAnsi="Calibri"/>
          <w:sz w:val="19"/>
          <w:szCs w:val="19"/>
          <w:color w:val="auto"/>
        </w:rPr>
      </w:pPr>
    </w:p>
    <w:p>
      <w:pPr>
        <w:jc w:val="both"/>
        <w:ind w:left="307"/>
        <w:spacing w:after="0" w:line="199" w:lineRule="auto"/>
        <w:rPr>
          <w:rFonts w:ascii="Calibri" w:cs="Calibri" w:eastAsia="Calibri" w:hAnsi="Calibri"/>
          <w:sz w:val="19"/>
          <w:szCs w:val="19"/>
          <w:color w:val="auto"/>
        </w:rPr>
      </w:pPr>
      <w:r>
        <w:rPr>
          <w:rFonts w:ascii="Calibri" w:cs="Calibri" w:eastAsia="Calibri" w:hAnsi="Calibri"/>
          <w:sz w:val="19"/>
          <w:szCs w:val="19"/>
          <w:i w:val="1"/>
          <w:iCs w:val="1"/>
          <w:color w:val="auto"/>
        </w:rPr>
        <w:t>Employee understands that Data will be transferred to the stock brokerage or other fnancial or administratve services frm designated by the Company (the “Stock Plan Administrator”) which is assistng the Company with the implementaton, administraton and management of the Plan. Employee authorizes the Company, the Company’s Stock Plan Administrator and any other possible recipients that may assist the Company (presently or in the future) with implementng, administering and managing the Plan to receive, possess, use, retain and transfer Data, in electronic or other form, for the sole purpose of implementng, administering and managing Employee’s partcipaton in the Plan. Further, Employee understands that Employee is providing the consents herein on a purely voluntary basis. If Employee does not consent, or if Employee later seeks to revoke his or her consent, Employee’s service status and career will not be afected; the only consequence of refusing or withdrawing Employee’s consent is that the Company would not be able to grant Employee the Restricted Shares or other equity awards or administer or maintain such awards. Therefore, Employee understands that refusing or withdrawing his or her consent may afect Employee’s ability to partcipate in the Plan.</w:t>
      </w:r>
    </w:p>
    <w:p>
      <w:pPr>
        <w:spacing w:after="0" w:line="139" w:lineRule="exact"/>
        <w:rPr>
          <w:rFonts w:ascii="Calibri" w:cs="Calibri" w:eastAsia="Calibri" w:hAnsi="Calibri"/>
          <w:sz w:val="19"/>
          <w:szCs w:val="19"/>
          <w:color w:val="auto"/>
        </w:rPr>
      </w:pPr>
    </w:p>
    <w:p>
      <w:pPr>
        <w:jc w:val="both"/>
        <w:ind w:left="307" w:hanging="307"/>
        <w:spacing w:after="0" w:line="201" w:lineRule="auto"/>
        <w:tabs>
          <w:tab w:leader="none" w:pos="307" w:val="left"/>
        </w:tabs>
        <w:numPr>
          <w:ilvl w:val="0"/>
          <w:numId w:val="52"/>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Insider Trading; Market Abuse Laws</w:t>
      </w:r>
      <w:r>
        <w:rPr>
          <w:rFonts w:ascii="Calibri" w:cs="Calibri" w:eastAsia="Calibri" w:hAnsi="Calibri"/>
          <w:sz w:val="19"/>
          <w:szCs w:val="19"/>
          <w:color w:val="auto"/>
        </w:rPr>
        <w:t>. By partcipatng in the Plan, Employee agrees to comply with the Company’s policy on insider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trading. Employee further acknowledges that, depending on Employee’s or his or her broker’s country of residence or where the shares of Stock are listed, Employee may be subject to insider trading restrictons and/or market abuse laws that may afect Employee’s ability to accept, acquire, sell or otherwise dispose of shares of Stock, rights to shares of Stock (e.g., restricted shares) or rights linked to the value of shares of Stock, during such tmes Employee is considered to have “inside informaton” regarding the Company as defned by the laws or regulatons in Employee’s country. Local insider trading laws and regulatons may prohibit the cancellaton or amendment of orders Employee places before he or she possessed inside informaton. Furthermore, Employee could be prohibited from</w:t>
      </w:r>
    </w:p>
    <w:p>
      <w:pPr>
        <w:jc w:val="both"/>
        <w:ind w:left="307"/>
        <w:spacing w:after="0" w:line="196" w:lineRule="auto"/>
        <w:rPr>
          <w:rFonts w:ascii="Calibri" w:cs="Calibri" w:eastAsia="Calibri" w:hAnsi="Calibri"/>
          <w:sz w:val="19"/>
          <w:szCs w:val="19"/>
          <w:color w:val="auto"/>
        </w:rPr>
      </w:pPr>
      <w:r>
        <w:rPr>
          <w:rFonts w:ascii="Calibri" w:cs="Calibri" w:eastAsia="Calibri" w:hAnsi="Calibri"/>
          <w:sz w:val="19"/>
          <w:szCs w:val="19"/>
          <w:color w:val="auto"/>
        </w:rPr>
        <w:t>(i) disclosing the inside informaton to any third party (other than on a “need to know” basis) and (ii) ”tpping” third partes or causing them otherwise to buy or sell securites. Employee understands that third partes include fellow employees. Any restricton under these laws or regulatons are separate from and in additon to any restrictons that may be imposed under any applicable Company insider trading policy. Employee acknowledges that it is Employee’s responsibility</w:t>
      </w:r>
    </w:p>
    <w:p>
      <w:pPr>
        <w:sectPr>
          <w:pgSz w:w="11900" w:h="16838" w:orient="portrait"/>
          <w:cols w:equalWidth="0" w:num="1">
            <w:col w:w="10927"/>
          </w:cols>
          <w:pgMar w:left="633" w:top="1288" w:right="339" w:bottom="1440" w:gutter="0" w:footer="0" w:header="0"/>
        </w:sectPr>
      </w:pPr>
    </w:p>
    <w:bookmarkStart w:id="93" w:name="page94"/>
    <w:bookmarkEnd w:id="93"/>
    <w:p>
      <w:pPr>
        <w:ind w:left="307"/>
        <w:spacing w:after="0"/>
        <w:rPr>
          <w:sz w:val="20"/>
          <w:szCs w:val="20"/>
          <w:color w:val="auto"/>
        </w:rPr>
      </w:pPr>
      <w:r>
        <w:rPr>
          <w:rFonts w:ascii="Calibri" w:cs="Calibri" w:eastAsia="Calibri" w:hAnsi="Calibri"/>
          <w:sz w:val="19"/>
          <w:szCs w:val="19"/>
          <w:color w:val="auto"/>
        </w:rPr>
        <w:t>to comply with any applicable restrictons, and that Employee should therefore consult Employee’s personal advisor on this mater.</w:t>
      </w:r>
    </w:p>
    <w:p>
      <w:pPr>
        <w:spacing w:after="0" w:line="200" w:lineRule="exact"/>
        <w:rPr>
          <w:sz w:val="20"/>
          <w:szCs w:val="20"/>
          <w:color w:val="auto"/>
        </w:rPr>
      </w:pPr>
    </w:p>
    <w:p>
      <w:pPr>
        <w:jc w:val="both"/>
        <w:ind w:left="307" w:hanging="307"/>
        <w:spacing w:after="0" w:line="199" w:lineRule="auto"/>
        <w:tabs>
          <w:tab w:leader="none" w:pos="307" w:val="left"/>
        </w:tabs>
        <w:numPr>
          <w:ilvl w:val="0"/>
          <w:numId w:val="53"/>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Electronic Delivery and Partcipaton</w:t>
      </w:r>
      <w:r>
        <w:rPr>
          <w:rFonts w:ascii="Calibri" w:cs="Calibri" w:eastAsia="Calibri" w:hAnsi="Calibri"/>
          <w:sz w:val="19"/>
          <w:szCs w:val="19"/>
          <w:color w:val="auto"/>
        </w:rPr>
        <w:t>. Employee agrees, to the fullest extent permited by law, in lieu of receiving documents in paper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format, to accept electronic delivery of any documents that the Company and its Subsidiaries or afliated companies may deliver in connecton with this grant and any other grants ofered by the Company, including prospectuses, grant notfcatons, account statements, annual or quarterly reports, and other communicatons. Electronic delivery of a document may be made via the Company’s email system or by reference to a locaton on the Company’s intranet or website or a website of the Company’s agent administering the Plan. By acceptng this grant, whether electronically or otherwise, Employee also hereby consents to partcipate in the Plan through such system, intranet, or website, including but not limited to the use of electronic signatures or click-through electronic acceptance of terms and conditons.</w:t>
      </w:r>
    </w:p>
    <w:p>
      <w:pPr>
        <w:spacing w:after="0" w:line="201" w:lineRule="exact"/>
        <w:rPr>
          <w:rFonts w:ascii="Calibri" w:cs="Calibri" w:eastAsia="Calibri" w:hAnsi="Calibri"/>
          <w:sz w:val="19"/>
          <w:szCs w:val="19"/>
          <w:color w:val="auto"/>
        </w:rPr>
      </w:pPr>
    </w:p>
    <w:p>
      <w:pPr>
        <w:jc w:val="both"/>
        <w:ind w:left="307" w:hanging="307"/>
        <w:spacing w:after="0" w:line="201" w:lineRule="auto"/>
        <w:tabs>
          <w:tab w:leader="none" w:pos="307" w:val="left"/>
        </w:tabs>
        <w:numPr>
          <w:ilvl w:val="0"/>
          <w:numId w:val="53"/>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English Language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Employee acknowledges and agrees that it is Employee’s express intent that this Agreement and the Plan and all</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other documents, notces and legal proceedings entered into, given or insttuted pursuant to the Restricted Shares be drawn up in English. Employee acknowledges that Employee is sufciently profcient in English, or has consulted with an advisor who is sufciently profcient in English, so as to allow Employee to understand the terms and conditons of this Agreement. To the extent Employee has been provided with a copy of this Agreement, the Plan, or any other documents relatng to this Award in a language other than English, the English language documents will prevail in case of any ambiguites or divergences as a result of translaton.</w:t>
      </w:r>
    </w:p>
    <w:p>
      <w:pPr>
        <w:spacing w:after="0" w:line="201" w:lineRule="exact"/>
        <w:rPr>
          <w:rFonts w:ascii="Calibri" w:cs="Calibri" w:eastAsia="Calibri" w:hAnsi="Calibri"/>
          <w:sz w:val="19"/>
          <w:szCs w:val="19"/>
          <w:color w:val="auto"/>
        </w:rPr>
      </w:pPr>
    </w:p>
    <w:p>
      <w:pPr>
        <w:jc w:val="both"/>
        <w:ind w:left="307" w:hanging="307"/>
        <w:spacing w:after="0" w:line="201" w:lineRule="auto"/>
        <w:tabs>
          <w:tab w:leader="none" w:pos="307" w:val="left"/>
        </w:tabs>
        <w:numPr>
          <w:ilvl w:val="0"/>
          <w:numId w:val="53"/>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Compliance with Law</w:t>
      </w:r>
      <w:r>
        <w:rPr>
          <w:rFonts w:ascii="Calibri" w:cs="Calibri" w:eastAsia="Calibri" w:hAnsi="Calibri"/>
          <w:sz w:val="19"/>
          <w:szCs w:val="19"/>
          <w:color w:val="auto"/>
        </w:rPr>
        <w:t>. Employee agrees to take any and all actons, and consent to any and all actons taken by the Company and any</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of its Subsidiaries and afliated companies, as may be required to allow the Company and any of its Subsidiaries and afliated companies to comply with local laws, rules and/or regulatons in Employee’s country of employment (and country of residence, if diferent). Finally, Employee agrees to take any and all actons as may be required to comply with Employee’s personal obligatons under local laws, rules and/or regulatons in Employee’s country of employment and country of residence, if diferent).</w:t>
      </w:r>
    </w:p>
    <w:p>
      <w:pPr>
        <w:spacing w:after="0" w:line="201" w:lineRule="exact"/>
        <w:rPr>
          <w:rFonts w:ascii="Calibri" w:cs="Calibri" w:eastAsia="Calibri" w:hAnsi="Calibri"/>
          <w:sz w:val="19"/>
          <w:szCs w:val="19"/>
          <w:color w:val="auto"/>
        </w:rPr>
      </w:pPr>
    </w:p>
    <w:p>
      <w:pPr>
        <w:jc w:val="both"/>
        <w:ind w:left="307" w:hanging="307"/>
        <w:spacing w:after="0"/>
        <w:tabs>
          <w:tab w:leader="none" w:pos="307" w:val="left"/>
        </w:tabs>
        <w:numPr>
          <w:ilvl w:val="0"/>
          <w:numId w:val="53"/>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Impositon of Other Requirements</w:t>
      </w:r>
      <w:r>
        <w:rPr>
          <w:rFonts w:ascii="Calibri" w:cs="Calibri" w:eastAsia="Calibri" w:hAnsi="Calibri"/>
          <w:sz w:val="19"/>
          <w:szCs w:val="19"/>
          <w:color w:val="auto"/>
        </w:rPr>
        <w:t>. The Company reserves the right to impose other requirements on Employee’s partcipaton in the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Plan and on the Restricted Shares, to the extent the Company determines it is necessary or advisable for legal or administratve reasons, and to require Employee to sign any additonal agreements or undertakings that may be necessary to accomplish the foregoing.</w:t>
      </w:r>
    </w:p>
    <w:p>
      <w:pPr>
        <w:spacing w:after="0" w:line="296" w:lineRule="exact"/>
        <w:rPr>
          <w:rFonts w:ascii="Calibri" w:cs="Calibri" w:eastAsia="Calibri" w:hAnsi="Calibri"/>
          <w:sz w:val="19"/>
          <w:szCs w:val="19"/>
          <w:color w:val="auto"/>
        </w:rPr>
      </w:pPr>
    </w:p>
    <w:p>
      <w:pPr>
        <w:jc w:val="both"/>
        <w:ind w:left="307" w:hanging="307"/>
        <w:spacing w:after="0" w:line="205" w:lineRule="auto"/>
        <w:tabs>
          <w:tab w:leader="none" w:pos="307" w:val="left"/>
        </w:tabs>
        <w:numPr>
          <w:ilvl w:val="0"/>
          <w:numId w:val="53"/>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Commitee’s Powers</w:t>
      </w:r>
      <w:r>
        <w:rPr>
          <w:rFonts w:ascii="Calibri" w:cs="Calibri" w:eastAsia="Calibri" w:hAnsi="Calibri"/>
          <w:sz w:val="19"/>
          <w:szCs w:val="19"/>
          <w:color w:val="auto"/>
        </w:rPr>
        <w:t>. No provision contained in this Agreement shall in any way terminate, modify or alter, or be construed or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interpreted as terminatng, modifying or altering, any of the powers, rights or authority vested in the Commitee or, to the extent delegated, in its delegate, pursuant to the terms of the Plan or resolutons adopted in furtherance of the Plan, including, without limitaton, the right to make certain determinatons and electons with respect to the Restricted Shares.</w:t>
      </w:r>
    </w:p>
    <w:p>
      <w:pPr>
        <w:spacing w:after="0" w:line="187" w:lineRule="exact"/>
        <w:rPr>
          <w:rFonts w:ascii="Calibri" w:cs="Calibri" w:eastAsia="Calibri" w:hAnsi="Calibri"/>
          <w:sz w:val="19"/>
          <w:szCs w:val="19"/>
          <w:color w:val="auto"/>
        </w:rPr>
      </w:pPr>
    </w:p>
    <w:p>
      <w:pPr>
        <w:ind w:left="307" w:hanging="307"/>
        <w:spacing w:after="0" w:line="216" w:lineRule="auto"/>
        <w:tabs>
          <w:tab w:leader="none" w:pos="307" w:val="left"/>
        </w:tabs>
        <w:numPr>
          <w:ilvl w:val="0"/>
          <w:numId w:val="53"/>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Binding Efect</w:t>
      </w:r>
      <w:r>
        <w:rPr>
          <w:rFonts w:ascii="Calibri" w:cs="Calibri" w:eastAsia="Calibri" w:hAnsi="Calibri"/>
          <w:sz w:val="19"/>
          <w:szCs w:val="19"/>
          <w:color w:val="auto"/>
        </w:rPr>
        <w:t>. This Agreement shall be binding upon and inure to the beneft of any successors to the Company and all persons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lawfully claiming under Employee.</w:t>
      </w:r>
    </w:p>
    <w:p>
      <w:pPr>
        <w:spacing w:after="0" w:line="187" w:lineRule="exact"/>
        <w:rPr>
          <w:rFonts w:ascii="Calibri" w:cs="Calibri" w:eastAsia="Calibri" w:hAnsi="Calibri"/>
          <w:sz w:val="19"/>
          <w:szCs w:val="19"/>
          <w:color w:val="auto"/>
        </w:rPr>
      </w:pPr>
    </w:p>
    <w:p>
      <w:pPr>
        <w:ind w:left="307" w:hanging="307"/>
        <w:spacing w:after="0"/>
        <w:tabs>
          <w:tab w:leader="none" w:pos="307" w:val="left"/>
        </w:tabs>
        <w:numPr>
          <w:ilvl w:val="0"/>
          <w:numId w:val="53"/>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Governing Law and Forum</w:t>
      </w:r>
      <w:r>
        <w:rPr>
          <w:rFonts w:ascii="Calibri" w:cs="Calibri" w:eastAsia="Calibri" w:hAnsi="Calibri"/>
          <w:sz w:val="19"/>
          <w:szCs w:val="19"/>
          <w:color w:val="auto"/>
        </w:rPr>
        <w:t>.</w:t>
      </w:r>
    </w:p>
    <w:p>
      <w:pPr>
        <w:jc w:val="both"/>
        <w:ind w:left="927" w:hanging="309"/>
        <w:spacing w:after="0" w:line="195" w:lineRule="auto"/>
        <w:tabs>
          <w:tab w:leader="none" w:pos="927" w:val="left"/>
        </w:tabs>
        <w:numPr>
          <w:ilvl w:val="1"/>
          <w:numId w:val="53"/>
        </w:numPr>
        <w:rPr>
          <w:rFonts w:ascii="Calibri" w:cs="Calibri" w:eastAsia="Calibri" w:hAnsi="Calibri"/>
          <w:sz w:val="19"/>
          <w:szCs w:val="19"/>
          <w:color w:val="auto"/>
        </w:rPr>
      </w:pPr>
      <w:r>
        <w:rPr>
          <w:rFonts w:ascii="Calibri" w:cs="Calibri" w:eastAsia="Calibri" w:hAnsi="Calibri"/>
          <w:sz w:val="19"/>
          <w:szCs w:val="19"/>
          <w:color w:val="auto"/>
        </w:rPr>
        <w:t>Except as set forth in Paragraph 18(c), this Agreement shall be governed by, and construed in accordance with, the laws of the State of Texas without regard to principles of confict of laws, except to the extent that it implicates maters which are the subject of the General Corporaton Law of the State of Delaware, which maters shall be governed by the later law.</w:t>
      </w:r>
    </w:p>
    <w:p>
      <w:pPr>
        <w:spacing w:after="0" w:line="1" w:lineRule="exact"/>
        <w:rPr>
          <w:rFonts w:ascii="Calibri" w:cs="Calibri" w:eastAsia="Calibri" w:hAnsi="Calibri"/>
          <w:sz w:val="19"/>
          <w:szCs w:val="19"/>
          <w:color w:val="auto"/>
        </w:rPr>
      </w:pPr>
    </w:p>
    <w:p>
      <w:pPr>
        <w:jc w:val="both"/>
        <w:ind w:left="927" w:hanging="309"/>
        <w:spacing w:after="0" w:line="195" w:lineRule="auto"/>
        <w:tabs>
          <w:tab w:leader="none" w:pos="923" w:val="left"/>
        </w:tabs>
        <w:numPr>
          <w:ilvl w:val="1"/>
          <w:numId w:val="53"/>
        </w:numPr>
        <w:rPr>
          <w:rFonts w:ascii="Calibri" w:cs="Calibri" w:eastAsia="Calibri" w:hAnsi="Calibri"/>
          <w:sz w:val="19"/>
          <w:szCs w:val="19"/>
          <w:color w:val="auto"/>
        </w:rPr>
      </w:pPr>
      <w:r>
        <w:rPr>
          <w:rFonts w:ascii="Calibri" w:cs="Calibri" w:eastAsia="Calibri" w:hAnsi="Calibri"/>
          <w:sz w:val="19"/>
          <w:szCs w:val="19"/>
          <w:color w:val="auto"/>
        </w:rPr>
        <w:t>For purposes of resolving any dispute that may arise directly or indirectly from this Agreement, the partes hereby agree that any such dispute that cannot be resolved by the partes shall be submited for resoluton through the Halliburton Dispute Resoluton Program, pursuant to which the last step is fnal and binding arbitraton. Notwithstanding the foregoing, the partes agree that in additon to any other rights or remedies they may have, that either party shall be enttled, if it so elects, to insttute a proceeding in any court of competent jurisdicton to obtain a preliminary injuncton (with each waiving the other’s obligaton, if any, to post bond) in order to prevent actvites in violaton of the Agreement and to maintain the status quo pending resoluton of the partes’ dispute in accordance with the Halliburton Dispute Resoluton Program.</w:t>
      </w:r>
    </w:p>
    <w:p>
      <w:pPr>
        <w:sectPr>
          <w:pgSz w:w="11900" w:h="16838" w:orient="portrait"/>
          <w:cols w:equalWidth="0" w:num="1">
            <w:col w:w="10927"/>
          </w:cols>
          <w:pgMar w:left="633" w:top="1049" w:right="339" w:bottom="1440" w:gutter="0" w:footer="0" w:header="0"/>
        </w:sectPr>
      </w:pPr>
    </w:p>
    <w:bookmarkStart w:id="94" w:name="page95"/>
    <w:bookmarkEnd w:id="94"/>
    <w:p>
      <w:pPr>
        <w:jc w:val="both"/>
        <w:ind w:left="1240" w:hanging="309"/>
        <w:spacing w:after="0" w:line="206" w:lineRule="auto"/>
        <w:tabs>
          <w:tab w:leader="none" w:pos="1242" w:val="left"/>
        </w:tabs>
        <w:numPr>
          <w:ilvl w:val="1"/>
          <w:numId w:val="54"/>
        </w:numPr>
        <w:rPr>
          <w:rFonts w:ascii="Calibri" w:cs="Calibri" w:eastAsia="Calibri" w:hAnsi="Calibri"/>
          <w:sz w:val="19"/>
          <w:szCs w:val="19"/>
          <w:color w:val="auto"/>
        </w:rPr>
      </w:pPr>
      <w:r>
        <w:rPr>
          <w:rFonts w:ascii="Calibri" w:cs="Calibri" w:eastAsia="Calibri" w:hAnsi="Calibri"/>
          <w:sz w:val="19"/>
          <w:szCs w:val="19"/>
          <w:color w:val="auto"/>
        </w:rPr>
        <w:t>If Employee’s ongoing (not temporary or business travel) assignment is in California, Colorado, Louisiana or North Dakota, then Paragraph 5 shall be governed by, and construed in accordance with, the laws of California, Colorado, Louisiana or North Dakota, respectvely.</w:t>
      </w:r>
    </w:p>
    <w:p>
      <w:pPr>
        <w:spacing w:after="0" w:line="202" w:lineRule="exact"/>
        <w:rPr>
          <w:rFonts w:ascii="Calibri" w:cs="Calibri" w:eastAsia="Calibri" w:hAnsi="Calibri"/>
          <w:sz w:val="19"/>
          <w:szCs w:val="19"/>
          <w:color w:val="auto"/>
        </w:rPr>
      </w:pPr>
    </w:p>
    <w:p>
      <w:pPr>
        <w:jc w:val="both"/>
        <w:ind w:left="620" w:hanging="307"/>
        <w:spacing w:after="0" w:line="199" w:lineRule="auto"/>
        <w:tabs>
          <w:tab w:leader="none" w:pos="620" w:val="left"/>
        </w:tabs>
        <w:numPr>
          <w:ilvl w:val="0"/>
          <w:numId w:val="55"/>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U.S. Federal Defend Trade Secrets Act Notce</w:t>
      </w:r>
      <w:r>
        <w:rPr>
          <w:rFonts w:ascii="Calibri" w:cs="Calibri" w:eastAsia="Calibri" w:hAnsi="Calibri"/>
          <w:sz w:val="19"/>
          <w:szCs w:val="19"/>
          <w:color w:val="auto"/>
        </w:rPr>
        <w:t>. Employee is hereby notfed in accordance with the Defend Trade Secrets Act of 2016</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that Employee will not be held criminally or civilly liable under any U.S. federal or state trade secret law for the disclosure of a trade secret that is made in confdence to a U.S. federal, state, or local government ofcial, either directly or indirectly, or to an atorney solely for the purpose of reportng or investgatng a suspected violaton of law, or is made in a complaint or other document that is fled under seal in a lawsuit or other proceeding. If Employee fles a lawsuit for retaliaton against the Company for reportng a suspected violaton of law, Employee may disclose the Company’s trade secrets to the Employee’s atorney and use the trade secret informaton in the court proceeding if the Employee fles any document containing the trade secret under seal, and does not disclose the trade secret, except pursuant to court order.</w:t>
      </w:r>
    </w:p>
    <w:p>
      <w:pPr>
        <w:spacing w:after="0" w:line="201" w:lineRule="exact"/>
        <w:rPr>
          <w:rFonts w:ascii="Calibri" w:cs="Calibri" w:eastAsia="Calibri" w:hAnsi="Calibri"/>
          <w:sz w:val="19"/>
          <w:szCs w:val="19"/>
          <w:color w:val="auto"/>
        </w:rPr>
      </w:pPr>
    </w:p>
    <w:p>
      <w:pPr>
        <w:jc w:val="both"/>
        <w:ind w:left="620" w:hanging="307"/>
        <w:spacing w:after="0" w:line="201" w:lineRule="auto"/>
        <w:tabs>
          <w:tab w:leader="none" w:pos="620" w:val="left"/>
        </w:tabs>
        <w:numPr>
          <w:ilvl w:val="0"/>
          <w:numId w:val="55"/>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Severability</w:t>
      </w:r>
      <w:r>
        <w:rPr>
          <w:rFonts w:ascii="Calibri" w:cs="Calibri" w:eastAsia="Calibri" w:hAnsi="Calibri"/>
          <w:sz w:val="19"/>
          <w:szCs w:val="19"/>
          <w:color w:val="auto"/>
        </w:rPr>
        <w:t>. The provisions of this Agreement are severable and if any one or more of the provisions are determined to be illegal or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otherwise unenforceable, in whole or in part, the Agreement shall be reformed and construed so that it would be enforceable to the maximum extent legally possible, and if it cannot be so reformed and construed, as if such unenforceable provision, or part thereof, had never been contained herein. The covenant in Paragraph 5 of this Agreement shall be separate, independent and concurrently enforceable with other employee agreements that have been signed by Employee. In the event such provisions of an agreement is determined by an adjudicator as not to be enforceable, any other concurrently enforceable provisions may stll be enforced.</w:t>
      </w:r>
    </w:p>
    <w:p>
      <w:pPr>
        <w:spacing w:after="0" w:line="201" w:lineRule="exact"/>
        <w:rPr>
          <w:rFonts w:ascii="Calibri" w:cs="Calibri" w:eastAsia="Calibri" w:hAnsi="Calibri"/>
          <w:sz w:val="19"/>
          <w:szCs w:val="19"/>
          <w:color w:val="auto"/>
        </w:rPr>
      </w:pPr>
    </w:p>
    <w:p>
      <w:pPr>
        <w:jc w:val="both"/>
        <w:ind w:left="620" w:hanging="307"/>
        <w:spacing w:after="0" w:line="206" w:lineRule="auto"/>
        <w:tabs>
          <w:tab w:leader="none" w:pos="620" w:val="left"/>
        </w:tabs>
        <w:numPr>
          <w:ilvl w:val="0"/>
          <w:numId w:val="55"/>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Waiver</w:t>
      </w:r>
      <w:r>
        <w:rPr>
          <w:rFonts w:ascii="Calibri" w:cs="Calibri" w:eastAsia="Calibri" w:hAnsi="Calibri"/>
          <w:sz w:val="19"/>
          <w:szCs w:val="19"/>
          <w:color w:val="auto"/>
        </w:rPr>
        <w:t>. The waiver by the Company with respect to Employee’s (or any other partcipant’s) compliance with any provision of this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Agreement shall not operate or be construed as a waiver of any other provision of this Agreement, or of any subsequent breach by such party of a provision of this Agreement.</w:t>
      </w:r>
    </w:p>
    <w:p>
      <w:pPr>
        <w:spacing w:after="0" w:line="202" w:lineRule="exact"/>
        <w:rPr>
          <w:sz w:val="20"/>
          <w:szCs w:val="20"/>
          <w:color w:val="auto"/>
        </w:rPr>
      </w:pPr>
    </w:p>
    <w:p>
      <w:pPr>
        <w:spacing w:after="0" w:line="216" w:lineRule="auto"/>
        <w:rPr>
          <w:sz w:val="20"/>
          <w:szCs w:val="20"/>
          <w:color w:val="auto"/>
        </w:rPr>
      </w:pPr>
      <w:r>
        <w:rPr>
          <w:rFonts w:ascii="Calibri" w:cs="Calibri" w:eastAsia="Calibri" w:hAnsi="Calibri"/>
          <w:sz w:val="19"/>
          <w:szCs w:val="19"/>
          <w:color w:val="auto"/>
        </w:rPr>
        <w:t>IN WITNESS WHEREOF, the Company has caused this Agreement to be duly executed by an ofcer thereunto duly authorized as of the date frst above writen.</w:t>
      </w:r>
    </w:p>
    <w:p>
      <w:pPr>
        <w:spacing w:after="0" w:line="182" w:lineRule="exact"/>
        <w:rPr>
          <w:sz w:val="20"/>
          <w:szCs w:val="20"/>
          <w:color w:val="auto"/>
        </w:rPr>
      </w:pPr>
    </w:p>
    <w:p>
      <w:pPr>
        <w:ind w:left="1220"/>
        <w:spacing w:after="0"/>
        <w:rPr>
          <w:sz w:val="20"/>
          <w:szCs w:val="20"/>
          <w:color w:val="auto"/>
        </w:rPr>
      </w:pPr>
      <w:r>
        <w:rPr>
          <w:rFonts w:ascii="Calibri" w:cs="Calibri" w:eastAsia="Calibri" w:hAnsi="Calibri"/>
          <w:sz w:val="19"/>
          <w:szCs w:val="19"/>
          <w:b w:val="1"/>
          <w:bCs w:val="1"/>
          <w:color w:val="auto"/>
        </w:rPr>
        <w:t>HALLIBURTON COMPANY</w:t>
      </w:r>
    </w:p>
    <w:p>
      <w:pPr>
        <w:spacing w:after="0" w:line="387" w:lineRule="exact"/>
        <w:rPr>
          <w:sz w:val="20"/>
          <w:szCs w:val="20"/>
          <w:color w:val="auto"/>
        </w:rPr>
      </w:pPr>
    </w:p>
    <w:p>
      <w:pPr>
        <w:ind w:left="1220"/>
        <w:spacing w:after="0"/>
        <w:rPr>
          <w:sz w:val="20"/>
          <w:szCs w:val="20"/>
          <w:color w:val="auto"/>
        </w:rPr>
      </w:pPr>
      <w:r>
        <w:rPr>
          <w:rFonts w:ascii="Calibri" w:cs="Calibri" w:eastAsia="Calibri" w:hAnsi="Calibri"/>
          <w:sz w:val="19"/>
          <w:szCs w:val="19"/>
          <w:color w:val="auto"/>
        </w:rPr>
        <w:t>By</w:t>
      </w:r>
    </w:p>
    <w:p>
      <w:pPr>
        <w:spacing w:after="0" w:line="142" w:lineRule="exact"/>
        <w:rPr>
          <w:sz w:val="20"/>
          <w:szCs w:val="20"/>
          <w:color w:val="auto"/>
        </w:rPr>
      </w:pPr>
    </w:p>
    <w:p>
      <w:pPr>
        <w:ind w:left="1220"/>
        <w:spacing w:after="0"/>
        <w:rPr>
          <w:sz w:val="20"/>
          <w:szCs w:val="20"/>
          <w:color w:val="auto"/>
        </w:rPr>
      </w:pPr>
      <w:r>
        <w:rPr>
          <w:rFonts w:ascii="Calibri" w:cs="Calibri" w:eastAsia="Calibri" w:hAnsi="Calibri"/>
          <w:sz w:val="19"/>
          <w:szCs w:val="19"/>
          <w:color w:val="auto"/>
        </w:rPr>
        <w:t>Jefrey A. Miller</w:t>
      </w:r>
    </w:p>
    <w:p>
      <w:pPr>
        <w:ind w:left="1220"/>
        <w:spacing w:after="0" w:line="200" w:lineRule="auto"/>
        <w:rPr>
          <w:sz w:val="20"/>
          <w:szCs w:val="20"/>
          <w:color w:val="auto"/>
        </w:rPr>
      </w:pPr>
      <w:r>
        <w:rPr>
          <w:rFonts w:ascii="Calibri" w:cs="Calibri" w:eastAsia="Calibri" w:hAnsi="Calibri"/>
          <w:sz w:val="19"/>
          <w:szCs w:val="19"/>
          <w:color w:val="auto"/>
        </w:rPr>
        <w:t>Chairman, President and Chief Executve Ofcer</w:t>
      </w:r>
    </w:p>
    <w:p>
      <w:pPr>
        <w:spacing w:after="0" w:line="18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 xml:space="preserve">I HEREBY AGREE TO THE TERMS AND CONDITIONS SET FORTH IN THIS RESTRICTED STOCK AGREEMENT DATED </w:t>
      </w:r>
      <w:r>
        <w:rPr>
          <w:rFonts w:ascii="Calibri" w:cs="Calibri" w:eastAsia="Calibri" w:hAnsi="Calibri"/>
          <w:sz w:val="19"/>
          <w:szCs w:val="19"/>
          <w:b w:val="1"/>
          <w:bCs w:val="1"/>
          <w:color w:val="auto"/>
          <w:highlight w:val="yellow"/>
        </w:rPr>
        <w:t>&lt;&lt;Grant Date&gt;&gt;.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alibri" w:cs="Calibri" w:eastAsia="Calibri" w:hAnsi="Calibri"/>
          <w:sz w:val="19"/>
          <w:szCs w:val="19"/>
          <w:color w:val="auto"/>
          <w:highlight w:val="yellow"/>
        </w:rPr>
        <w:t>&lt;&lt;Electronic Signature&gt;&gt;</w:t>
      </w:r>
    </w:p>
    <w:p>
      <w:pPr>
        <w:spacing w:after="0" w:line="193" w:lineRule="exact"/>
        <w:rPr>
          <w:sz w:val="20"/>
          <w:szCs w:val="20"/>
          <w:color w:val="auto"/>
        </w:rPr>
      </w:pPr>
    </w:p>
    <w:p>
      <w:pPr>
        <w:spacing w:after="0"/>
        <w:rPr>
          <w:sz w:val="20"/>
          <w:szCs w:val="20"/>
          <w:color w:val="auto"/>
        </w:rPr>
      </w:pPr>
      <w:r>
        <w:rPr>
          <w:rFonts w:ascii="Calibri" w:cs="Calibri" w:eastAsia="Calibri" w:hAnsi="Calibri"/>
          <w:sz w:val="19"/>
          <w:szCs w:val="19"/>
          <w:color w:val="auto"/>
          <w:highlight w:val="yellow"/>
        </w:rPr>
        <w:t>&lt;&lt;Acceptance Date&gt;</w:t>
      </w:r>
      <w:r>
        <w:rPr>
          <w:rFonts w:ascii="Calibri" w:cs="Calibri" w:eastAsia="Calibri" w:hAnsi="Calibri"/>
          <w:sz w:val="19"/>
          <w:szCs w:val="19"/>
          <w:color w:val="auto"/>
        </w:rPr>
        <w:t>&gt;</w:t>
      </w:r>
    </w:p>
    <w:p>
      <w:pPr>
        <w:spacing w:after="0" w:line="208" w:lineRule="exact"/>
        <w:rPr>
          <w:sz w:val="20"/>
          <w:szCs w:val="20"/>
          <w:color w:val="auto"/>
        </w:rPr>
      </w:pPr>
    </w:p>
    <w:p>
      <w:pPr>
        <w:spacing w:after="0"/>
        <w:rPr>
          <w:sz w:val="20"/>
          <w:szCs w:val="20"/>
          <w:color w:val="auto"/>
        </w:rPr>
      </w:pPr>
      <w:r>
        <w:rPr>
          <w:rFonts w:ascii="Calibri" w:cs="Calibri" w:eastAsia="Calibri" w:hAnsi="Calibri"/>
          <w:sz w:val="15"/>
          <w:szCs w:val="15"/>
          <w:color w:val="auto"/>
        </w:rPr>
        <w:t>RSA523</w:t>
      </w:r>
    </w:p>
    <w:p>
      <w:pPr>
        <w:sectPr>
          <w:pgSz w:w="11900" w:h="16838" w:orient="portrait"/>
          <w:cols w:equalWidth="0" w:num="1">
            <w:col w:w="11240"/>
          </w:cols>
          <w:pgMar w:left="320" w:top="1055" w:right="339" w:bottom="1440" w:gutter="0" w:footer="0" w:header="0"/>
        </w:sectPr>
      </w:pPr>
    </w:p>
    <w:bookmarkStart w:id="95" w:name="page96"/>
    <w:bookmarkEnd w:id="95"/>
    <w:p>
      <w:pPr>
        <w:spacing w:after="0"/>
        <w:rPr>
          <w:sz w:val="20"/>
          <w:szCs w:val="20"/>
          <w:color w:val="auto"/>
        </w:rPr>
      </w:pPr>
      <w:r>
        <w:rPr>
          <w:rFonts w:ascii="Calibri" w:cs="Calibri" w:eastAsia="Calibri" w:hAnsi="Calibri"/>
          <w:sz w:val="27"/>
          <w:szCs w:val="27"/>
          <w:color w:val="auto"/>
        </w:rPr>
        <w:t>RESTRICTED STOCK UNIT AGREEMENT (Internatonal)</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140" w:type="dxa"/>
            <w:vAlign w:val="bottom"/>
          </w:tcPr>
          <w:p>
            <w:pPr>
              <w:spacing w:after="0"/>
              <w:rPr>
                <w:sz w:val="20"/>
                <w:szCs w:val="20"/>
                <w:color w:val="auto"/>
              </w:rPr>
            </w:pPr>
            <w:r>
              <w:rPr>
                <w:rFonts w:ascii="Calibri" w:cs="Calibri" w:eastAsia="Calibri" w:hAnsi="Calibri"/>
                <w:sz w:val="19"/>
                <w:szCs w:val="19"/>
                <w:color w:val="auto"/>
              </w:rPr>
              <w:t>Grant Date:</w:t>
            </w:r>
          </w:p>
        </w:tc>
        <w:tc>
          <w:tcPr>
            <w:tcW w:w="1260" w:type="dxa"/>
            <w:vAlign w:val="bottom"/>
            <w:gridSpan w:val="2"/>
            <w:shd w:val="clear" w:color="auto" w:fill="FFFF00"/>
          </w:tcPr>
          <w:p>
            <w:pPr>
              <w:spacing w:after="0"/>
              <w:rPr>
                <w:sz w:val="20"/>
                <w:szCs w:val="20"/>
                <w:color w:val="auto"/>
              </w:rPr>
            </w:pPr>
            <w:r>
              <w:rPr>
                <w:rFonts w:ascii="Calibri" w:cs="Calibri" w:eastAsia="Calibri" w:hAnsi="Calibri"/>
                <w:sz w:val="19"/>
                <w:szCs w:val="19"/>
                <w:b w:val="1"/>
                <w:bCs w:val="1"/>
                <w:color w:val="auto"/>
                <w:highlight w:val="yellow"/>
                <w:w w:val="99"/>
              </w:rPr>
              <w:t>&lt;&lt;Grant Date&gt;&gt;</w:t>
            </w: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140" w:type="dxa"/>
            <w:vAlign w:val="bottom"/>
            <w:vMerge w:val="restart"/>
          </w:tcPr>
          <w:p>
            <w:pPr>
              <w:spacing w:after="0"/>
              <w:rPr>
                <w:sz w:val="20"/>
                <w:szCs w:val="20"/>
                <w:color w:val="auto"/>
              </w:rPr>
            </w:pPr>
            <w:r>
              <w:rPr>
                <w:rFonts w:ascii="Calibri" w:cs="Calibri" w:eastAsia="Calibri" w:hAnsi="Calibri"/>
                <w:sz w:val="19"/>
                <w:szCs w:val="19"/>
                <w:color w:val="auto"/>
              </w:rPr>
              <w:t>Grantee (“Employee”):</w:t>
            </w:r>
          </w:p>
        </w:tc>
        <w:tc>
          <w:tcPr>
            <w:tcW w:w="700" w:type="dxa"/>
            <w:vAlign w:val="bottom"/>
            <w:vMerge w:val="restart"/>
          </w:tcPr>
          <w:p>
            <w:pPr>
              <w:spacing w:after="0"/>
              <w:rPr>
                <w:sz w:val="20"/>
                <w:szCs w:val="20"/>
                <w:color w:val="auto"/>
              </w:rPr>
            </w:pPr>
          </w:p>
        </w:tc>
        <w:tc>
          <w:tcPr>
            <w:tcW w:w="1740" w:type="dxa"/>
            <w:vAlign w:val="bottom"/>
            <w:gridSpan w:val="3"/>
          </w:tcPr>
          <w:p>
            <w:pPr>
              <w:spacing w:after="0"/>
              <w:rPr>
                <w:sz w:val="20"/>
                <w:szCs w:val="20"/>
                <w:color w:val="auto"/>
              </w:rPr>
            </w:pPr>
          </w:p>
        </w:tc>
        <w:tc>
          <w:tcPr>
            <w:tcW w:w="19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1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740" w:type="dxa"/>
            <w:vAlign w:val="bottom"/>
            <w:gridSpan w:val="3"/>
            <w:shd w:val="clear" w:color="auto" w:fill="FFFF00"/>
          </w:tcPr>
          <w:p>
            <w:pPr>
              <w:spacing w:after="0" w:line="194" w:lineRule="exact"/>
              <w:rPr>
                <w:sz w:val="20"/>
                <w:szCs w:val="20"/>
                <w:color w:val="auto"/>
              </w:rPr>
            </w:pPr>
            <w:r>
              <w:rPr>
                <w:rFonts w:ascii="Calibri" w:cs="Calibri" w:eastAsia="Calibri" w:hAnsi="Calibri"/>
                <w:sz w:val="19"/>
                <w:szCs w:val="19"/>
                <w:color w:val="auto"/>
                <w:highlight w:val="yellow"/>
              </w:rPr>
              <w:t>&lt;&lt;Partcipant Name&gt;&gt;</w:t>
            </w:r>
          </w:p>
        </w:tc>
        <w:tc>
          <w:tcPr>
            <w:tcW w:w="19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100" w:type="dxa"/>
            <w:vAlign w:val="bottom"/>
            <w:gridSpan w:val="4"/>
            <w:vMerge w:val="restart"/>
          </w:tcPr>
          <w:p>
            <w:pPr>
              <w:spacing w:after="0"/>
              <w:rPr>
                <w:sz w:val="20"/>
                <w:szCs w:val="20"/>
                <w:color w:val="auto"/>
              </w:rPr>
            </w:pPr>
            <w:r>
              <w:rPr>
                <w:rFonts w:ascii="Calibri" w:cs="Calibri" w:eastAsia="Calibri" w:hAnsi="Calibri"/>
                <w:sz w:val="19"/>
                <w:szCs w:val="19"/>
                <w:color w:val="auto"/>
              </w:rPr>
              <w:t>Aggregate Number of Units Subject to Award:</w:t>
            </w:r>
          </w:p>
        </w:tc>
        <w:tc>
          <w:tcPr>
            <w:tcW w:w="2420" w:type="dxa"/>
            <w:vAlign w:val="bottom"/>
            <w:gridSpan w:val="2"/>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100" w:type="dxa"/>
            <w:vAlign w:val="bottom"/>
            <w:gridSpan w:val="4"/>
            <w:vMerge w:val="continue"/>
          </w:tcPr>
          <w:p>
            <w:pPr>
              <w:spacing w:after="0"/>
              <w:rPr>
                <w:sz w:val="16"/>
                <w:szCs w:val="16"/>
                <w:color w:val="auto"/>
              </w:rPr>
            </w:pPr>
          </w:p>
        </w:tc>
        <w:tc>
          <w:tcPr>
            <w:tcW w:w="2420" w:type="dxa"/>
            <w:vAlign w:val="bottom"/>
            <w:gridSpan w:val="2"/>
            <w:shd w:val="clear" w:color="auto" w:fill="FFFF00"/>
          </w:tcPr>
          <w:p>
            <w:pPr>
              <w:spacing w:after="0" w:line="194" w:lineRule="exact"/>
              <w:rPr>
                <w:sz w:val="20"/>
                <w:szCs w:val="20"/>
                <w:color w:val="auto"/>
              </w:rPr>
            </w:pPr>
            <w:r>
              <w:rPr>
                <w:rFonts w:ascii="Calibri" w:cs="Calibri" w:eastAsia="Calibri" w:hAnsi="Calibri"/>
                <w:sz w:val="19"/>
                <w:szCs w:val="19"/>
                <w:color w:val="auto"/>
                <w:highlight w:val="yellow"/>
              </w:rPr>
              <w:t>&lt;&lt;Number_Restricted_Units&gt;&gt;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16" w:lineRule="auto"/>
        <w:rPr>
          <w:sz w:val="20"/>
          <w:szCs w:val="20"/>
          <w:color w:val="auto"/>
        </w:rPr>
      </w:pPr>
      <w:r>
        <w:rPr>
          <w:rFonts w:ascii="Calibri" w:cs="Calibri" w:eastAsia="Calibri" w:hAnsi="Calibri"/>
          <w:sz w:val="19"/>
          <w:szCs w:val="19"/>
          <w:color w:val="auto"/>
        </w:rPr>
        <w:t xml:space="preserve">This </w:t>
      </w:r>
      <w:r>
        <w:rPr>
          <w:rFonts w:ascii="Calibri" w:cs="Calibri" w:eastAsia="Calibri" w:hAnsi="Calibri"/>
          <w:sz w:val="19"/>
          <w:szCs w:val="19"/>
          <w:b w:val="1"/>
          <w:bCs w:val="1"/>
          <w:color w:val="auto"/>
        </w:rPr>
        <w:t>RESTRICTED STOCK UNIT AGREEMENT</w:t>
      </w:r>
      <w:r>
        <w:rPr>
          <w:rFonts w:ascii="Calibri" w:cs="Calibri" w:eastAsia="Calibri" w:hAnsi="Calibri"/>
          <w:sz w:val="19"/>
          <w:szCs w:val="19"/>
          <w:color w:val="auto"/>
        </w:rPr>
        <w:t xml:space="preserve"> (“Agreement”) is made as of </w:t>
      </w:r>
      <w:r>
        <w:rPr>
          <w:rFonts w:ascii="Calibri" w:cs="Calibri" w:eastAsia="Calibri" w:hAnsi="Calibri"/>
          <w:sz w:val="19"/>
          <w:szCs w:val="19"/>
          <w:b w:val="1"/>
          <w:bCs w:val="1"/>
          <w:color w:val="auto"/>
          <w:highlight w:val="yellow"/>
        </w:rPr>
        <w:t>&lt;&lt;Grant Date&gt;&gt;</w:t>
      </w:r>
      <w:r>
        <w:rPr>
          <w:rFonts w:ascii="Calibri" w:cs="Calibri" w:eastAsia="Calibri" w:hAnsi="Calibri"/>
          <w:sz w:val="19"/>
          <w:szCs w:val="19"/>
          <w:color w:val="auto"/>
        </w:rPr>
        <w:t xml:space="preserve">, between </w:t>
      </w:r>
      <w:r>
        <w:rPr>
          <w:rFonts w:ascii="Calibri" w:cs="Calibri" w:eastAsia="Calibri" w:hAnsi="Calibri"/>
          <w:sz w:val="19"/>
          <w:szCs w:val="19"/>
          <w:b w:val="1"/>
          <w:bCs w:val="1"/>
          <w:color w:val="auto"/>
        </w:rPr>
        <w:t>HALLIBURTON COMPANY</w:t>
      </w:r>
      <w:r>
        <w:rPr>
          <w:rFonts w:ascii="Calibri" w:cs="Calibri" w:eastAsia="Calibri" w:hAnsi="Calibri"/>
          <w:sz w:val="19"/>
          <w:szCs w:val="19"/>
          <w:color w:val="auto"/>
        </w:rPr>
        <w:t xml:space="preserve">, a Delaware corporaton (the “Company”), and </w:t>
      </w:r>
      <w:r>
        <w:rPr>
          <w:rFonts w:ascii="Calibri" w:cs="Calibri" w:eastAsia="Calibri" w:hAnsi="Calibri"/>
          <w:sz w:val="19"/>
          <w:szCs w:val="19"/>
          <w:b w:val="1"/>
          <w:bCs w:val="1"/>
          <w:color w:val="auto"/>
          <w:highlight w:val="yellow"/>
        </w:rPr>
        <w:t>&lt;&lt;Partcipant Name&gt;&gt;</w:t>
      </w:r>
      <w:r>
        <w:rPr>
          <w:rFonts w:ascii="Calibri" w:cs="Calibri" w:eastAsia="Calibri" w:hAnsi="Calibri"/>
          <w:sz w:val="19"/>
          <w:szCs w:val="19"/>
          <w:color w:val="auto"/>
        </w:rPr>
        <w:t xml:space="preserve"> (“Employee”).</w:t>
      </w:r>
    </w:p>
    <w:p>
      <w:pPr>
        <w:spacing w:after="0" w:line="188" w:lineRule="exact"/>
        <w:rPr>
          <w:sz w:val="20"/>
          <w:szCs w:val="20"/>
          <w:color w:val="auto"/>
        </w:rPr>
      </w:pPr>
    </w:p>
    <w:p>
      <w:pPr>
        <w:jc w:val="both"/>
        <w:ind w:left="620" w:hanging="307"/>
        <w:spacing w:after="0" w:line="205" w:lineRule="auto"/>
        <w:tabs>
          <w:tab w:leader="none" w:pos="612" w:val="left"/>
        </w:tabs>
        <w:numPr>
          <w:ilvl w:val="0"/>
          <w:numId w:val="56"/>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Award of Units</w:t>
      </w:r>
      <w:r>
        <w:rPr>
          <w:rFonts w:ascii="Calibri" w:cs="Calibri" w:eastAsia="Calibri" w:hAnsi="Calibri"/>
          <w:sz w:val="19"/>
          <w:szCs w:val="19"/>
          <w:color w:val="auto"/>
        </w:rPr>
        <w:t>. Pursuant to the Halliburton Company Stock and Incentve Plan, as amended (the “Plan”), Employee is hereby awarded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the aggregate number of units subject to award set forth above evidencing the right to receive an equivalent number of shares of Company common stock, par value USD 2.50 per share (“Stock”), subject to the terms and conditons of this Agreement and the Plan. The units granted pursuant to this Agreement that are referred to as the “Restricted Stock Units”.</w:t>
      </w:r>
    </w:p>
    <w:p>
      <w:pPr>
        <w:spacing w:after="0" w:line="200" w:lineRule="exact"/>
        <w:rPr>
          <w:rFonts w:ascii="Calibri" w:cs="Calibri" w:eastAsia="Calibri" w:hAnsi="Calibri"/>
          <w:sz w:val="19"/>
          <w:szCs w:val="19"/>
          <w:color w:val="auto"/>
        </w:rPr>
      </w:pPr>
    </w:p>
    <w:p>
      <w:pPr>
        <w:jc w:val="both"/>
        <w:ind w:left="620" w:hanging="307"/>
        <w:spacing w:after="0" w:line="205" w:lineRule="auto"/>
        <w:tabs>
          <w:tab w:leader="none" w:pos="612" w:val="left"/>
        </w:tabs>
        <w:numPr>
          <w:ilvl w:val="0"/>
          <w:numId w:val="56"/>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Plan Incorporated</w:t>
      </w:r>
      <w:r>
        <w:rPr>
          <w:rFonts w:ascii="Calibri" w:cs="Calibri" w:eastAsia="Calibri" w:hAnsi="Calibri"/>
          <w:sz w:val="19"/>
          <w:szCs w:val="19"/>
          <w:color w:val="auto"/>
        </w:rPr>
        <w:t>. Employee acknowledges receipt of a copy of the Plan and agrees that this award of Restricted Stock Units shall be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subject to all of the terms and conditons set forth in the Plan, including future amendments thereto. The Plan is incorporated herein by reference as a part of this Agreement. Except as otherwise defned herein, capitalized terms shall have the same meaning ascribed to them under the Plan.</w:t>
      </w:r>
    </w:p>
    <w:p>
      <w:pPr>
        <w:spacing w:after="0" w:line="194" w:lineRule="exact"/>
        <w:rPr>
          <w:rFonts w:ascii="Calibri" w:cs="Calibri" w:eastAsia="Calibri" w:hAnsi="Calibri"/>
          <w:sz w:val="19"/>
          <w:szCs w:val="19"/>
          <w:color w:val="auto"/>
        </w:rPr>
      </w:pPr>
    </w:p>
    <w:p>
      <w:pPr>
        <w:ind w:left="620" w:hanging="307"/>
        <w:spacing w:after="0"/>
        <w:tabs>
          <w:tab w:leader="none" w:pos="620" w:val="left"/>
        </w:tabs>
        <w:numPr>
          <w:ilvl w:val="0"/>
          <w:numId w:val="56"/>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Vestng of Restricted Stock Units; Forfeiture of Restricted Stock Units</w:t>
      </w:r>
      <w:r>
        <w:rPr>
          <w:rFonts w:ascii="Calibri" w:cs="Calibri" w:eastAsia="Calibri" w:hAnsi="Calibri"/>
          <w:sz w:val="19"/>
          <w:szCs w:val="19"/>
          <w:color w:val="auto"/>
        </w:rPr>
        <w:t>.</w:t>
      </w:r>
    </w:p>
    <w:p>
      <w:pPr>
        <w:spacing w:after="0" w:line="186" w:lineRule="exact"/>
        <w:rPr>
          <w:rFonts w:ascii="Calibri" w:cs="Calibri" w:eastAsia="Calibri" w:hAnsi="Calibri"/>
          <w:sz w:val="19"/>
          <w:szCs w:val="19"/>
          <w:color w:val="auto"/>
        </w:rPr>
      </w:pPr>
    </w:p>
    <w:p>
      <w:pPr>
        <w:jc w:val="both"/>
        <w:ind w:left="1240" w:hanging="309"/>
        <w:spacing w:after="0" w:line="205" w:lineRule="auto"/>
        <w:tabs>
          <w:tab w:leader="none" w:pos="1244" w:val="left"/>
        </w:tabs>
        <w:numPr>
          <w:ilvl w:val="1"/>
          <w:numId w:val="56"/>
        </w:numPr>
        <w:rPr>
          <w:rFonts w:ascii="Calibri" w:cs="Calibri" w:eastAsia="Calibri" w:hAnsi="Calibri"/>
          <w:sz w:val="19"/>
          <w:szCs w:val="19"/>
          <w:color w:val="auto"/>
        </w:rPr>
      </w:pPr>
      <w:r>
        <w:rPr>
          <w:rFonts w:ascii="Calibri" w:cs="Calibri" w:eastAsia="Calibri" w:hAnsi="Calibri"/>
          <w:sz w:val="19"/>
          <w:szCs w:val="19"/>
          <w:b w:val="1"/>
          <w:bCs w:val="1"/>
          <w:color w:val="auto"/>
        </w:rPr>
        <w:t>Vestng Schedule</w:t>
      </w:r>
      <w:r>
        <w:rPr>
          <w:rFonts w:ascii="Calibri" w:cs="Calibri" w:eastAsia="Calibri" w:hAnsi="Calibri"/>
          <w:sz w:val="19"/>
          <w:szCs w:val="19"/>
          <w:color w:val="auto"/>
        </w:rPr>
        <w:t>. The Restricted Stock Units shall vest in accordance with the vestng details for this grant displayed in the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Distributon Schedule in Employee’s account at www.NetBenefts.Fidelity.com, provided that Employee has been contnuously and actvely employed by the Company or any of its Subsidiaries and afliated companies from the date of this Agreement through the applicable vestng date.</w:t>
      </w:r>
    </w:p>
    <w:p>
      <w:pPr>
        <w:spacing w:after="0" w:line="200" w:lineRule="exact"/>
        <w:rPr>
          <w:rFonts w:ascii="Calibri" w:cs="Calibri" w:eastAsia="Calibri" w:hAnsi="Calibri"/>
          <w:sz w:val="19"/>
          <w:szCs w:val="19"/>
          <w:color w:val="auto"/>
        </w:rPr>
      </w:pPr>
    </w:p>
    <w:p>
      <w:pPr>
        <w:jc w:val="both"/>
        <w:ind w:left="1240" w:hanging="309"/>
        <w:spacing w:after="0" w:line="201" w:lineRule="auto"/>
        <w:tabs>
          <w:tab w:leader="none" w:pos="1240" w:val="left"/>
        </w:tabs>
        <w:numPr>
          <w:ilvl w:val="1"/>
          <w:numId w:val="56"/>
        </w:numPr>
        <w:rPr>
          <w:rFonts w:ascii="Calibri" w:cs="Calibri" w:eastAsia="Calibri" w:hAnsi="Calibri"/>
          <w:sz w:val="19"/>
          <w:szCs w:val="19"/>
          <w:color w:val="auto"/>
        </w:rPr>
      </w:pPr>
      <w:r>
        <w:rPr>
          <w:rFonts w:ascii="Calibri" w:cs="Calibri" w:eastAsia="Calibri" w:hAnsi="Calibri"/>
          <w:sz w:val="19"/>
          <w:szCs w:val="19"/>
          <w:b w:val="1"/>
          <w:bCs w:val="1"/>
          <w:color w:val="auto"/>
        </w:rPr>
        <w:t>Accelerated Vestng</w:t>
      </w:r>
      <w:r>
        <w:rPr>
          <w:rFonts w:ascii="Calibri" w:cs="Calibri" w:eastAsia="Calibri" w:hAnsi="Calibri"/>
          <w:sz w:val="19"/>
          <w:szCs w:val="19"/>
          <w:color w:val="auto"/>
        </w:rPr>
        <w:t>. The Restricted Stock Units shall become fully vested on the earlier of (i) the date of Employee’s Qualifying</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 xml:space="preserve">Terminaton (as such term is defned in the Plan), or (ii) the date Employee’s employment with the Company is terminated by reason of death or disability (as determined by the Company). In the event Employee’s employment is terminated for any other reason, including retrement (as determined by the Company), upon the recommendaton of </w:t>
      </w:r>
      <w:r>
        <w:rPr>
          <w:rFonts w:ascii="Calibri" w:cs="Calibri" w:eastAsia="Calibri" w:hAnsi="Calibri"/>
          <w:sz w:val="19"/>
          <w:szCs w:val="19"/>
          <w:color w:val="231F20"/>
        </w:rPr>
        <w:t>applicable management of the</w:t>
      </w:r>
      <w:r>
        <w:rPr>
          <w:rFonts w:ascii="Calibri" w:cs="Calibri" w:eastAsia="Calibri" w:hAnsi="Calibri"/>
          <w:sz w:val="19"/>
          <w:szCs w:val="19"/>
          <w:color w:val="auto"/>
        </w:rPr>
        <w:t xml:space="preserve"> </w:t>
      </w:r>
      <w:r>
        <w:rPr>
          <w:rFonts w:ascii="Calibri" w:cs="Calibri" w:eastAsia="Calibri" w:hAnsi="Calibri"/>
          <w:sz w:val="19"/>
          <w:szCs w:val="19"/>
          <w:color w:val="231F20"/>
        </w:rPr>
        <w:t xml:space="preserve">Company and/or business unit, </w:t>
      </w:r>
      <w:r>
        <w:rPr>
          <w:rFonts w:ascii="Calibri" w:cs="Calibri" w:eastAsia="Calibri" w:hAnsi="Calibri"/>
          <w:sz w:val="19"/>
          <w:szCs w:val="19"/>
          <w:color w:val="000000"/>
        </w:rPr>
        <w:t>the Commitee which administers the Plan (the “Commitee”) or its delegate, as appropriate,</w:t>
      </w:r>
      <w:r>
        <w:rPr>
          <w:rFonts w:ascii="Calibri" w:cs="Calibri" w:eastAsia="Calibri" w:hAnsi="Calibri"/>
          <w:sz w:val="19"/>
          <w:szCs w:val="19"/>
          <w:color w:val="231F20"/>
        </w:rPr>
        <w:t xml:space="preserve"> </w:t>
      </w:r>
      <w:r>
        <w:rPr>
          <w:rFonts w:ascii="Calibri" w:cs="Calibri" w:eastAsia="Calibri" w:hAnsi="Calibri"/>
          <w:sz w:val="19"/>
          <w:szCs w:val="19"/>
          <w:color w:val="000000"/>
        </w:rPr>
        <w:t>may, in the Commitee’s or such delegate’s sole discreton, approve the acceleraton of the vestng of any or all Restricted Stock Units, such vestng to be efectve on the date of such approval or Employee’s Terminaton Date (as defned below), if later.</w:t>
      </w:r>
    </w:p>
    <w:p>
      <w:pPr>
        <w:spacing w:after="0" w:line="200" w:lineRule="exact"/>
        <w:rPr>
          <w:rFonts w:ascii="Calibri" w:cs="Calibri" w:eastAsia="Calibri" w:hAnsi="Calibri"/>
          <w:sz w:val="19"/>
          <w:szCs w:val="19"/>
          <w:color w:val="auto"/>
        </w:rPr>
      </w:pPr>
    </w:p>
    <w:p>
      <w:pPr>
        <w:jc w:val="both"/>
        <w:ind w:left="1240" w:hanging="309"/>
        <w:spacing w:after="0" w:line="227" w:lineRule="auto"/>
        <w:tabs>
          <w:tab w:leader="none" w:pos="1233" w:val="left"/>
        </w:tabs>
        <w:numPr>
          <w:ilvl w:val="1"/>
          <w:numId w:val="56"/>
        </w:numPr>
        <w:rPr>
          <w:rFonts w:ascii="Calibri" w:cs="Calibri" w:eastAsia="Calibri" w:hAnsi="Calibri"/>
          <w:sz w:val="19"/>
          <w:szCs w:val="19"/>
          <w:color w:val="auto"/>
        </w:rPr>
      </w:pPr>
      <w:r>
        <w:rPr>
          <w:rFonts w:ascii="Calibri" w:cs="Calibri" w:eastAsia="Calibri" w:hAnsi="Calibri"/>
          <w:sz w:val="19"/>
          <w:szCs w:val="19"/>
          <w:b w:val="1"/>
          <w:bCs w:val="1"/>
          <w:color w:val="auto"/>
        </w:rPr>
        <w:t>Forfeiture of Restricted Stock Units</w:t>
      </w:r>
      <w:r>
        <w:rPr>
          <w:rFonts w:ascii="Calibri" w:cs="Calibri" w:eastAsia="Calibri" w:hAnsi="Calibri"/>
          <w:sz w:val="19"/>
          <w:szCs w:val="19"/>
          <w:color w:val="auto"/>
        </w:rPr>
        <w:t>. In the event of a terminaton of Employee’s employment with the Company or any</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Subsidiary or afliated companies for any reason except as otherwise provided in this Paragraph 3, Employee shall, for no consideraton, forfeit all Restricted Stock Units to the extent they are not fully vested as of the Terminaton Date. For the avoidance of doubt, “Terminaton Date” for purposes of this award will be deemed to occur as of the date Employee is no longer actvely providing services as an employee, unless otherwise determined by the Company in its sole discreton, and no vestng shall contnue during any notce period that may be specifed under contract or applicable law with respect to such terminaton, including any “garden leave” or similar period, except as may otherwise be permited in the Company’s sole discreton.</w:t>
      </w:r>
    </w:p>
    <w:p>
      <w:pPr>
        <w:sectPr>
          <w:pgSz w:w="11900" w:h="16838" w:orient="portrait"/>
          <w:cols w:equalWidth="0" w:num="1">
            <w:col w:w="11240"/>
          </w:cols>
          <w:pgMar w:left="320" w:top="1051" w:right="339" w:bottom="1440" w:gutter="0" w:footer="0" w:header="0"/>
        </w:sectPr>
      </w:pPr>
    </w:p>
    <w:bookmarkStart w:id="96" w:name="page97"/>
    <w:bookmarkEnd w:id="96"/>
    <w:p>
      <w:pPr>
        <w:jc w:val="both"/>
        <w:ind w:left="307" w:hanging="307"/>
        <w:spacing w:after="0" w:line="211" w:lineRule="auto"/>
        <w:tabs>
          <w:tab w:leader="none" w:pos="299" w:val="left"/>
        </w:tabs>
        <w:numPr>
          <w:ilvl w:val="0"/>
          <w:numId w:val="57"/>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Setlement of Restricted Stock Units</w:t>
      </w:r>
      <w:r>
        <w:rPr>
          <w:rFonts w:ascii="Calibri" w:cs="Calibri" w:eastAsia="Calibri" w:hAnsi="Calibri"/>
          <w:sz w:val="19"/>
          <w:szCs w:val="19"/>
          <w:color w:val="auto"/>
        </w:rPr>
        <w:t>. Upon vestng of the Restricted Stock Units, payment shall be made as soon as administratvely</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practcable but in no event later than 60 days afer the vestng date. The Company, in its sole discreton, may provide for setlement in the form of:</w:t>
      </w:r>
    </w:p>
    <w:p>
      <w:pPr>
        <w:spacing w:after="0" w:line="181" w:lineRule="exact"/>
        <w:rPr>
          <w:rFonts w:ascii="Calibri" w:cs="Calibri" w:eastAsia="Calibri" w:hAnsi="Calibri"/>
          <w:sz w:val="19"/>
          <w:szCs w:val="19"/>
          <w:color w:val="auto"/>
        </w:rPr>
      </w:pPr>
    </w:p>
    <w:p>
      <w:pPr>
        <w:ind w:left="927" w:hanging="309"/>
        <w:spacing w:after="0"/>
        <w:tabs>
          <w:tab w:leader="none" w:pos="927" w:val="left"/>
        </w:tabs>
        <w:numPr>
          <w:ilvl w:val="1"/>
          <w:numId w:val="57"/>
        </w:numPr>
        <w:rPr>
          <w:rFonts w:ascii="Calibri" w:cs="Calibri" w:eastAsia="Calibri" w:hAnsi="Calibri"/>
          <w:sz w:val="19"/>
          <w:szCs w:val="19"/>
          <w:color w:val="auto"/>
        </w:rPr>
      </w:pPr>
      <w:r>
        <w:rPr>
          <w:rFonts w:ascii="Calibri" w:cs="Calibri" w:eastAsia="Calibri" w:hAnsi="Calibri"/>
          <w:sz w:val="19"/>
          <w:szCs w:val="19"/>
          <w:color w:val="auto"/>
        </w:rPr>
        <w:t>shares of Stock; or</w:t>
      </w:r>
    </w:p>
    <w:p>
      <w:pPr>
        <w:spacing w:after="0" w:line="199" w:lineRule="exact"/>
        <w:rPr>
          <w:rFonts w:ascii="Calibri" w:cs="Calibri" w:eastAsia="Calibri" w:hAnsi="Calibri"/>
          <w:sz w:val="19"/>
          <w:szCs w:val="19"/>
          <w:color w:val="auto"/>
        </w:rPr>
      </w:pPr>
    </w:p>
    <w:p>
      <w:pPr>
        <w:jc w:val="both"/>
        <w:ind w:left="927" w:hanging="309"/>
        <w:spacing w:after="0" w:line="201" w:lineRule="auto"/>
        <w:tabs>
          <w:tab w:leader="none" w:pos="927" w:val="left"/>
        </w:tabs>
        <w:numPr>
          <w:ilvl w:val="1"/>
          <w:numId w:val="57"/>
        </w:numPr>
        <w:rPr>
          <w:rFonts w:ascii="Calibri" w:cs="Calibri" w:eastAsia="Calibri" w:hAnsi="Calibri"/>
          <w:sz w:val="19"/>
          <w:szCs w:val="19"/>
          <w:color w:val="auto"/>
        </w:rPr>
      </w:pPr>
      <w:r>
        <w:rPr>
          <w:rFonts w:ascii="Calibri" w:cs="Calibri" w:eastAsia="Calibri" w:hAnsi="Calibri"/>
          <w:sz w:val="19"/>
          <w:szCs w:val="19"/>
          <w:color w:val="auto"/>
        </w:rPr>
        <w:t>a cash payment in an amount equal to the Fair Market Value of the shares of Stock that correspond to the vested Restricted Stock Units, to the extent that setlement in shares of Stock (i) is prohibited under local law, (ii) would require Employee, the Company or any Subsidiary or afliated company to obtain the approval of any governmental or regulatory body in Employee’s country of employment (or residence, if diferent), (iii) would result in adverse tax consequences to Employee, the Company, or any Subsidiary or afliated company, or (iv) is administratvely burdensome.</w:t>
      </w:r>
    </w:p>
    <w:p>
      <w:pPr>
        <w:spacing w:after="0" w:line="202" w:lineRule="exact"/>
        <w:rPr>
          <w:sz w:val="20"/>
          <w:szCs w:val="20"/>
          <w:color w:val="auto"/>
        </w:rPr>
      </w:pPr>
    </w:p>
    <w:p>
      <w:pPr>
        <w:jc w:val="both"/>
        <w:ind w:left="307"/>
        <w:spacing w:after="0"/>
        <w:rPr>
          <w:sz w:val="20"/>
          <w:szCs w:val="20"/>
          <w:color w:val="auto"/>
        </w:rPr>
      </w:pPr>
      <w:r>
        <w:rPr>
          <w:rFonts w:ascii="Calibri" w:cs="Calibri" w:eastAsia="Calibri" w:hAnsi="Calibri"/>
          <w:sz w:val="19"/>
          <w:szCs w:val="19"/>
          <w:color w:val="auto"/>
        </w:rPr>
        <w:t>If the Company setles the Restricted Stock Units in shares of Stock, it may require Employee to sell such shares of Stock immediately or within a specifed period following Employee’s terminaton of employment (in which case Employee hereby agrees that the Company shall have the authority to issue sale instructons in relaton to such shares of Stock on Employee’s behalf pursuant to this authorizaton).</w:t>
      </w:r>
    </w:p>
    <w:p>
      <w:pPr>
        <w:spacing w:after="0" w:line="297" w:lineRule="exact"/>
        <w:rPr>
          <w:sz w:val="20"/>
          <w:szCs w:val="20"/>
          <w:color w:val="auto"/>
        </w:rPr>
      </w:pPr>
    </w:p>
    <w:p>
      <w:pPr>
        <w:jc w:val="both"/>
        <w:ind w:left="307" w:hanging="307"/>
        <w:spacing w:after="0" w:line="206" w:lineRule="auto"/>
        <w:tabs>
          <w:tab w:leader="none" w:pos="299" w:val="left"/>
        </w:tabs>
        <w:numPr>
          <w:ilvl w:val="0"/>
          <w:numId w:val="58"/>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Shareholder Rights</w:t>
      </w:r>
      <w:r>
        <w:rPr>
          <w:rFonts w:ascii="Calibri" w:cs="Calibri" w:eastAsia="Calibri" w:hAnsi="Calibri"/>
          <w:sz w:val="19"/>
          <w:szCs w:val="19"/>
          <w:color w:val="auto"/>
        </w:rPr>
        <w:t>. Employee shall have no rights to dividends, dividend equivalents or any other rights of a shareholder with respect</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to the shares of Stock subject to this award of Restricted Stock Units unless and untl such tme as the award has been setled by the transfer of shares of Stock to Employee.</w:t>
      </w:r>
    </w:p>
    <w:p>
      <w:pPr>
        <w:spacing w:after="0" w:line="202" w:lineRule="exact"/>
        <w:rPr>
          <w:rFonts w:ascii="Calibri" w:cs="Calibri" w:eastAsia="Calibri" w:hAnsi="Calibri"/>
          <w:sz w:val="19"/>
          <w:szCs w:val="19"/>
          <w:color w:val="auto"/>
        </w:rPr>
      </w:pPr>
    </w:p>
    <w:p>
      <w:pPr>
        <w:jc w:val="both"/>
        <w:ind w:left="307" w:hanging="307"/>
        <w:spacing w:after="0" w:line="201" w:lineRule="auto"/>
        <w:tabs>
          <w:tab w:leader="none" w:pos="299" w:val="left"/>
        </w:tabs>
        <w:numPr>
          <w:ilvl w:val="0"/>
          <w:numId w:val="58"/>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Non-Transferability</w:t>
      </w:r>
      <w:r>
        <w:rPr>
          <w:rFonts w:ascii="Calibri" w:cs="Calibri" w:eastAsia="Calibri" w:hAnsi="Calibri"/>
          <w:sz w:val="19"/>
          <w:szCs w:val="19"/>
          <w:color w:val="auto"/>
        </w:rPr>
        <w:t>. The Restricted Stock Units may not be sold, assigned, pledged, exchanged, hypothecated, encumbered, disposed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 xml:space="preserve">of, or otherwise transferred, except </w:t>
      </w:r>
      <w:r>
        <w:rPr>
          <w:rFonts w:ascii="Calibri" w:cs="Calibri" w:eastAsia="Calibri" w:hAnsi="Calibri"/>
          <w:sz w:val="19"/>
          <w:szCs w:val="19"/>
          <w:color w:val="231F20"/>
        </w:rPr>
        <w:t>by will or the laws of descent and distributon or</w:t>
      </w:r>
      <w:r>
        <w:rPr>
          <w:rFonts w:ascii="Calibri" w:cs="Calibri" w:eastAsia="Calibri" w:hAnsi="Calibri"/>
          <w:sz w:val="19"/>
          <w:szCs w:val="19"/>
          <w:color w:val="auto"/>
        </w:rPr>
        <w:t xml:space="preserve"> pursuant to a “qualifed domestc relatons order” as defned by the Code or Title I of the U.S. Employee Retrement Income Security Act of 1974, as amended, or similar order. Upon any atempt to transfer, assign, pledge, hypothecate or otherwise dispose of the Restricted Stock Units or of such rights contrary to the provisions hereof or in the Plan, the Restricted Stock Units and such rights shall immediately become null and void.</w:t>
      </w:r>
    </w:p>
    <w:p>
      <w:pPr>
        <w:spacing w:after="0" w:line="201" w:lineRule="exact"/>
        <w:rPr>
          <w:rFonts w:ascii="Calibri" w:cs="Calibri" w:eastAsia="Calibri" w:hAnsi="Calibri"/>
          <w:sz w:val="19"/>
          <w:szCs w:val="19"/>
          <w:color w:val="auto"/>
        </w:rPr>
      </w:pPr>
    </w:p>
    <w:p>
      <w:pPr>
        <w:jc w:val="both"/>
        <w:ind w:left="307" w:hanging="307"/>
        <w:spacing w:after="0" w:line="213" w:lineRule="auto"/>
        <w:tabs>
          <w:tab w:leader="none" w:pos="299" w:val="left"/>
        </w:tabs>
        <w:numPr>
          <w:ilvl w:val="0"/>
          <w:numId w:val="58"/>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Withholding of Tax</w:t>
      </w:r>
      <w:r>
        <w:rPr>
          <w:rFonts w:ascii="Calibri" w:cs="Calibri" w:eastAsia="Calibri" w:hAnsi="Calibri"/>
          <w:sz w:val="19"/>
          <w:szCs w:val="19"/>
          <w:color w:val="auto"/>
        </w:rPr>
        <w:t>. Employee acknowledges that, regardless of any acton taken by the Company or, if diferent, the Subsidiary or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afliated company that employs Employee (the “Employer”), the ultmate liability for all income tax, social contributons, payroll tax, fringe benefts tax, payment on account, hypothetcal tax or other tax-related items related to Employee’s partcipaton in the Plan and legally applicable to Employee or deemed by the Company or the Employer in their discreton to be an appropriate charge to Employee, even if legally applicable to the Company or the Employer (“Tax-Related Items”), is and remains Employee’s responsibility and may exceed the amount actually withheld by the Company or the Employer, if any. Employee further acknowledges that the Company and/or the Employer (a) make no representatons or undertakings regarding the treatment of any Tax-Related Items in connecton with any aspect of the Restricted Stock Units, including, but not limited to, the grant, vestng, the subsequent sale of shares of Stock acquired pursuant to such vestng and the receipt of any dividends; and (b) do not commit to and are under no obligaton to structure the terms of the grant or any aspect of the Restricted Stock Units to reduce or eliminate Employee’s liability for Tax-Related Items or achieve any partcular tax result. Further, if Employee is subject to Tax-Related Items in more than one jurisdicton between the Grant Date and the date of any relevant taxable or tax withholding event, as applicable, Employee acknowledges that the Company and/or the Employer (or former employer, as applicable) may be required to withhold or account for Tax-Related Items in more than one jurisdicton.</w:t>
      </w:r>
    </w:p>
    <w:p>
      <w:pPr>
        <w:spacing w:after="0" w:line="198" w:lineRule="exact"/>
        <w:rPr>
          <w:rFonts w:ascii="Calibri" w:cs="Calibri" w:eastAsia="Calibri" w:hAnsi="Calibri"/>
          <w:sz w:val="19"/>
          <w:szCs w:val="19"/>
          <w:color w:val="auto"/>
        </w:rPr>
      </w:pPr>
    </w:p>
    <w:p>
      <w:pPr>
        <w:jc w:val="both"/>
        <w:ind w:left="307"/>
        <w:spacing w:after="0" w:line="199" w:lineRule="auto"/>
        <w:rPr>
          <w:rFonts w:ascii="Calibri" w:cs="Calibri" w:eastAsia="Calibri" w:hAnsi="Calibri"/>
          <w:sz w:val="19"/>
          <w:szCs w:val="19"/>
          <w:color w:val="auto"/>
        </w:rPr>
      </w:pPr>
      <w:r>
        <w:rPr>
          <w:rFonts w:ascii="Calibri" w:cs="Calibri" w:eastAsia="Calibri" w:hAnsi="Calibri"/>
          <w:sz w:val="19"/>
          <w:szCs w:val="19"/>
          <w:color w:val="auto"/>
        </w:rPr>
        <w:t>Prior to the relevant taxable or tax withholding event, as applicable, Employee agrees to make adequate arrangements satsfactory to the Company and/or the Employer to satsfy all Tax-Related Items. In this regard, Employee authorizes the Company and/or the Employer, or their respectve agents, at their discreton, to satsfy the obligatons with regard to all Tax-Related Items by one or a combinaton of the following: (i) withholding from Employee’s wages or other cash compensaton payable to Employee by the Company and/or the Employer; (ii) withholding from the shares of Stock to be delivered upon setlement of the Restricted Stock Units or other awards granted to Employee having a Fair Market Value equal to the amount required to be withheld; (iii) withholding from the proceeds of the sale of shares of Stock acquired upon setlement of the Restricted Stock Units, either through a voluntary sale or through a mandatory sale arranged by the Company (on Employee’s behalf pursuant to this authorizaton without further consent); or (iv) permitng Employee to tender</w:t>
      </w:r>
    </w:p>
    <w:p>
      <w:pPr>
        <w:sectPr>
          <w:pgSz w:w="11900" w:h="16838" w:orient="portrait"/>
          <w:cols w:equalWidth="0" w:num="1">
            <w:col w:w="10927"/>
          </w:cols>
          <w:pgMar w:left="633" w:top="1223" w:right="339" w:bottom="1440" w:gutter="0" w:footer="0" w:header="0"/>
        </w:sectPr>
      </w:pPr>
    </w:p>
    <w:bookmarkStart w:id="97" w:name="page98"/>
    <w:bookmarkEnd w:id="97"/>
    <w:p>
      <w:pPr>
        <w:jc w:val="both"/>
        <w:ind w:left="307"/>
        <w:spacing w:after="0"/>
        <w:rPr>
          <w:sz w:val="20"/>
          <w:szCs w:val="20"/>
          <w:color w:val="auto"/>
        </w:rPr>
      </w:pPr>
      <w:r>
        <w:rPr>
          <w:rFonts w:ascii="Calibri" w:cs="Calibri" w:eastAsia="Calibri" w:hAnsi="Calibri"/>
          <w:sz w:val="19"/>
          <w:szCs w:val="19"/>
          <w:color w:val="auto"/>
        </w:rPr>
        <w:t>to the Company cash (including check, bank draf or money order delivered to the Company’s Stock Plan Administrator) or, if allowed by the Commitee, shares of Stock previously acquired by Employee having a Fair Market Value equal to the amount required to be withheld.</w:t>
      </w:r>
    </w:p>
    <w:p>
      <w:pPr>
        <w:spacing w:after="0" w:line="335" w:lineRule="exact"/>
        <w:rPr>
          <w:sz w:val="20"/>
          <w:szCs w:val="20"/>
          <w:color w:val="auto"/>
        </w:rPr>
      </w:pPr>
    </w:p>
    <w:p>
      <w:pPr>
        <w:jc w:val="both"/>
        <w:ind w:left="307"/>
        <w:spacing w:after="0" w:line="205" w:lineRule="auto"/>
        <w:rPr>
          <w:sz w:val="20"/>
          <w:szCs w:val="20"/>
          <w:color w:val="auto"/>
        </w:rPr>
      </w:pPr>
      <w:r>
        <w:rPr>
          <w:rFonts w:ascii="Calibri" w:cs="Calibri" w:eastAsia="Calibri" w:hAnsi="Calibri"/>
          <w:sz w:val="19"/>
          <w:szCs w:val="19"/>
          <w:color w:val="auto"/>
        </w:rPr>
        <w:t>Notwithstanding the foregoing, if Employee is subject to Secton 16 of the U.S. Securites Exchange Act of 1934, as amended, pursuant to Rule 16a-2 promulgated thereunder, any tax withholding obligatons shall be satsfed by having the Company withhold a number of shares of Stock having a Fair Market Value equal to the amount required to be withheld from the shares of Stock to be delivered upon vestng of the Restricted Stock Units.</w:t>
      </w:r>
    </w:p>
    <w:p>
      <w:pPr>
        <w:spacing w:after="0" w:line="136" w:lineRule="exact"/>
        <w:rPr>
          <w:sz w:val="20"/>
          <w:szCs w:val="20"/>
          <w:color w:val="auto"/>
        </w:rPr>
      </w:pPr>
    </w:p>
    <w:p>
      <w:pPr>
        <w:jc w:val="both"/>
        <w:ind w:left="307"/>
        <w:spacing w:after="0" w:line="199" w:lineRule="auto"/>
        <w:rPr>
          <w:sz w:val="20"/>
          <w:szCs w:val="20"/>
          <w:color w:val="auto"/>
        </w:rPr>
      </w:pPr>
      <w:r>
        <w:rPr>
          <w:rFonts w:ascii="Calibri" w:cs="Calibri" w:eastAsia="Calibri" w:hAnsi="Calibri"/>
          <w:sz w:val="19"/>
          <w:szCs w:val="19"/>
          <w:color w:val="auto"/>
        </w:rPr>
        <w:t>Depending on the withholding method, the Company may withhold or account for Tax-Related Items by considering applicable statutory withholding rates (as determined by the Company in good faith and in its sole discreton) or other applicable withholding rates, including maximum applicable rates. In the event of over-withholding, Employee may receive a refund of any over-withheld amount in cash (with no enttlement to the equivalent in shares of Stock), or if not refunded, Employee may seek a refund from the local tax authorites. In the event of under-withholding, Employee may be required to pay any additonal Tax-Related Items directly to the applicable tax authority or to the Company and/or the Employer. If the obligaton for Tax-Related Items is satsfed by withholding from the shares of Stock to be delivered upon vestng of the Restricted Stock Units, for tax purposes, Employee is deemed to have been issued the full number of shares of Stock subject to the Restricted Stock Units, notwithstanding that a number of shares of Stock are held back solely for the purpose of paying the Tax-Related Items. Employee will have no further rights with respect to any shares of Stock that are retained by the Company pursuant to this provision.</w:t>
      </w:r>
    </w:p>
    <w:p>
      <w:pPr>
        <w:spacing w:after="0" w:line="140" w:lineRule="exact"/>
        <w:rPr>
          <w:sz w:val="20"/>
          <w:szCs w:val="20"/>
          <w:color w:val="auto"/>
        </w:rPr>
      </w:pPr>
    </w:p>
    <w:p>
      <w:pPr>
        <w:jc w:val="both"/>
        <w:ind w:left="307"/>
        <w:spacing w:after="0" w:line="205" w:lineRule="auto"/>
        <w:rPr>
          <w:sz w:val="20"/>
          <w:szCs w:val="20"/>
          <w:color w:val="auto"/>
        </w:rPr>
      </w:pPr>
      <w:r>
        <w:rPr>
          <w:rFonts w:ascii="Calibri" w:cs="Calibri" w:eastAsia="Calibri" w:hAnsi="Calibri"/>
          <w:sz w:val="19"/>
          <w:szCs w:val="19"/>
          <w:color w:val="auto"/>
        </w:rPr>
        <w:t>Employee agrees to pay to the Company or the Employer any amount of Tax-Related Items that the Company or the Employer may be required to withhold or account for as a result of Employee’s partcipaton in the Plan that cannot be satsfed by the means previously described. The Company may refuse to issue or deliver shares of Stock or proceeds from the sale of shares of Stock untl arrangements satsfactory to the Company have been made in connecton with the Tax-Related Items.</w:t>
      </w:r>
    </w:p>
    <w:p>
      <w:pPr>
        <w:spacing w:after="0" w:line="200" w:lineRule="exact"/>
        <w:rPr>
          <w:sz w:val="20"/>
          <w:szCs w:val="20"/>
          <w:color w:val="auto"/>
        </w:rPr>
      </w:pPr>
    </w:p>
    <w:p>
      <w:pPr>
        <w:jc w:val="both"/>
        <w:ind w:left="307" w:hanging="307"/>
        <w:spacing w:after="0" w:line="201" w:lineRule="auto"/>
        <w:tabs>
          <w:tab w:leader="none" w:pos="299" w:val="left"/>
        </w:tabs>
        <w:numPr>
          <w:ilvl w:val="0"/>
          <w:numId w:val="59"/>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Status of Shares of Stock</w:t>
      </w:r>
      <w:r>
        <w:rPr>
          <w:rFonts w:ascii="Calibri" w:cs="Calibri" w:eastAsia="Calibri" w:hAnsi="Calibri"/>
          <w:sz w:val="19"/>
          <w:szCs w:val="19"/>
          <w:color w:val="auto"/>
        </w:rPr>
        <w:t>. The Company shall not be obligated to issue any shares of Stock pursuant to any Restricted Stock Units at any</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tme, when the ofering of the shares of Stock covered by such Restricted Stock Unit has not been registered under the U.S. Securites Act of 1933, as amended (the “Act”) or such other country, U.S. federal or state laws, rules or regulatons as the Company deems applicable and, in the opinion of legal counsel for the Company, there is no exempton from the registraton. The Company intends to use reasonable eforts to ensure that no such delay will occur. In the event exempton from registraton under the Act is available upon vestng of the Restricted Stock Units, Employee, if requested by the Company to do so, will execute and deliver to the Company in writng an agreement containing such provisions as the Company may require to assure compliance with applicable securites laws.</w:t>
      </w:r>
    </w:p>
    <w:p>
      <w:pPr>
        <w:spacing w:after="0" w:line="187" w:lineRule="exact"/>
        <w:rPr>
          <w:rFonts w:ascii="Calibri" w:cs="Calibri" w:eastAsia="Calibri" w:hAnsi="Calibri"/>
          <w:sz w:val="19"/>
          <w:szCs w:val="19"/>
          <w:color w:val="auto"/>
        </w:rPr>
      </w:pPr>
    </w:p>
    <w:p>
      <w:pPr>
        <w:jc w:val="both"/>
        <w:ind w:left="307"/>
        <w:spacing w:after="0" w:line="203" w:lineRule="auto"/>
        <w:rPr>
          <w:rFonts w:ascii="Calibri" w:cs="Calibri" w:eastAsia="Calibri" w:hAnsi="Calibri"/>
          <w:sz w:val="19"/>
          <w:szCs w:val="19"/>
          <w:color w:val="auto"/>
        </w:rPr>
      </w:pPr>
      <w:r>
        <w:rPr>
          <w:rFonts w:ascii="Calibri" w:cs="Calibri" w:eastAsia="Calibri" w:hAnsi="Calibri"/>
          <w:sz w:val="19"/>
          <w:szCs w:val="19"/>
          <w:color w:val="auto"/>
        </w:rPr>
        <w:t>Employee agrees that the shares of Stock which Employee may acquire upon vestng of the Restricted Stock Units will not be sold or otherwise disposed of in any manner which would consttute a violaton of any applicable U.S. federal, state or non-U.S. securites laws. Employee also agrees (i) that the Company may refuse to register the transfer of the shares of Stock acquired under the Restricted Stock Units on the stock transfer records of the Company if such proposed transfer would in the opinion of counsel to the Company consttute a violaton of any applicable securites law, and (ii) that the Company may give related instructons to its transfer agent, if any, to stop registraton of the transfer of the shares of Stock acquired under the Plan.</w:t>
      </w:r>
    </w:p>
    <w:p>
      <w:pPr>
        <w:spacing w:after="0" w:line="183" w:lineRule="exact"/>
        <w:rPr>
          <w:rFonts w:ascii="Calibri" w:cs="Calibri" w:eastAsia="Calibri" w:hAnsi="Calibri"/>
          <w:sz w:val="19"/>
          <w:szCs w:val="19"/>
          <w:color w:val="auto"/>
        </w:rPr>
      </w:pPr>
    </w:p>
    <w:p>
      <w:pPr>
        <w:ind w:left="307" w:hanging="307"/>
        <w:spacing w:after="0"/>
        <w:tabs>
          <w:tab w:leader="none" w:pos="307" w:val="left"/>
        </w:tabs>
        <w:numPr>
          <w:ilvl w:val="0"/>
          <w:numId w:val="59"/>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Nature of Grant</w:t>
      </w:r>
      <w:r>
        <w:rPr>
          <w:rFonts w:ascii="Calibri" w:cs="Calibri" w:eastAsia="Calibri" w:hAnsi="Calibri"/>
          <w:sz w:val="19"/>
          <w:szCs w:val="19"/>
          <w:color w:val="auto"/>
        </w:rPr>
        <w:t>. In acceptng the Restricted Stock Units, Employee acknowledges and agrees that:</w:t>
      </w:r>
    </w:p>
    <w:p>
      <w:pPr>
        <w:spacing w:after="0" w:line="199" w:lineRule="exact"/>
        <w:rPr>
          <w:rFonts w:ascii="Calibri" w:cs="Calibri" w:eastAsia="Calibri" w:hAnsi="Calibri"/>
          <w:sz w:val="19"/>
          <w:szCs w:val="19"/>
          <w:color w:val="auto"/>
        </w:rPr>
      </w:pPr>
    </w:p>
    <w:p>
      <w:pPr>
        <w:ind w:left="927" w:hanging="618"/>
        <w:spacing w:after="0" w:line="210" w:lineRule="auto"/>
        <w:tabs>
          <w:tab w:leader="none" w:pos="931" w:val="left"/>
        </w:tabs>
        <w:numPr>
          <w:ilvl w:val="1"/>
          <w:numId w:val="59"/>
        </w:numPr>
        <w:rPr>
          <w:rFonts w:ascii="Calibri" w:cs="Calibri" w:eastAsia="Calibri" w:hAnsi="Calibri"/>
          <w:sz w:val="19"/>
          <w:szCs w:val="19"/>
          <w:color w:val="auto"/>
        </w:rPr>
      </w:pPr>
      <w:r>
        <w:rPr>
          <w:rFonts w:ascii="Calibri" w:cs="Calibri" w:eastAsia="Calibri" w:hAnsi="Calibri"/>
          <w:sz w:val="19"/>
          <w:szCs w:val="19"/>
          <w:color w:val="auto"/>
        </w:rPr>
        <w:t>the Plan is established voluntarily by the Company, it is discretonary in nature and it may be modifed, amended, suspended or terminated by the Company, in its sole discreton, at any tme (subject to any limitatons set forth in the Plan);</w:t>
      </w:r>
    </w:p>
    <w:p>
      <w:pPr>
        <w:spacing w:after="0" w:line="174" w:lineRule="exact"/>
        <w:rPr>
          <w:rFonts w:ascii="Calibri" w:cs="Calibri" w:eastAsia="Calibri" w:hAnsi="Calibri"/>
          <w:sz w:val="19"/>
          <w:szCs w:val="19"/>
          <w:color w:val="auto"/>
        </w:rPr>
      </w:pPr>
    </w:p>
    <w:p>
      <w:pPr>
        <w:jc w:val="both"/>
        <w:ind w:left="927" w:hanging="618"/>
        <w:spacing w:after="0" w:line="206" w:lineRule="auto"/>
        <w:tabs>
          <w:tab w:leader="none" w:pos="927" w:val="left"/>
        </w:tabs>
        <w:numPr>
          <w:ilvl w:val="1"/>
          <w:numId w:val="59"/>
        </w:numPr>
        <w:rPr>
          <w:rFonts w:ascii="Calibri" w:cs="Calibri" w:eastAsia="Calibri" w:hAnsi="Calibri"/>
          <w:sz w:val="19"/>
          <w:szCs w:val="19"/>
          <w:color w:val="auto"/>
        </w:rPr>
      </w:pPr>
      <w:r>
        <w:rPr>
          <w:rFonts w:ascii="Calibri" w:cs="Calibri" w:eastAsia="Calibri" w:hAnsi="Calibri"/>
          <w:sz w:val="19"/>
          <w:szCs w:val="19"/>
          <w:color w:val="auto"/>
        </w:rPr>
        <w:t>the grant of the Restricted Stock Units is voluntary and occasional and does not create any contractual or other right to receive future grants of restricted stock units, or benefts in lieu of restricted stock units, even if restricted stock units or other awards have been granted in the past;</w:t>
      </w:r>
    </w:p>
    <w:p>
      <w:pPr>
        <w:spacing w:after="0" w:line="170" w:lineRule="exact"/>
        <w:rPr>
          <w:rFonts w:ascii="Calibri" w:cs="Calibri" w:eastAsia="Calibri" w:hAnsi="Calibri"/>
          <w:sz w:val="19"/>
          <w:szCs w:val="19"/>
          <w:color w:val="auto"/>
        </w:rPr>
      </w:pPr>
    </w:p>
    <w:p>
      <w:pPr>
        <w:ind w:left="927" w:hanging="618"/>
        <w:spacing w:after="0"/>
        <w:tabs>
          <w:tab w:leader="none" w:pos="927" w:val="left"/>
        </w:tabs>
        <w:numPr>
          <w:ilvl w:val="1"/>
          <w:numId w:val="59"/>
        </w:numPr>
        <w:rPr>
          <w:rFonts w:ascii="Calibri" w:cs="Calibri" w:eastAsia="Calibri" w:hAnsi="Calibri"/>
          <w:sz w:val="19"/>
          <w:szCs w:val="19"/>
          <w:color w:val="auto"/>
        </w:rPr>
      </w:pPr>
      <w:r>
        <w:rPr>
          <w:rFonts w:ascii="Calibri" w:cs="Calibri" w:eastAsia="Calibri" w:hAnsi="Calibri"/>
          <w:sz w:val="19"/>
          <w:szCs w:val="19"/>
          <w:color w:val="auto"/>
        </w:rPr>
        <w:t>all decisions with respect to future awards, if any, will be at the sole discreton of the Company;</w:t>
      </w:r>
    </w:p>
    <w:p>
      <w:pPr>
        <w:sectPr>
          <w:pgSz w:w="11900" w:h="16838" w:orient="portrait"/>
          <w:cols w:equalWidth="0" w:num="1">
            <w:col w:w="10927"/>
          </w:cols>
          <w:pgMar w:left="633" w:top="1223" w:right="339" w:bottom="1440" w:gutter="0" w:footer="0" w:header="0"/>
        </w:sectPr>
      </w:pPr>
    </w:p>
    <w:bookmarkStart w:id="98" w:name="page99"/>
    <w:bookmarkEnd w:id="98"/>
    <w:p>
      <w:pPr>
        <w:ind w:left="927" w:hanging="618"/>
        <w:spacing w:after="0"/>
        <w:tabs>
          <w:tab w:leader="none" w:pos="927" w:val="left"/>
        </w:tabs>
        <w:numPr>
          <w:ilvl w:val="1"/>
          <w:numId w:val="60"/>
        </w:numPr>
        <w:rPr>
          <w:rFonts w:ascii="Calibri" w:cs="Calibri" w:eastAsia="Calibri" w:hAnsi="Calibri"/>
          <w:sz w:val="19"/>
          <w:szCs w:val="19"/>
          <w:color w:val="auto"/>
        </w:rPr>
      </w:pPr>
      <w:r>
        <w:rPr>
          <w:rFonts w:ascii="Calibri" w:cs="Calibri" w:eastAsia="Calibri" w:hAnsi="Calibri"/>
          <w:sz w:val="19"/>
          <w:szCs w:val="19"/>
          <w:color w:val="auto"/>
        </w:rPr>
        <w:t>Employee’s partcipaton in the Plan is voluntary;</w:t>
      </w:r>
    </w:p>
    <w:p>
      <w:pPr>
        <w:spacing w:after="0" w:line="173" w:lineRule="exact"/>
        <w:rPr>
          <w:rFonts w:ascii="Calibri" w:cs="Calibri" w:eastAsia="Calibri" w:hAnsi="Calibri"/>
          <w:sz w:val="19"/>
          <w:szCs w:val="19"/>
          <w:color w:val="auto"/>
        </w:rPr>
      </w:pPr>
    </w:p>
    <w:p>
      <w:pPr>
        <w:jc w:val="both"/>
        <w:ind w:left="927" w:hanging="618"/>
        <w:spacing w:after="0" w:line="205" w:lineRule="auto"/>
        <w:tabs>
          <w:tab w:leader="none" w:pos="922" w:val="left"/>
        </w:tabs>
        <w:numPr>
          <w:ilvl w:val="1"/>
          <w:numId w:val="60"/>
        </w:numPr>
        <w:rPr>
          <w:rFonts w:ascii="Calibri" w:cs="Calibri" w:eastAsia="Calibri" w:hAnsi="Calibri"/>
          <w:sz w:val="19"/>
          <w:szCs w:val="19"/>
          <w:color w:val="auto"/>
        </w:rPr>
      </w:pPr>
      <w:r>
        <w:rPr>
          <w:rFonts w:ascii="Calibri" w:cs="Calibri" w:eastAsia="Calibri" w:hAnsi="Calibri"/>
          <w:sz w:val="19"/>
          <w:szCs w:val="19"/>
          <w:color w:val="auto"/>
        </w:rPr>
        <w:t>the Restricted Stock Units and Employee’s partcipaton in the Plan shall not create a right to employment or be interpreted as forming an employment contract with the Company or any of its Subsidiaries or afliated companies and shall not interfere with the ability of the Company or the Employer, as applicable, to terminate Employee’s employment relatonship (as otherwise may be permited under local law);</w:t>
      </w:r>
    </w:p>
    <w:p>
      <w:pPr>
        <w:spacing w:after="0" w:line="161" w:lineRule="exact"/>
        <w:rPr>
          <w:rFonts w:ascii="Calibri" w:cs="Calibri" w:eastAsia="Calibri" w:hAnsi="Calibri"/>
          <w:sz w:val="19"/>
          <w:szCs w:val="19"/>
          <w:color w:val="auto"/>
        </w:rPr>
      </w:pPr>
    </w:p>
    <w:p>
      <w:pPr>
        <w:jc w:val="both"/>
        <w:ind w:left="927" w:hanging="618"/>
        <w:spacing w:after="0" w:line="211" w:lineRule="auto"/>
        <w:tabs>
          <w:tab w:leader="none" w:pos="926" w:val="left"/>
        </w:tabs>
        <w:numPr>
          <w:ilvl w:val="1"/>
          <w:numId w:val="60"/>
        </w:numPr>
        <w:rPr>
          <w:rFonts w:ascii="Calibri" w:cs="Calibri" w:eastAsia="Calibri" w:hAnsi="Calibri"/>
          <w:sz w:val="19"/>
          <w:szCs w:val="19"/>
          <w:color w:val="auto"/>
        </w:rPr>
      </w:pPr>
      <w:r>
        <w:rPr>
          <w:rFonts w:ascii="Calibri" w:cs="Calibri" w:eastAsia="Calibri" w:hAnsi="Calibri"/>
          <w:sz w:val="19"/>
          <w:szCs w:val="19"/>
          <w:color w:val="auto"/>
        </w:rPr>
        <w:t>unless otherwise agreed with the Company, the Restricted Stock Units and any shares of Stock acquired upon vestng of the Restricted Stock Units, and the income from and value of the same, are not granted as consideraton for, or in connecton with, any service Employee may provide as a director of any Subsidiary or afliate of the Company;</w:t>
      </w:r>
    </w:p>
    <w:p>
      <w:pPr>
        <w:spacing w:after="0" w:line="161" w:lineRule="exact"/>
        <w:rPr>
          <w:rFonts w:ascii="Calibri" w:cs="Calibri" w:eastAsia="Calibri" w:hAnsi="Calibri"/>
          <w:sz w:val="19"/>
          <w:szCs w:val="19"/>
          <w:color w:val="auto"/>
        </w:rPr>
      </w:pPr>
    </w:p>
    <w:p>
      <w:pPr>
        <w:jc w:val="both"/>
        <w:ind w:left="927" w:hanging="618"/>
        <w:spacing w:after="0" w:line="204" w:lineRule="auto"/>
        <w:tabs>
          <w:tab w:leader="none" w:pos="930" w:val="left"/>
        </w:tabs>
        <w:numPr>
          <w:ilvl w:val="1"/>
          <w:numId w:val="60"/>
        </w:numPr>
        <w:rPr>
          <w:rFonts w:ascii="Calibri" w:cs="Calibri" w:eastAsia="Calibri" w:hAnsi="Calibri"/>
          <w:sz w:val="19"/>
          <w:szCs w:val="19"/>
          <w:color w:val="auto"/>
        </w:rPr>
      </w:pPr>
      <w:r>
        <w:rPr>
          <w:rFonts w:ascii="Calibri" w:cs="Calibri" w:eastAsia="Calibri" w:hAnsi="Calibri"/>
          <w:sz w:val="19"/>
          <w:szCs w:val="19"/>
          <w:color w:val="auto"/>
        </w:rPr>
        <w:t>the Restricted Stock Units and any shares of Stock acquired under the Plan and the income and value of the same are not part of normal or expected compensaton for purposes of calculatng any severance, resignaton, terminaton, redundancy, dismissal, end-of-service payments, holiday pay, bonuses, long-service awards, pension or retrement or welfare benefts or similar payments and in no event should be considered as compensaton for, or relatng in any way to, past services for the Company, the Employer or any Subsidiary or afliate of the Company;</w:t>
      </w:r>
    </w:p>
    <w:p>
      <w:pPr>
        <w:spacing w:after="0" w:line="174" w:lineRule="exact"/>
        <w:rPr>
          <w:rFonts w:ascii="Calibri" w:cs="Calibri" w:eastAsia="Calibri" w:hAnsi="Calibri"/>
          <w:sz w:val="19"/>
          <w:szCs w:val="19"/>
          <w:color w:val="auto"/>
        </w:rPr>
      </w:pPr>
    </w:p>
    <w:p>
      <w:pPr>
        <w:ind w:left="927" w:hanging="618"/>
        <w:spacing w:after="0" w:line="210" w:lineRule="auto"/>
        <w:tabs>
          <w:tab w:leader="none" w:pos="927" w:val="left"/>
        </w:tabs>
        <w:numPr>
          <w:ilvl w:val="1"/>
          <w:numId w:val="60"/>
        </w:numPr>
        <w:rPr>
          <w:rFonts w:ascii="Calibri" w:cs="Calibri" w:eastAsia="Calibri" w:hAnsi="Calibri"/>
          <w:sz w:val="19"/>
          <w:szCs w:val="19"/>
          <w:color w:val="auto"/>
        </w:rPr>
      </w:pPr>
      <w:r>
        <w:rPr>
          <w:rFonts w:ascii="Calibri" w:cs="Calibri" w:eastAsia="Calibri" w:hAnsi="Calibri"/>
          <w:sz w:val="19"/>
          <w:szCs w:val="19"/>
          <w:color w:val="auto"/>
        </w:rPr>
        <w:t>the future value of the shares of Stock underlying the Restricted Stock Units is unknown, indeterminable, and cannot be predicted with certainty;</w:t>
      </w:r>
    </w:p>
    <w:p>
      <w:pPr>
        <w:spacing w:after="0" w:line="168" w:lineRule="exact"/>
        <w:rPr>
          <w:rFonts w:ascii="Calibri" w:cs="Calibri" w:eastAsia="Calibri" w:hAnsi="Calibri"/>
          <w:sz w:val="19"/>
          <w:szCs w:val="19"/>
          <w:color w:val="auto"/>
        </w:rPr>
      </w:pPr>
    </w:p>
    <w:p>
      <w:pPr>
        <w:ind w:left="927" w:hanging="618"/>
        <w:spacing w:after="0"/>
        <w:tabs>
          <w:tab w:leader="none" w:pos="927" w:val="left"/>
        </w:tabs>
        <w:numPr>
          <w:ilvl w:val="1"/>
          <w:numId w:val="60"/>
        </w:numPr>
        <w:rPr>
          <w:rFonts w:ascii="Calibri" w:cs="Calibri" w:eastAsia="Calibri" w:hAnsi="Calibri"/>
          <w:sz w:val="19"/>
          <w:szCs w:val="19"/>
          <w:color w:val="auto"/>
        </w:rPr>
      </w:pPr>
      <w:r>
        <w:rPr>
          <w:rFonts w:ascii="Calibri" w:cs="Calibri" w:eastAsia="Calibri" w:hAnsi="Calibri"/>
          <w:sz w:val="19"/>
          <w:szCs w:val="19"/>
          <w:color w:val="auto"/>
        </w:rPr>
        <w:t>upon vestng of the Restricted Stock Units, the value of such shares of Stock may increase or decrease in value;</w:t>
      </w:r>
    </w:p>
    <w:p>
      <w:pPr>
        <w:spacing w:after="0" w:line="173" w:lineRule="exact"/>
        <w:rPr>
          <w:rFonts w:ascii="Calibri" w:cs="Calibri" w:eastAsia="Calibri" w:hAnsi="Calibri"/>
          <w:sz w:val="19"/>
          <w:szCs w:val="19"/>
          <w:color w:val="auto"/>
        </w:rPr>
      </w:pPr>
    </w:p>
    <w:p>
      <w:pPr>
        <w:jc w:val="both"/>
        <w:ind w:left="927" w:hanging="618"/>
        <w:spacing w:after="0" w:line="205" w:lineRule="auto"/>
        <w:tabs>
          <w:tab w:leader="none" w:pos="929" w:val="left"/>
        </w:tabs>
        <w:numPr>
          <w:ilvl w:val="1"/>
          <w:numId w:val="60"/>
        </w:numPr>
        <w:rPr>
          <w:rFonts w:ascii="Calibri" w:cs="Calibri" w:eastAsia="Calibri" w:hAnsi="Calibri"/>
          <w:sz w:val="19"/>
          <w:szCs w:val="19"/>
          <w:color w:val="auto"/>
        </w:rPr>
      </w:pPr>
      <w:r>
        <w:rPr>
          <w:rFonts w:ascii="Calibri" w:cs="Calibri" w:eastAsia="Calibri" w:hAnsi="Calibri"/>
          <w:sz w:val="19"/>
          <w:szCs w:val="19"/>
          <w:color w:val="auto"/>
        </w:rPr>
        <w:t>no claim or enttlement to compensaton or damages shall arise from forfeiture of the Restricted Stock Units resultng from terminaton of Employee’s employment (for any reason whatsoever and whether or not in breach of local labor laws or later found invalid) and, in consideraton of the Restricted Stock Units, Employee agrees not to insttute any claim against the Company or the Employer;</w:t>
      </w:r>
    </w:p>
    <w:p>
      <w:pPr>
        <w:spacing w:after="0" w:line="161" w:lineRule="exact"/>
        <w:rPr>
          <w:rFonts w:ascii="Calibri" w:cs="Calibri" w:eastAsia="Calibri" w:hAnsi="Calibri"/>
          <w:sz w:val="19"/>
          <w:szCs w:val="19"/>
          <w:color w:val="auto"/>
        </w:rPr>
      </w:pPr>
    </w:p>
    <w:p>
      <w:pPr>
        <w:jc w:val="both"/>
        <w:ind w:left="927" w:hanging="618"/>
        <w:spacing w:after="0" w:line="205" w:lineRule="auto"/>
        <w:tabs>
          <w:tab w:leader="none" w:pos="926" w:val="left"/>
        </w:tabs>
        <w:numPr>
          <w:ilvl w:val="1"/>
          <w:numId w:val="60"/>
        </w:numPr>
        <w:rPr>
          <w:rFonts w:ascii="Calibri" w:cs="Calibri" w:eastAsia="Calibri" w:hAnsi="Calibri"/>
          <w:sz w:val="19"/>
          <w:szCs w:val="19"/>
          <w:color w:val="auto"/>
        </w:rPr>
      </w:pPr>
      <w:r>
        <w:rPr>
          <w:rFonts w:ascii="Calibri" w:cs="Calibri" w:eastAsia="Calibri" w:hAnsi="Calibri"/>
          <w:sz w:val="19"/>
          <w:szCs w:val="19"/>
          <w:color w:val="auto"/>
        </w:rPr>
        <w:t>the Restricted Stock Units and the benefts evidenced by this Agreement do not create any enttlement not otherwise specifcally provided for in the Plan or provided by the Company in its discreton, to have the Restricted Stock Units or any such benefts transferred to, or assumed by, another company, nor to be exchanged, cashed out or substtuted for, in connecton with any corporate transacton afectng the shares of Stock; and</w:t>
      </w:r>
    </w:p>
    <w:p>
      <w:pPr>
        <w:spacing w:after="0" w:line="174" w:lineRule="exact"/>
        <w:rPr>
          <w:rFonts w:ascii="Calibri" w:cs="Calibri" w:eastAsia="Calibri" w:hAnsi="Calibri"/>
          <w:sz w:val="19"/>
          <w:szCs w:val="19"/>
          <w:color w:val="auto"/>
        </w:rPr>
      </w:pPr>
    </w:p>
    <w:p>
      <w:pPr>
        <w:jc w:val="both"/>
        <w:ind w:left="927" w:hanging="618"/>
        <w:spacing w:after="0" w:line="205" w:lineRule="auto"/>
        <w:tabs>
          <w:tab w:leader="none" w:pos="921" w:val="left"/>
        </w:tabs>
        <w:numPr>
          <w:ilvl w:val="1"/>
          <w:numId w:val="60"/>
        </w:numPr>
        <w:rPr>
          <w:rFonts w:ascii="Calibri" w:cs="Calibri" w:eastAsia="Calibri" w:hAnsi="Calibri"/>
          <w:sz w:val="19"/>
          <w:szCs w:val="19"/>
          <w:color w:val="auto"/>
        </w:rPr>
      </w:pPr>
      <w:r>
        <w:rPr>
          <w:rFonts w:ascii="Calibri" w:cs="Calibri" w:eastAsia="Calibri" w:hAnsi="Calibri"/>
          <w:sz w:val="19"/>
          <w:szCs w:val="19"/>
          <w:color w:val="auto"/>
        </w:rPr>
        <w:t>neither the Company nor any of its Subsidiaries or afliated companies shall be liable for any foreign exchange rate fuctuaton between Employee’s local currency and the U.S. dollar that may afect the value of the Restricted Stock Units or any amounts due to Employee pursuant to the vestng of the Restricted Stock Units or the subsequent sale of any shares of Stock acquired upon vestng of the Restricted Stock Units.</w:t>
      </w:r>
    </w:p>
    <w:p>
      <w:pPr>
        <w:spacing w:after="0" w:line="174" w:lineRule="exact"/>
        <w:rPr>
          <w:rFonts w:ascii="Calibri" w:cs="Calibri" w:eastAsia="Calibri" w:hAnsi="Calibri"/>
          <w:sz w:val="19"/>
          <w:szCs w:val="19"/>
          <w:color w:val="auto"/>
        </w:rPr>
      </w:pPr>
    </w:p>
    <w:p>
      <w:pPr>
        <w:jc w:val="both"/>
        <w:ind w:left="307" w:hanging="307"/>
        <w:spacing w:after="0" w:line="201" w:lineRule="auto"/>
        <w:tabs>
          <w:tab w:leader="none" w:pos="307" w:val="left"/>
        </w:tabs>
        <w:numPr>
          <w:ilvl w:val="0"/>
          <w:numId w:val="61"/>
        </w:numPr>
        <w:rPr>
          <w:rFonts w:ascii="Calibri" w:cs="Calibri" w:eastAsia="Calibri" w:hAnsi="Calibri"/>
          <w:sz w:val="19"/>
          <w:szCs w:val="19"/>
          <w:i w:val="1"/>
          <w:iCs w:val="1"/>
          <w:color w:val="auto"/>
        </w:rPr>
      </w:pPr>
      <w:r>
        <w:rPr>
          <w:rFonts w:ascii="Calibri" w:cs="Calibri" w:eastAsia="Calibri" w:hAnsi="Calibri"/>
          <w:sz w:val="19"/>
          <w:szCs w:val="19"/>
          <w:b w:val="1"/>
          <w:bCs w:val="1"/>
          <w:u w:val="single" w:color="auto"/>
          <w:color w:val="auto"/>
        </w:rPr>
        <w:t>Data Privacy</w:t>
      </w:r>
      <w:r>
        <w:rPr>
          <w:rFonts w:ascii="Calibri" w:cs="Calibri" w:eastAsia="Calibri" w:hAnsi="Calibri"/>
          <w:sz w:val="19"/>
          <w:szCs w:val="19"/>
          <w:color w:val="auto"/>
        </w:rPr>
        <w:t>.</w:t>
      </w:r>
      <w:r>
        <w:rPr>
          <w:rFonts w:ascii="Calibri" w:cs="Calibri" w:eastAsia="Calibri" w:hAnsi="Calibri"/>
          <w:sz w:val="19"/>
          <w:szCs w:val="19"/>
          <w:b w:val="1"/>
          <w:bCs w:val="1"/>
          <w:color w:val="auto"/>
        </w:rPr>
        <w:t xml:space="preserve"> </w:t>
      </w:r>
      <w:r>
        <w:rPr>
          <w:rFonts w:ascii="Calibri" w:cs="Calibri" w:eastAsia="Calibri" w:hAnsi="Calibri"/>
          <w:sz w:val="19"/>
          <w:szCs w:val="19"/>
          <w:i w:val="1"/>
          <w:iCs w:val="1"/>
          <w:color w:val="auto"/>
        </w:rPr>
        <w:t>Employee understands that the Company, its Subsidiaries and afliated companies and/or the Employer may hold certain</w:t>
      </w:r>
      <w:r>
        <w:rPr>
          <w:rFonts w:ascii="Calibri" w:cs="Calibri" w:eastAsia="Calibri" w:hAnsi="Calibri"/>
          <w:sz w:val="19"/>
          <w:szCs w:val="19"/>
          <w:b w:val="1"/>
          <w:bCs w:val="1"/>
          <w:color w:val="auto"/>
        </w:rPr>
        <w:t xml:space="preserve"> </w:t>
      </w:r>
      <w:r>
        <w:rPr>
          <w:rFonts w:ascii="Calibri" w:cs="Calibri" w:eastAsia="Calibri" w:hAnsi="Calibri"/>
          <w:sz w:val="19"/>
          <w:szCs w:val="19"/>
          <w:i w:val="1"/>
          <w:iCs w:val="1"/>
          <w:color w:val="auto"/>
        </w:rPr>
        <w:t xml:space="preserve">personal informaton about Employee, specifcally: Employee’s name, home address, email address and telephone number, date of birth, social security or insurance number, passport number or other identfcaton number, salary, natonality, and any shares of Stock or directorships held in the Company, and details of the Restricted Stock Units or any other enttlement to shares of Stock, canceled, exercised, vested, unvested or outstanding in Employee’s favor (“Data”), for the purpose of implementng, administering and managing the Plan. More informaton about how the Company collects, processes, protects, and transfers Data, as well as the rights of Employees in relaton to their Data, is found in the </w:t>
      </w:r>
      <w:r>
        <w:rPr>
          <w:rFonts w:ascii="Calibri" w:cs="Calibri" w:eastAsia="Calibri" w:hAnsi="Calibri"/>
          <w:sz w:val="19"/>
          <w:szCs w:val="19"/>
          <w:i w:val="1"/>
          <w:iCs w:val="1"/>
          <w:u w:val="single" w:color="auto"/>
          <w:color w:val="0000FF"/>
        </w:rPr>
        <w:t>Employee Privacy Notce</w:t>
      </w:r>
      <w:r>
        <w:rPr>
          <w:rFonts w:ascii="Calibri" w:cs="Calibri" w:eastAsia="Calibri" w:hAnsi="Calibri"/>
          <w:sz w:val="19"/>
          <w:szCs w:val="19"/>
          <w:i w:val="1"/>
          <w:iCs w:val="1"/>
          <w:color w:val="auto"/>
        </w:rPr>
        <w:t xml:space="preserve"> available on HalWorld.</w:t>
      </w:r>
    </w:p>
    <w:p>
      <w:pPr>
        <w:spacing w:after="0" w:line="187" w:lineRule="exact"/>
        <w:rPr>
          <w:rFonts w:ascii="Calibri" w:cs="Calibri" w:eastAsia="Calibri" w:hAnsi="Calibri"/>
          <w:sz w:val="19"/>
          <w:szCs w:val="19"/>
          <w:i w:val="1"/>
          <w:iCs w:val="1"/>
          <w:color w:val="auto"/>
        </w:rPr>
      </w:pPr>
    </w:p>
    <w:p>
      <w:pPr>
        <w:jc w:val="both"/>
        <w:ind w:left="307"/>
        <w:spacing w:after="0" w:line="205" w:lineRule="auto"/>
        <w:rPr>
          <w:rFonts w:ascii="Calibri" w:cs="Calibri" w:eastAsia="Calibri" w:hAnsi="Calibri"/>
          <w:sz w:val="19"/>
          <w:szCs w:val="19"/>
          <w:i w:val="1"/>
          <w:iCs w:val="1"/>
          <w:color w:val="auto"/>
        </w:rPr>
      </w:pPr>
      <w:r>
        <w:rPr>
          <w:rFonts w:ascii="Calibri" w:cs="Calibri" w:eastAsia="Calibri" w:hAnsi="Calibri"/>
          <w:sz w:val="19"/>
          <w:szCs w:val="19"/>
          <w:i w:val="1"/>
          <w:iCs w:val="1"/>
          <w:color w:val="auto"/>
        </w:rPr>
        <w:t>Employee hereby explicitly and unambiguously consents to the collecton, use and transfer, in electronic or other form, of Employee’s Data as described in this Agreement and any other grant materials by and among, as necessary and applicable, the Company and any of its Subsidiaries or afliated companies, for the exclusive purpose of implementng, administering and managing Employee’s partcipaton in the Plan.</w:t>
      </w:r>
    </w:p>
    <w:p>
      <w:pPr>
        <w:sectPr>
          <w:pgSz w:w="11900" w:h="16838" w:orient="portrait"/>
          <w:cols w:equalWidth="0" w:num="1">
            <w:col w:w="10927"/>
          </w:cols>
          <w:pgMar w:left="633" w:top="1217" w:right="339" w:bottom="1440" w:gutter="0" w:footer="0" w:header="0"/>
        </w:sectPr>
      </w:pPr>
    </w:p>
    <w:bookmarkStart w:id="99" w:name="page100"/>
    <w:bookmarkEnd w:id="99"/>
    <w:p>
      <w:pPr>
        <w:jc w:val="both"/>
        <w:ind w:left="307"/>
        <w:spacing w:after="0" w:line="199" w:lineRule="auto"/>
        <w:rPr>
          <w:sz w:val="20"/>
          <w:szCs w:val="20"/>
          <w:color w:val="auto"/>
        </w:rPr>
      </w:pPr>
      <w:r>
        <w:rPr>
          <w:rFonts w:ascii="Calibri" w:cs="Calibri" w:eastAsia="Calibri" w:hAnsi="Calibri"/>
          <w:sz w:val="19"/>
          <w:szCs w:val="19"/>
          <w:i w:val="1"/>
          <w:iCs w:val="1"/>
          <w:color w:val="auto"/>
        </w:rPr>
        <w:t>Employee understands that Data will be transferred to the stock brokerage or other fnancial or administratve services frm designated by the Company (the “Stock Plan Administrator”) which is assistng the Company with the implementaton, administraton and management of the Plan. Employee authorizes the Company, the Company’s Stock Plan Administrator and any other possible recipients that may assist the Company (presently or in the future) with implementng, administering and managing the Plan to receive, possess, use, retain and transfer Data, in electronic or other form, for the sole purpose of implementng, administering and managing Employee’s partcipaton in the Plan. Further, Employee understands that Employee is providing the consents herein on a purely voluntary basis. If Employee does not consent, or if Employee later seeks to revoke his or her consent, Employee’s service status and career will not be afected; the only consequence of refusing or withdrawing Employee’s consent is that the Company would not be able to grant Employee the Restricted Stock Units or other equity awards or administer or maintain such awards. Therefore, Employee understands that refusing or withdrawing his or her consent may afect Employee’s ability to partcipate in the Plan.</w:t>
      </w:r>
    </w:p>
    <w:p>
      <w:pPr>
        <w:spacing w:after="0" w:line="140" w:lineRule="exact"/>
        <w:rPr>
          <w:sz w:val="20"/>
          <w:szCs w:val="20"/>
          <w:color w:val="auto"/>
        </w:rPr>
      </w:pPr>
    </w:p>
    <w:p>
      <w:pPr>
        <w:jc w:val="both"/>
        <w:ind w:left="307" w:hanging="307"/>
        <w:spacing w:after="0" w:line="198" w:lineRule="auto"/>
        <w:tabs>
          <w:tab w:leader="none" w:pos="307" w:val="left"/>
        </w:tabs>
        <w:numPr>
          <w:ilvl w:val="0"/>
          <w:numId w:val="62"/>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Insider Trading; Market Abuse Laws</w:t>
      </w:r>
      <w:r>
        <w:rPr>
          <w:rFonts w:ascii="Calibri" w:cs="Calibri" w:eastAsia="Calibri" w:hAnsi="Calibri"/>
          <w:sz w:val="19"/>
          <w:szCs w:val="19"/>
          <w:color w:val="auto"/>
        </w:rPr>
        <w:t>. By partcipatng in the Plan, Employee agrees to comply with the Company’s policy on insider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 xml:space="preserve">trading. Employee further acknowledges that, depending on Employee’s or his or her broker’s country of residence or where the shares of Stock are listed, Employee may be subject to insider trading restrictons and/or market abuse laws that may afect Employee’s ability to accept, acquire, sell or otherwise dispose of shares of Stock, rights to shares of Stock (e.g., restricted stock units) or rights linked to the value of shares of Stock, during such tmes Employee is considered to have “inside informaton” regarding the Company as defned by the laws or regulatons in Employee’s country. Local insider trading laws and regulatons may prohibit the cancellaton or amendment of orders Employee places before he or she possessed inside informaton. Furthermore, Employee could be prohibited from (i) disclosing the inside informaton to any third party (other than on a “need to know” basis) and (ii) ”tpping” third partes or causing them otherwise to buy or sell securites. Employee understands that third partes include fellow employees. Any restricton under these laws or regulatons are separate from and in additon to any restrictons that may be imposed under any applicable Company insider trading policy. </w:t>
      </w:r>
      <w:r>
        <w:rPr>
          <w:rFonts w:ascii="Calibri" w:cs="Calibri" w:eastAsia="Calibri" w:hAnsi="Calibri"/>
          <w:sz w:val="19"/>
          <w:szCs w:val="19"/>
          <w:i w:val="1"/>
          <w:iCs w:val="1"/>
          <w:color w:val="auto"/>
        </w:rPr>
        <w:t>Employee acknowledges that it is Employee’s responsibility to comply with any applicable restrictons,</w:t>
      </w:r>
      <w:r>
        <w:rPr>
          <w:rFonts w:ascii="Calibri" w:cs="Calibri" w:eastAsia="Calibri" w:hAnsi="Calibri"/>
          <w:sz w:val="19"/>
          <w:szCs w:val="19"/>
          <w:color w:val="auto"/>
        </w:rPr>
        <w:t xml:space="preserve"> </w:t>
      </w:r>
      <w:r>
        <w:rPr>
          <w:rFonts w:ascii="Calibri" w:cs="Calibri" w:eastAsia="Calibri" w:hAnsi="Calibri"/>
          <w:sz w:val="19"/>
          <w:szCs w:val="19"/>
          <w:i w:val="1"/>
          <w:iCs w:val="1"/>
          <w:color w:val="auto"/>
        </w:rPr>
        <w:t>and that Employee should therefore consult Employee’s personal advisor on this mater.</w:t>
      </w:r>
    </w:p>
    <w:p>
      <w:pPr>
        <w:spacing w:after="0" w:line="204" w:lineRule="exact"/>
        <w:rPr>
          <w:rFonts w:ascii="Calibri" w:cs="Calibri" w:eastAsia="Calibri" w:hAnsi="Calibri"/>
          <w:sz w:val="19"/>
          <w:szCs w:val="19"/>
          <w:color w:val="auto"/>
        </w:rPr>
      </w:pPr>
    </w:p>
    <w:p>
      <w:pPr>
        <w:jc w:val="both"/>
        <w:ind w:left="307" w:hanging="307"/>
        <w:spacing w:after="0" w:line="200" w:lineRule="auto"/>
        <w:tabs>
          <w:tab w:leader="none" w:pos="307" w:val="left"/>
        </w:tabs>
        <w:numPr>
          <w:ilvl w:val="0"/>
          <w:numId w:val="62"/>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Electronic Delivery and Partcipaton</w:t>
      </w:r>
      <w:r>
        <w:rPr>
          <w:rFonts w:ascii="Calibri" w:cs="Calibri" w:eastAsia="Calibri" w:hAnsi="Calibri"/>
          <w:sz w:val="19"/>
          <w:szCs w:val="19"/>
          <w:color w:val="auto"/>
        </w:rPr>
        <w:t>. Employee agrees, to the fullest extent permited by law, in lieu of receiving documents in paper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format, to accept electronic delivery of any documents that the Company and its Subsidiaries or afliated companies may deliver in connecton with this grant and any other grants ofered by the Company, including prospectuses, grant notfcatons, account statements, annual or quarterly reports, and other communicatons. Electronic delivery of a document may be made via the Company’s email system or by reference to a locaton on the Company’s intranet or website or a website of the Company’s agent administering the Plan. By acceptng this grant, whether electronically or otherwise, Employee also hereby consents to partcipate in the Plan through such system, intranet, or website, including but not limited to the use of electronic signatures or click-through electronic acceptance of terms and conditons.</w:t>
      </w:r>
    </w:p>
    <w:p>
      <w:pPr>
        <w:spacing w:after="0" w:line="194" w:lineRule="exact"/>
        <w:rPr>
          <w:rFonts w:ascii="Calibri" w:cs="Calibri" w:eastAsia="Calibri" w:hAnsi="Calibri"/>
          <w:sz w:val="19"/>
          <w:szCs w:val="19"/>
          <w:color w:val="auto"/>
        </w:rPr>
      </w:pPr>
    </w:p>
    <w:p>
      <w:pPr>
        <w:jc w:val="both"/>
        <w:ind w:left="307" w:hanging="307"/>
        <w:spacing w:after="0" w:line="203" w:lineRule="auto"/>
        <w:tabs>
          <w:tab w:leader="none" w:pos="307" w:val="left"/>
        </w:tabs>
        <w:numPr>
          <w:ilvl w:val="0"/>
          <w:numId w:val="62"/>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English Language</w:t>
      </w:r>
      <w:r>
        <w:rPr>
          <w:rFonts w:ascii="Calibri" w:cs="Calibri" w:eastAsia="Calibri" w:hAnsi="Calibri"/>
          <w:sz w:val="19"/>
          <w:szCs w:val="19"/>
          <w:color w:val="auto"/>
        </w:rPr>
        <w:t>. Employee acknowledges and agrees that it is Employee’s express intent that this Agreement and the Plan and all</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other documents, notces and legal proceedings entered into, given or insttuted pursuant to the Restricted Stock Units be drawn up in English. Employee acknowledges that Employee is sufciently profcient in English, or has consulted with an advisor who is sufciently profcient in English, so as to allow Employee to understand the terms and conditons of this Agreement. To the extent Employee has been provided with a copy of this Agreement, the Plan, or any other documents relatng to this Award in a language other than English, the English language documents will prevail in case of any ambiguites or divergences as a result of translaton.</w:t>
      </w:r>
    </w:p>
    <w:p>
      <w:pPr>
        <w:spacing w:after="0" w:line="189" w:lineRule="exact"/>
        <w:rPr>
          <w:rFonts w:ascii="Calibri" w:cs="Calibri" w:eastAsia="Calibri" w:hAnsi="Calibri"/>
          <w:sz w:val="19"/>
          <w:szCs w:val="19"/>
          <w:color w:val="auto"/>
        </w:rPr>
      </w:pPr>
    </w:p>
    <w:p>
      <w:pPr>
        <w:jc w:val="both"/>
        <w:ind w:left="307" w:hanging="307"/>
        <w:spacing w:after="0" w:line="201" w:lineRule="auto"/>
        <w:tabs>
          <w:tab w:leader="none" w:pos="307" w:val="left"/>
        </w:tabs>
        <w:numPr>
          <w:ilvl w:val="0"/>
          <w:numId w:val="62"/>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Addendum</w:t>
      </w:r>
      <w:r>
        <w:rPr>
          <w:rFonts w:ascii="Calibri" w:cs="Calibri" w:eastAsia="Calibri" w:hAnsi="Calibri"/>
          <w:sz w:val="19"/>
          <w:szCs w:val="19"/>
          <w:color w:val="auto"/>
        </w:rPr>
        <w:t>. Notwithstanding any provisions in this Agreement, the Restricted Stock Units shall be subject to any special terms and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conditons set forth in the Country-Specifc Addendum to this Agreement (the “Addendum”). Moreover, if Employee transfers to one of the countries included in such Addendum, the special terms and conditons for such country will apply to Employee, to the extent the Company determines that the applicaton of such terms and conditons is necessary or advisable to comply with local law or to facilitate the administraton of the Plan (or the Company may establish alternatve terms and conditons as may be necessary or advisable to accommodate Employee’s transfer). The Addendum consttutes part of this Agreement.</w:t>
      </w:r>
    </w:p>
    <w:p>
      <w:pPr>
        <w:spacing w:after="0" w:line="201" w:lineRule="exact"/>
        <w:rPr>
          <w:rFonts w:ascii="Calibri" w:cs="Calibri" w:eastAsia="Calibri" w:hAnsi="Calibri"/>
          <w:sz w:val="19"/>
          <w:szCs w:val="19"/>
          <w:color w:val="auto"/>
        </w:rPr>
      </w:pPr>
    </w:p>
    <w:p>
      <w:pPr>
        <w:ind w:left="307" w:hanging="307"/>
        <w:spacing w:after="0" w:line="216" w:lineRule="auto"/>
        <w:tabs>
          <w:tab w:leader="none" w:pos="307" w:val="left"/>
        </w:tabs>
        <w:numPr>
          <w:ilvl w:val="0"/>
          <w:numId w:val="62"/>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Not a Public Ofering</w:t>
      </w:r>
      <w:r>
        <w:rPr>
          <w:rFonts w:ascii="Calibri" w:cs="Calibri" w:eastAsia="Calibri" w:hAnsi="Calibri"/>
          <w:sz w:val="19"/>
          <w:szCs w:val="19"/>
          <w:color w:val="auto"/>
        </w:rPr>
        <w:t>. The award of the Restricted Stock Units is not intended to be a public ofering of securites in Employee’s country</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of employment (or country of residence, if diferent). The</w:t>
      </w:r>
    </w:p>
    <w:p>
      <w:pPr>
        <w:sectPr>
          <w:pgSz w:w="11900" w:h="16838" w:orient="portrait"/>
          <w:cols w:equalWidth="0" w:num="1">
            <w:col w:w="10927"/>
          </w:cols>
          <w:pgMar w:left="633" w:top="1223" w:right="339" w:bottom="1440" w:gutter="0" w:footer="0" w:header="0"/>
        </w:sectPr>
      </w:pPr>
    </w:p>
    <w:bookmarkStart w:id="100" w:name="page101"/>
    <w:bookmarkEnd w:id="100"/>
    <w:p>
      <w:pPr>
        <w:jc w:val="both"/>
        <w:ind w:left="307"/>
        <w:spacing w:after="0" w:line="216" w:lineRule="auto"/>
        <w:rPr>
          <w:sz w:val="20"/>
          <w:szCs w:val="20"/>
          <w:color w:val="auto"/>
        </w:rPr>
      </w:pPr>
      <w:r>
        <w:rPr>
          <w:rFonts w:ascii="Calibri" w:cs="Calibri" w:eastAsia="Calibri" w:hAnsi="Calibri"/>
          <w:sz w:val="19"/>
          <w:szCs w:val="19"/>
          <w:color w:val="auto"/>
        </w:rPr>
        <w:t>Company has not submited any registraton statement, prospectus or other flings with the local securites authorites (unless otherwise required under local law), and the award of the Restricted Stock Units is not subject to the supervision of the local securites</w:t>
      </w:r>
    </w:p>
    <w:p>
      <w:pPr>
        <w:spacing w:after="0" w:line="2" w:lineRule="exact"/>
        <w:rPr>
          <w:sz w:val="20"/>
          <w:szCs w:val="20"/>
          <w:color w:val="auto"/>
        </w:rPr>
      </w:pPr>
    </w:p>
    <w:p>
      <w:pPr>
        <w:jc w:val="both"/>
        <w:ind w:left="307"/>
        <w:spacing w:after="0" w:line="194" w:lineRule="auto"/>
        <w:rPr>
          <w:sz w:val="20"/>
          <w:szCs w:val="20"/>
          <w:color w:val="auto"/>
        </w:rPr>
      </w:pPr>
      <w:r>
        <w:rPr>
          <w:rFonts w:ascii="Calibri" w:cs="Calibri" w:eastAsia="Calibri" w:hAnsi="Calibri"/>
          <w:sz w:val="19"/>
          <w:szCs w:val="19"/>
          <w:color w:val="auto"/>
        </w:rPr>
        <w:t xml:space="preserve">authorites. </w:t>
      </w:r>
      <w:r>
        <w:rPr>
          <w:rFonts w:ascii="Calibri" w:cs="Calibri" w:eastAsia="Calibri" w:hAnsi="Calibri"/>
          <w:sz w:val="19"/>
          <w:szCs w:val="19"/>
          <w:i w:val="1"/>
          <w:iCs w:val="1"/>
          <w:color w:val="auto"/>
        </w:rPr>
        <w:t>No employee of the Company or any of its Subsidiaries or afliated companies is permited to advise Employee on whether</w:t>
      </w:r>
      <w:r>
        <w:rPr>
          <w:rFonts w:ascii="Calibri" w:cs="Calibri" w:eastAsia="Calibri" w:hAnsi="Calibri"/>
          <w:sz w:val="19"/>
          <w:szCs w:val="19"/>
          <w:color w:val="auto"/>
        </w:rPr>
        <w:t xml:space="preserve"> </w:t>
      </w:r>
      <w:r>
        <w:rPr>
          <w:rFonts w:ascii="Calibri" w:cs="Calibri" w:eastAsia="Calibri" w:hAnsi="Calibri"/>
          <w:sz w:val="19"/>
          <w:szCs w:val="19"/>
          <w:i w:val="1"/>
          <w:iCs w:val="1"/>
          <w:color w:val="auto"/>
        </w:rPr>
        <w:t>he/she should partcipate in the Plan. Acquiring shares of Stock involves a degree of risk. Before deciding to partcipate in the Plan, Employee should carefully consider all risk factors relevant to the acquisiton of shares of Stock under the Plan and carefully review all of the materials related to the Restricted Stock Units and the Plan. In additon, Employee should consult with his/her personal advisor for professional investment advice.</w:t>
      </w:r>
    </w:p>
    <w:p>
      <w:pPr>
        <w:spacing w:after="0" w:line="203" w:lineRule="exact"/>
        <w:rPr>
          <w:sz w:val="20"/>
          <w:szCs w:val="20"/>
          <w:color w:val="auto"/>
        </w:rPr>
      </w:pPr>
    </w:p>
    <w:p>
      <w:pPr>
        <w:jc w:val="both"/>
        <w:ind w:left="307" w:hanging="307"/>
        <w:spacing w:after="0" w:line="227" w:lineRule="auto"/>
        <w:tabs>
          <w:tab w:leader="none" w:pos="307" w:val="left"/>
        </w:tabs>
        <w:numPr>
          <w:ilvl w:val="0"/>
          <w:numId w:val="63"/>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Repatriaton; Compliance with Law</w:t>
      </w:r>
      <w:r>
        <w:rPr>
          <w:rFonts w:ascii="Calibri" w:cs="Calibri" w:eastAsia="Calibri" w:hAnsi="Calibri"/>
          <w:sz w:val="19"/>
          <w:szCs w:val="19"/>
          <w:color w:val="auto"/>
        </w:rPr>
        <w:t>. Employee agrees to repatriate all payments atributable to the shares of Stock and/or cash</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acquired under the Plan in accordance with applicable foreign exchange rules and regulatons in Employee’s country of employment (and country of residence, if diferent). In additon, Employee agrees to take any and all actons, and consent to any and all actons taken by the Company and any of its Subsidiaries and afliated companies, as may be required to allow the Company and any of its Subsidiaries and afliated companies to comply with local laws, rules and/or regulatons in Employee’s country of employment (and country of residence, if diferent). Finally, Employee agrees to take any and all actons as may be required to comply with Employee’s personal obligatons under local laws, rules and/or regulatons in Employee’s country of employment and country of residence, if diferent).</w:t>
      </w:r>
    </w:p>
    <w:p>
      <w:pPr>
        <w:spacing w:after="0" w:line="204" w:lineRule="exact"/>
        <w:rPr>
          <w:rFonts w:ascii="Calibri" w:cs="Calibri" w:eastAsia="Calibri" w:hAnsi="Calibri"/>
          <w:sz w:val="19"/>
          <w:szCs w:val="19"/>
          <w:color w:val="auto"/>
        </w:rPr>
      </w:pPr>
    </w:p>
    <w:p>
      <w:pPr>
        <w:jc w:val="both"/>
        <w:ind w:left="307" w:hanging="307"/>
        <w:spacing w:after="0" w:line="205" w:lineRule="auto"/>
        <w:tabs>
          <w:tab w:leader="none" w:pos="307" w:val="left"/>
        </w:tabs>
        <w:numPr>
          <w:ilvl w:val="0"/>
          <w:numId w:val="63"/>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Impositon of Other Requirements</w:t>
      </w:r>
      <w:r>
        <w:rPr>
          <w:rFonts w:ascii="Calibri" w:cs="Calibri" w:eastAsia="Calibri" w:hAnsi="Calibri"/>
          <w:sz w:val="19"/>
          <w:szCs w:val="19"/>
          <w:color w:val="auto"/>
        </w:rPr>
        <w:t>. The Company reserves the right to impose other requirements on Employee’s partcipaton in the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Plan, on the Restricted Stock Units, and on any shares of Stock acquired under the Plan, to the extent the Company determines it is necessary or advisable for legal or administratve reasons, and to require Employee to sign any additonal agreements or undertakings that may be necessary to accomplish the foregoing.</w:t>
      </w:r>
    </w:p>
    <w:p>
      <w:pPr>
        <w:spacing w:after="0" w:line="200" w:lineRule="exact"/>
        <w:rPr>
          <w:rFonts w:ascii="Calibri" w:cs="Calibri" w:eastAsia="Calibri" w:hAnsi="Calibri"/>
          <w:sz w:val="19"/>
          <w:szCs w:val="19"/>
          <w:color w:val="auto"/>
        </w:rPr>
      </w:pPr>
    </w:p>
    <w:p>
      <w:pPr>
        <w:jc w:val="both"/>
        <w:ind w:left="307" w:hanging="307"/>
        <w:spacing w:after="0" w:line="205" w:lineRule="auto"/>
        <w:tabs>
          <w:tab w:leader="none" w:pos="307" w:val="left"/>
        </w:tabs>
        <w:numPr>
          <w:ilvl w:val="0"/>
          <w:numId w:val="63"/>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Commitee’s Powers</w:t>
      </w:r>
      <w:r>
        <w:rPr>
          <w:rFonts w:ascii="Calibri" w:cs="Calibri" w:eastAsia="Calibri" w:hAnsi="Calibri"/>
          <w:sz w:val="19"/>
          <w:szCs w:val="19"/>
          <w:color w:val="auto"/>
        </w:rPr>
        <w:t>. No provision contained in this Agreement shall in any way terminate, modify or alter, or be construed or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interpreted as terminatng, modifying or altering any of the powers, rights or authority vested in the Commitee or, to the extent delegated, in its delegate, pursuant to the terms of the Plan or resolutons adopted in furtherance of the Plan, including, without limitaton, the right to make certain determinatons and electons with respect to the Restricted Stock Units.</w:t>
      </w:r>
    </w:p>
    <w:p>
      <w:pPr>
        <w:spacing w:after="0" w:line="187" w:lineRule="exact"/>
        <w:rPr>
          <w:rFonts w:ascii="Calibri" w:cs="Calibri" w:eastAsia="Calibri" w:hAnsi="Calibri"/>
          <w:sz w:val="19"/>
          <w:szCs w:val="19"/>
          <w:color w:val="auto"/>
        </w:rPr>
      </w:pPr>
    </w:p>
    <w:p>
      <w:pPr>
        <w:ind w:left="307" w:hanging="307"/>
        <w:spacing w:after="0" w:line="216" w:lineRule="auto"/>
        <w:tabs>
          <w:tab w:leader="none" w:pos="307" w:val="left"/>
        </w:tabs>
        <w:numPr>
          <w:ilvl w:val="0"/>
          <w:numId w:val="63"/>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Binding Efect</w:t>
      </w:r>
      <w:r>
        <w:rPr>
          <w:rFonts w:ascii="Calibri" w:cs="Calibri" w:eastAsia="Calibri" w:hAnsi="Calibri"/>
          <w:sz w:val="19"/>
          <w:szCs w:val="19"/>
          <w:color w:val="auto"/>
        </w:rPr>
        <w:t>. This Agreement shall be binding upon and inure to the beneft of any successors to the Company and all persons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lawfully claiming under Employee.</w:t>
      </w:r>
    </w:p>
    <w:p>
      <w:pPr>
        <w:spacing w:after="0" w:line="201" w:lineRule="exact"/>
        <w:rPr>
          <w:rFonts w:ascii="Calibri" w:cs="Calibri" w:eastAsia="Calibri" w:hAnsi="Calibri"/>
          <w:sz w:val="19"/>
          <w:szCs w:val="19"/>
          <w:color w:val="auto"/>
        </w:rPr>
      </w:pPr>
    </w:p>
    <w:p>
      <w:pPr>
        <w:jc w:val="both"/>
        <w:ind w:left="307" w:hanging="307"/>
        <w:spacing w:after="0" w:line="201" w:lineRule="auto"/>
        <w:tabs>
          <w:tab w:leader="none" w:pos="307" w:val="left"/>
        </w:tabs>
        <w:numPr>
          <w:ilvl w:val="0"/>
          <w:numId w:val="63"/>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Governing Law and Forum</w:t>
      </w:r>
      <w:r>
        <w:rPr>
          <w:rFonts w:ascii="Calibri" w:cs="Calibri" w:eastAsia="Calibri" w:hAnsi="Calibri"/>
          <w:sz w:val="19"/>
          <w:szCs w:val="19"/>
          <w:color w:val="auto"/>
        </w:rPr>
        <w:t>. This Agreement shall be governed by, and construed in accordance with, the laws of the State of Texas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without regard to principles of confict of laws, except to the extent that it implicates maters which are the subject of the General Corporaton Law of the State of Delaware, which maters shall be governed by the later law. For purposes of resolving any dispute that may arise directly or indirectly from this Agreement, the partes hereby agree that any such dispute that cannot be resolved by the partes shall be submited for resoluton through the Halliburton Dispute Resoluton Program, pursuant to which the last step is fnal and binding arbitraton.</w:t>
      </w:r>
    </w:p>
    <w:p>
      <w:pPr>
        <w:spacing w:after="0" w:line="201" w:lineRule="exact"/>
        <w:rPr>
          <w:rFonts w:ascii="Calibri" w:cs="Calibri" w:eastAsia="Calibri" w:hAnsi="Calibri"/>
          <w:sz w:val="19"/>
          <w:szCs w:val="19"/>
          <w:color w:val="auto"/>
        </w:rPr>
      </w:pPr>
    </w:p>
    <w:p>
      <w:pPr>
        <w:jc w:val="both"/>
        <w:ind w:left="307" w:hanging="307"/>
        <w:spacing w:after="0" w:line="205" w:lineRule="auto"/>
        <w:tabs>
          <w:tab w:leader="none" w:pos="307" w:val="left"/>
        </w:tabs>
        <w:numPr>
          <w:ilvl w:val="0"/>
          <w:numId w:val="63"/>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Severability</w:t>
      </w:r>
      <w:r>
        <w:rPr>
          <w:rFonts w:ascii="Calibri" w:cs="Calibri" w:eastAsia="Calibri" w:hAnsi="Calibri"/>
          <w:sz w:val="19"/>
          <w:szCs w:val="19"/>
          <w:color w:val="auto"/>
        </w:rPr>
        <w:t>. The provisions of this Agreement are severable and if any one or more of the provisions are determined to be illegal or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otherwise unenforceable, in whole or in part, the Agreement shall be reformed and construed so that it would be enforceable to the maximum extent legally possible, and if it cannot be so reformed and construed, as if such unenforceable provision, or part thereof, had never been contained herein.</w:t>
      </w:r>
    </w:p>
    <w:p>
      <w:pPr>
        <w:spacing w:after="0" w:line="187" w:lineRule="exact"/>
        <w:rPr>
          <w:rFonts w:ascii="Calibri" w:cs="Calibri" w:eastAsia="Calibri" w:hAnsi="Calibri"/>
          <w:sz w:val="19"/>
          <w:szCs w:val="19"/>
          <w:color w:val="auto"/>
        </w:rPr>
      </w:pPr>
    </w:p>
    <w:p>
      <w:pPr>
        <w:jc w:val="both"/>
        <w:ind w:left="307" w:hanging="307"/>
        <w:spacing w:after="0" w:line="206" w:lineRule="auto"/>
        <w:tabs>
          <w:tab w:leader="none" w:pos="307" w:val="left"/>
        </w:tabs>
        <w:numPr>
          <w:ilvl w:val="0"/>
          <w:numId w:val="63"/>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Waiver</w:t>
      </w:r>
      <w:r>
        <w:rPr>
          <w:rFonts w:ascii="Calibri" w:cs="Calibri" w:eastAsia="Calibri" w:hAnsi="Calibri"/>
          <w:sz w:val="19"/>
          <w:szCs w:val="19"/>
          <w:color w:val="auto"/>
        </w:rPr>
        <w:t>. The waiver by the Company with respect to Employee’s (or any other partcipant’s) compliance with any provision of this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Agreement shall not operate or be construed as a waiver of any other provision of this Agreement, or of any subsequent breach by such party of a provision of this Agreement.</w:t>
      </w:r>
    </w:p>
    <w:p>
      <w:pPr>
        <w:sectPr>
          <w:pgSz w:w="11900" w:h="16838" w:orient="portrait"/>
          <w:cols w:equalWidth="0" w:num="1">
            <w:col w:w="10927"/>
          </w:cols>
          <w:pgMar w:left="633" w:top="1223" w:right="339" w:bottom="1440" w:gutter="0" w:footer="0" w:header="0"/>
        </w:sectPr>
      </w:pPr>
    </w:p>
    <w:bookmarkStart w:id="101" w:name="page102"/>
    <w:bookmarkEnd w:id="101"/>
    <w:p>
      <w:pPr>
        <w:ind w:left="60"/>
        <w:spacing w:after="0"/>
        <w:rPr>
          <w:sz w:val="20"/>
          <w:szCs w:val="20"/>
          <w:color w:val="auto"/>
        </w:rPr>
      </w:pPr>
      <w:r>
        <w:rPr>
          <w:rFonts w:ascii="Calibri" w:cs="Calibri" w:eastAsia="Calibri" w:hAnsi="Calibri"/>
          <w:sz w:val="27"/>
          <w:szCs w:val="27"/>
          <w:color w:val="auto"/>
        </w:rPr>
        <w:t>Halliburton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653288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8">
                      <a:extLst>
                        <a:ext uri="{28A0092B-C50C-407E-A947-70E740481C1C}"/>
                      </a:extLst>
                    </a:blip>
                    <a:srcRect/>
                    <a:stretch>
                      <a:fillRect/>
                    </a:stretch>
                  </pic:blipFill>
                  <pic:spPr bwMode="auto">
                    <a:xfrm>
                      <a:off x="0" y="0"/>
                      <a:ext cx="6532880" cy="16510"/>
                    </a:xfrm>
                    <a:prstGeom prst="rect">
                      <a:avLst/>
                    </a:prstGeom>
                    <a:noFill/>
                  </pic:spPr>
                </pic:pic>
              </a:graphicData>
            </a:graphic>
          </wp:anchor>
        </w:drawing>
      </w:r>
    </w:p>
    <w:p>
      <w:pPr>
        <w:ind w:left="60"/>
        <w:spacing w:after="0" w:line="199" w:lineRule="auto"/>
        <w:rPr>
          <w:sz w:val="20"/>
          <w:szCs w:val="20"/>
          <w:color w:val="auto"/>
        </w:rPr>
      </w:pPr>
      <w:r>
        <w:rPr>
          <w:rFonts w:ascii="Calibri" w:cs="Calibri" w:eastAsia="Calibri" w:hAnsi="Calibri"/>
          <w:sz w:val="27"/>
          <w:szCs w:val="27"/>
          <w:color w:val="auto"/>
        </w:rPr>
        <w:t>Stock and Incentve Plan (the “Plan”)</w:t>
      </w:r>
    </w:p>
    <w:p>
      <w:pPr>
        <w:ind w:left="60"/>
        <w:spacing w:after="0" w:line="204" w:lineRule="auto"/>
        <w:rPr>
          <w:sz w:val="20"/>
          <w:szCs w:val="20"/>
          <w:color w:val="auto"/>
        </w:rPr>
      </w:pPr>
      <w:r>
        <w:rPr>
          <w:rFonts w:ascii="Calibri" w:cs="Calibri" w:eastAsia="Calibri" w:hAnsi="Calibri"/>
          <w:sz w:val="27"/>
          <w:szCs w:val="27"/>
          <w:color w:val="auto"/>
        </w:rPr>
        <w:t>Restricted Stock Unit Grant Agreement</w:t>
      </w:r>
    </w:p>
    <w:p>
      <w:pPr>
        <w:ind w:left="60"/>
        <w:spacing w:after="0" w:line="200" w:lineRule="auto"/>
        <w:rPr>
          <w:sz w:val="20"/>
          <w:szCs w:val="20"/>
          <w:color w:val="auto"/>
        </w:rPr>
      </w:pPr>
      <w:r>
        <w:rPr>
          <w:rFonts w:ascii="Calibri" w:cs="Calibri" w:eastAsia="Calibri" w:hAnsi="Calibri"/>
          <w:sz w:val="27"/>
          <w:szCs w:val="27"/>
          <w:color w:val="auto"/>
        </w:rPr>
        <w:t>Country-Specifc Addendum</w:t>
      </w:r>
    </w:p>
    <w:p>
      <w:pPr>
        <w:spacing w:after="0" w:line="230" w:lineRule="exact"/>
        <w:rPr>
          <w:sz w:val="20"/>
          <w:szCs w:val="20"/>
          <w:color w:val="auto"/>
        </w:rPr>
      </w:pPr>
    </w:p>
    <w:p>
      <w:pPr>
        <w:jc w:val="both"/>
        <w:spacing w:after="0" w:line="201" w:lineRule="auto"/>
        <w:rPr>
          <w:sz w:val="20"/>
          <w:szCs w:val="20"/>
          <w:color w:val="auto"/>
        </w:rPr>
      </w:pPr>
      <w:r>
        <w:rPr>
          <w:rFonts w:ascii="Calibri" w:cs="Calibri" w:eastAsia="Calibri" w:hAnsi="Calibri"/>
          <w:sz w:val="19"/>
          <w:szCs w:val="19"/>
          <w:color w:val="auto"/>
        </w:rPr>
        <w:t>This Addendum includes additonal country‐specifc notces, disclaimers, and/or terms and conditons that may apply if Employee lives and/or works in one of the countries listed in this Addendum and that may be material to Employee’s partcipaton in the Plan. This informaton is based on applicable securites, foreign exchange and other laws that may subject Employee to obligatons that Employee solely is responsible for. However, such laws are ofen complex and change frequently, and the informaton provided is general in nature and may not apply to Employee’s specifc situaton. As such, the Company cannot assure Employee of any partcular result, and Employee should seek his/her own professional legal and tax advice. Unless otherwise noted, capitalized terms shall take the defnitons assigned to them under the Plan and the Agreement. This Addendum forms part of the Agreement and should be read in conjuncton with the Plan.</w:t>
      </w:r>
    </w:p>
    <w:p>
      <w:pPr>
        <w:spacing w:after="0" w:line="167" w:lineRule="exact"/>
        <w:rPr>
          <w:sz w:val="20"/>
          <w:szCs w:val="20"/>
          <w:color w:val="auto"/>
        </w:rPr>
      </w:pPr>
    </w:p>
    <w:p>
      <w:pPr>
        <w:ind w:left="80"/>
        <w:spacing w:after="0"/>
        <w:tabs>
          <w:tab w:leader="none" w:pos="1500" w:val="left"/>
        </w:tabs>
        <w:rPr>
          <w:sz w:val="20"/>
          <w:szCs w:val="20"/>
          <w:color w:val="auto"/>
        </w:rPr>
      </w:pPr>
      <w:r>
        <w:rPr>
          <w:rFonts w:ascii="Calibri" w:cs="Calibri" w:eastAsia="Calibri" w:hAnsi="Calibri"/>
          <w:sz w:val="19"/>
          <w:szCs w:val="19"/>
          <w:b w:val="1"/>
          <w:bCs w:val="1"/>
          <w:color w:val="auto"/>
        </w:rPr>
        <w:t>Brazil, European</w:t>
      </w:r>
      <w:r>
        <w:rPr>
          <w:sz w:val="20"/>
          <w:szCs w:val="20"/>
          <w:color w:val="auto"/>
        </w:rPr>
        <w:tab/>
      </w:r>
      <w:r>
        <w:rPr>
          <w:rFonts w:ascii="Calibri" w:cs="Calibri" w:eastAsia="Calibri" w:hAnsi="Calibri"/>
          <w:sz w:val="28"/>
          <w:szCs w:val="28"/>
          <w:b w:val="1"/>
          <w:bCs w:val="1"/>
          <w:color w:val="auto"/>
          <w:vertAlign w:val="superscript"/>
        </w:rPr>
        <w:t>Data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-195580</wp:posOffset>
            </wp:positionV>
            <wp:extent cx="65817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9">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p>
      <w:pPr>
        <w:ind w:left="80"/>
        <w:spacing w:after="0" w:line="194" w:lineRule="auto"/>
        <w:rPr>
          <w:sz w:val="20"/>
          <w:szCs w:val="20"/>
          <w:color w:val="auto"/>
        </w:rPr>
      </w:pPr>
      <w:r>
        <w:rPr>
          <w:rFonts w:ascii="Calibri" w:cs="Calibri" w:eastAsia="Calibri" w:hAnsi="Calibri"/>
          <w:sz w:val="19"/>
          <w:szCs w:val="19"/>
          <w:b w:val="1"/>
          <w:bCs w:val="1"/>
          <w:color w:val="auto"/>
        </w:rPr>
        <w:t>Union (“EU”) /</w:t>
      </w:r>
    </w:p>
    <w:p>
      <w:pPr>
        <w:spacing w:after="0" w:line="26" w:lineRule="exact"/>
        <w:rPr>
          <w:sz w:val="20"/>
          <w:szCs w:val="20"/>
          <w:color w:val="auto"/>
        </w:rPr>
      </w:pPr>
    </w:p>
    <w:p>
      <w:pPr>
        <w:ind w:left="80"/>
        <w:spacing w:after="0"/>
        <w:rPr>
          <w:sz w:val="20"/>
          <w:szCs w:val="20"/>
          <w:color w:val="auto"/>
        </w:rPr>
      </w:pPr>
      <w:r>
        <w:rPr>
          <w:rFonts w:ascii="Calibri" w:cs="Calibri" w:eastAsia="Calibri" w:hAnsi="Calibri"/>
          <w:sz w:val="19"/>
          <w:szCs w:val="19"/>
          <w:b w:val="1"/>
          <w:bCs w:val="1"/>
          <w:color w:val="auto"/>
        </w:rPr>
        <w:t>European</w:t>
      </w:r>
    </w:p>
    <w:p>
      <w:pPr>
        <w:spacing w:after="0" w:line="13" w:lineRule="exact"/>
        <w:rPr>
          <w:sz w:val="20"/>
          <w:szCs w:val="20"/>
          <w:color w:val="auto"/>
        </w:rPr>
      </w:pPr>
    </w:p>
    <w:p>
      <w:pPr>
        <w:ind w:left="80"/>
        <w:spacing w:after="0"/>
        <w:rPr>
          <w:sz w:val="20"/>
          <w:szCs w:val="20"/>
          <w:color w:val="auto"/>
        </w:rPr>
      </w:pPr>
      <w:r>
        <w:rPr>
          <w:rFonts w:ascii="Calibri" w:cs="Calibri" w:eastAsia="Calibri" w:hAnsi="Calibri"/>
          <w:sz w:val="19"/>
          <w:szCs w:val="19"/>
          <w:b w:val="1"/>
          <w:bCs w:val="1"/>
          <w:color w:val="auto"/>
        </w:rPr>
        <w:t>Economic Area</w:t>
      </w:r>
    </w:p>
    <w:p>
      <w:pPr>
        <w:spacing w:after="0" w:line="26" w:lineRule="exact"/>
        <w:rPr>
          <w:sz w:val="20"/>
          <w:szCs w:val="20"/>
          <w:color w:val="auto"/>
        </w:rPr>
      </w:pPr>
    </w:p>
    <w:p>
      <w:pPr>
        <w:ind w:left="80"/>
        <w:spacing w:after="0"/>
        <w:rPr>
          <w:sz w:val="20"/>
          <w:szCs w:val="20"/>
          <w:color w:val="auto"/>
        </w:rPr>
      </w:pPr>
      <w:r>
        <w:rPr>
          <w:rFonts w:ascii="Calibri" w:cs="Calibri" w:eastAsia="Calibri" w:hAnsi="Calibri"/>
          <w:sz w:val="19"/>
          <w:szCs w:val="19"/>
          <w:b w:val="1"/>
          <w:bCs w:val="1"/>
          <w:color w:val="auto"/>
        </w:rPr>
        <w:t>Countries,</w:t>
      </w:r>
    </w:p>
    <w:p>
      <w:pPr>
        <w:spacing w:after="0" w:line="19" w:lineRule="exact"/>
        <w:rPr>
          <w:sz w:val="20"/>
          <w:szCs w:val="20"/>
          <w:color w:val="auto"/>
        </w:rPr>
      </w:pPr>
    </w:p>
    <w:p>
      <w:pPr>
        <w:ind w:left="80"/>
        <w:spacing w:after="0" w:line="256" w:lineRule="auto"/>
        <w:rPr>
          <w:sz w:val="20"/>
          <w:szCs w:val="20"/>
          <w:color w:val="auto"/>
        </w:rPr>
      </w:pPr>
      <w:r>
        <w:rPr>
          <w:rFonts w:ascii="Calibri" w:cs="Calibri" w:eastAsia="Calibri" w:hAnsi="Calibri"/>
          <w:sz w:val="19"/>
          <w:szCs w:val="19"/>
          <w:b w:val="1"/>
          <w:bCs w:val="1"/>
          <w:color w:val="auto"/>
        </w:rPr>
        <w:t>Switzerland and the United Kingdom</w:t>
      </w:r>
    </w:p>
    <w:p>
      <w:pPr>
        <w:spacing w:after="0" w:line="20" w:lineRule="exact"/>
        <w:rPr>
          <w:sz w:val="20"/>
          <w:szCs w:val="20"/>
          <w:color w:val="auto"/>
        </w:rPr>
      </w:pPr>
      <w:r>
        <w:rPr>
          <w:sz w:val="20"/>
          <w:szCs w:val="20"/>
          <w:color w:val="auto"/>
        </w:rPr>
        <w:br w:type="column"/>
      </w:r>
    </w:p>
    <w:p>
      <w:pPr>
        <w:spacing w:after="0" w:line="194" w:lineRule="auto"/>
        <w:rPr>
          <w:sz w:val="20"/>
          <w:szCs w:val="20"/>
          <w:color w:val="auto"/>
        </w:rPr>
      </w:pPr>
      <w:r>
        <w:rPr>
          <w:rFonts w:ascii="Calibri" w:cs="Calibri" w:eastAsia="Calibri" w:hAnsi="Calibri"/>
          <w:sz w:val="19"/>
          <w:szCs w:val="19"/>
          <w:color w:val="auto"/>
        </w:rPr>
        <w:t>The following provision replaces Paragraph 10 of the Agreement in its entrety:</w:t>
      </w:r>
    </w:p>
    <w:p>
      <w:pPr>
        <w:spacing w:after="0" w:line="71" w:lineRule="exact"/>
        <w:rPr>
          <w:sz w:val="20"/>
          <w:szCs w:val="20"/>
          <w:color w:val="auto"/>
        </w:rPr>
      </w:pPr>
    </w:p>
    <w:p>
      <w:pPr>
        <w:jc w:val="both"/>
        <w:ind w:right="940"/>
        <w:spacing w:after="0" w:line="216" w:lineRule="auto"/>
        <w:rPr>
          <w:sz w:val="20"/>
          <w:szCs w:val="20"/>
          <w:color w:val="auto"/>
        </w:rPr>
      </w:pPr>
      <w:r>
        <w:rPr>
          <w:rFonts w:ascii="Calibri" w:cs="Calibri" w:eastAsia="Calibri" w:hAnsi="Calibri"/>
          <w:sz w:val="19"/>
          <w:szCs w:val="19"/>
          <w:color w:val="auto"/>
        </w:rPr>
        <w:t>The Company, with its registered address at 3000 North Sam Houston Parkway East, Houston, Texas U.S.A. is the controller responsible for the processing of Employee’s data by the Company and the third partes noted below.</w:t>
      </w:r>
    </w:p>
    <w:p>
      <w:pPr>
        <w:spacing w:after="0" w:line="60" w:lineRule="exact"/>
        <w:rPr>
          <w:sz w:val="20"/>
          <w:szCs w:val="20"/>
          <w:color w:val="auto"/>
        </w:rPr>
      </w:pPr>
    </w:p>
    <w:p>
      <w:pPr>
        <w:jc w:val="both"/>
        <w:ind w:right="940" w:firstLine="384"/>
        <w:spacing w:after="0" w:line="208" w:lineRule="auto"/>
        <w:tabs>
          <w:tab w:leader="none" w:pos="1177" w:val="left"/>
        </w:tabs>
        <w:numPr>
          <w:ilvl w:val="0"/>
          <w:numId w:val="64"/>
        </w:numPr>
        <w:rPr>
          <w:rFonts w:ascii="Calibri" w:cs="Calibri" w:eastAsia="Calibri" w:hAnsi="Calibri"/>
          <w:sz w:val="19"/>
          <w:szCs w:val="19"/>
          <w:color w:val="auto"/>
        </w:rPr>
      </w:pPr>
      <w:r>
        <w:rPr>
          <w:rFonts w:ascii="Calibri" w:cs="Calibri" w:eastAsia="Calibri" w:hAnsi="Calibri"/>
          <w:sz w:val="19"/>
          <w:szCs w:val="19"/>
          <w:u w:val="single" w:color="auto"/>
          <w:color w:val="auto"/>
        </w:rPr>
        <w:t>Data Collecton and Usage</w:t>
      </w:r>
      <w:r>
        <w:rPr>
          <w:rFonts w:ascii="Calibri" w:cs="Calibri" w:eastAsia="Calibri" w:hAnsi="Calibri"/>
          <w:sz w:val="19"/>
          <w:szCs w:val="19"/>
          <w:color w:val="auto"/>
        </w:rPr>
        <w:t xml:space="preserve">. Pursuant to applicable data protecton laws, Employee is hereby notfed that the Company collects, processes and uses certain personal informaton about Employee for the legitmate purpose of implementng, administering and managing the Plan and generally administering equity awards; specifcally: Employee’s name, home address, email address and telephone number, date of birth, social insurance number or other identfcaton number, salary, citzenship, job ttle, any shares of Stock or directorships held in the Company, and details of all Restricted Stock Units, any other enttlement to shares of Stock awarded, canceled, exercised, vested, or outstanding in Employee’s favor, which the Company receives from Employee or the Employer (“Personal Data”). In grantng the Restricted Stock Units under the Plan, the Company will collect, process, use and disclose (collectvely, “Processing”) Personal Data for purposes of allocatng shares of Stock and implementng, administering and managing the Plan. The Company’s legal basis for the Processing of Personal Data is the Company’s legitmate business interests of managing the Plan, administering employee equity awards and complying with its contractual and statutory obligatons, as well as the necessity of the Processing for the Company to perform its contractual obligatons under the Agreement and the Plan. Employee’s refusal to provide Personal Data would make it impossible for the Company to perform its contractual obligatons and may afect Employee’s ability to partcipate in the Plan. As such, by partcipatng in the Plan, Employee voluntarily acknowledges the Processing of his/her Personal Data as described herein. More informaton about how the Company collects, processes, protects, and transfers Personal Data, as well as the rights of Employees in relaton to their Personal Data, is found in the </w:t>
      </w:r>
      <w:r>
        <w:rPr>
          <w:rFonts w:ascii="Calibri" w:cs="Calibri" w:eastAsia="Calibri" w:hAnsi="Calibri"/>
          <w:sz w:val="19"/>
          <w:szCs w:val="19"/>
          <w:u w:val="single" w:color="auto"/>
          <w:color w:val="0000FF"/>
        </w:rPr>
        <w:t>Employee</w:t>
      </w:r>
      <w:r>
        <w:rPr>
          <w:rFonts w:ascii="Calibri" w:cs="Calibri" w:eastAsia="Calibri" w:hAnsi="Calibri"/>
          <w:sz w:val="19"/>
          <w:szCs w:val="19"/>
          <w:color w:val="auto"/>
        </w:rPr>
        <w:t xml:space="preserve"> </w:t>
      </w:r>
      <w:r>
        <w:rPr>
          <w:rFonts w:ascii="Calibri" w:cs="Calibri" w:eastAsia="Calibri" w:hAnsi="Calibri"/>
          <w:sz w:val="19"/>
          <w:szCs w:val="19"/>
          <w:u w:val="single" w:color="auto"/>
          <w:color w:val="0000FF"/>
        </w:rPr>
        <w:t>Privacy Notce</w:t>
      </w:r>
      <w:r>
        <w:rPr>
          <w:rFonts w:ascii="Calibri" w:cs="Calibri" w:eastAsia="Calibri" w:hAnsi="Calibri"/>
          <w:sz w:val="19"/>
          <w:szCs w:val="19"/>
          <w:color w:val="0000FF"/>
        </w:rPr>
        <w:t xml:space="preserve"> </w:t>
      </w:r>
      <w:r>
        <w:rPr>
          <w:rFonts w:ascii="Calibri" w:cs="Calibri" w:eastAsia="Calibri" w:hAnsi="Calibri"/>
          <w:sz w:val="19"/>
          <w:szCs w:val="19"/>
          <w:color w:val="000000"/>
        </w:rPr>
        <w:t>available on HalWorld.</w:t>
      </w:r>
    </w:p>
    <w:p>
      <w:pPr>
        <w:spacing w:after="0" w:line="210" w:lineRule="exact"/>
        <w:rPr>
          <w:rFonts w:ascii="Calibri" w:cs="Calibri" w:eastAsia="Calibri" w:hAnsi="Calibri"/>
          <w:sz w:val="19"/>
          <w:szCs w:val="19"/>
          <w:color w:val="auto"/>
        </w:rPr>
      </w:pPr>
    </w:p>
    <w:p>
      <w:pPr>
        <w:jc w:val="both"/>
        <w:ind w:right="940" w:firstLine="384"/>
        <w:spacing w:after="0" w:line="216" w:lineRule="auto"/>
        <w:tabs>
          <w:tab w:leader="none" w:pos="1186" w:val="left"/>
        </w:tabs>
        <w:numPr>
          <w:ilvl w:val="0"/>
          <w:numId w:val="64"/>
        </w:numPr>
        <w:rPr>
          <w:rFonts w:ascii="Calibri" w:cs="Calibri" w:eastAsia="Calibri" w:hAnsi="Calibri"/>
          <w:sz w:val="19"/>
          <w:szCs w:val="19"/>
          <w:color w:val="auto"/>
        </w:rPr>
      </w:pPr>
      <w:r>
        <w:rPr>
          <w:rFonts w:ascii="Calibri" w:cs="Calibri" w:eastAsia="Calibri" w:hAnsi="Calibri"/>
          <w:sz w:val="19"/>
          <w:szCs w:val="19"/>
          <w:u w:val="single" w:color="auto"/>
          <w:color w:val="auto"/>
        </w:rPr>
        <w:t>Stock Plan Administraton Service Provider</w:t>
      </w:r>
      <w:r>
        <w:rPr>
          <w:rFonts w:ascii="Calibri" w:cs="Calibri" w:eastAsia="Calibri" w:hAnsi="Calibri"/>
          <w:sz w:val="19"/>
          <w:szCs w:val="19"/>
          <w:color w:val="auto"/>
        </w:rPr>
        <w:t>. The Company transfers Personal Data to Fidelity Stock Plan Services, LLC, an independent service provider based, in relevant part, in the United States, which assists the Company with the implementaton, administraton and management of the Plan. In the future, the Company may select a diferent service provider and share Personal Data with another company that serves in a similar manner. The Company’s service provider will open an account for Employee to receive and trade shares of Stock. The Processing and transfer of Personal Data will take place through both electronic and non-electronic means. Personal Data will only be accessible by those individuals requiring access to it for purposes of implementng, administering and operatng the Plan. When receiving Employee’s Personal Data, Fidelity Stock Plan Services, LLC provides appropriate safeguards in accordance with the EU Standard Contractual Clauses. By partcipatng in the Plan, Employee understands that the service provider will Process and transfer Employee’s Personal Data for the purposes of implementng, administering and managing his/her partcipaton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31115</wp:posOffset>
            </wp:positionV>
            <wp:extent cx="65817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0">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ectPr>
          <w:pgSz w:w="11900" w:h="16838" w:orient="portrait"/>
          <w:cols w:equalWidth="0" w:num="2">
            <w:col w:w="1360" w:space="160"/>
            <w:col w:w="9720"/>
          </w:cols>
          <w:pgMar w:left="320" w:top="1009" w:right="339" w:bottom="1440" w:gutter="0" w:footer="0" w:header="0"/>
          <w:type w:val="continuous"/>
        </w:sectPr>
      </w:pPr>
    </w:p>
    <w:bookmarkStart w:id="102" w:name="page103"/>
    <w:bookmarkEnd w:id="102"/>
    <w:p>
      <w:pPr>
        <w:spacing w:after="0"/>
        <w:tabs>
          <w:tab w:leader="none" w:pos="1420" w:val="left"/>
        </w:tabs>
        <w:rPr>
          <w:sz w:val="20"/>
          <w:szCs w:val="20"/>
          <w:color w:val="auto"/>
        </w:rPr>
      </w:pPr>
      <w:r>
        <w:rPr>
          <w:rFonts w:ascii="Calibri" w:cs="Calibri" w:eastAsia="Calibri" w:hAnsi="Calibri"/>
          <w:sz w:val="38"/>
          <w:szCs w:val="38"/>
          <w:b w:val="1"/>
          <w:bCs w:val="1"/>
          <w:color w:val="auto"/>
          <w:vertAlign w:val="subscript"/>
        </w:rPr>
        <w:t>Algeria</w:t>
      </w:r>
      <w:r>
        <w:rPr>
          <w:sz w:val="20"/>
          <w:szCs w:val="20"/>
          <w:color w:val="auto"/>
        </w:rPr>
        <w:tab/>
      </w:r>
      <w:r>
        <w:rPr>
          <w:rFonts w:ascii="Calibri" w:cs="Calibri" w:eastAsia="Calibri" w:hAnsi="Calibri"/>
          <w:sz w:val="19"/>
          <w:szCs w:val="19"/>
          <w:b w:val="1"/>
          <w:bCs w:val="1"/>
          <w:color w:val="auto"/>
        </w:rPr>
        <w:t>Setlement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65817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1">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225" w:lineRule="exact"/>
        <w:rPr>
          <w:sz w:val="20"/>
          <w:szCs w:val="20"/>
          <w:color w:val="auto"/>
        </w:rPr>
      </w:pPr>
    </w:p>
    <w:p>
      <w:pPr>
        <w:jc w:val="both"/>
        <w:ind w:left="1440"/>
        <w:spacing w:after="0" w:line="206" w:lineRule="auto"/>
        <w:rPr>
          <w:sz w:val="20"/>
          <w:szCs w:val="20"/>
          <w:color w:val="auto"/>
        </w:rPr>
      </w:pPr>
      <w:r>
        <w:rPr>
          <w:rFonts w:ascii="Calibri" w:cs="Calibri" w:eastAsia="Calibri" w:hAnsi="Calibri"/>
          <w:sz w:val="19"/>
          <w:szCs w:val="19"/>
          <w:color w:val="auto"/>
        </w:rPr>
        <w:t>Notwithstanding any provision in the Agreement to the contrary, pursuant to Paragraph 4 of the Agreement, unless otherwise determined by the Company in its sole discreton, the Restricted Stock Units will be setled in the form of a cash payment.</w:t>
      </w:r>
    </w:p>
    <w:p>
      <w:pPr>
        <w:spacing w:after="0" w:line="186" w:lineRule="auto"/>
        <w:tabs>
          <w:tab w:leader="none" w:pos="1420" w:val="left"/>
        </w:tabs>
        <w:rPr>
          <w:sz w:val="20"/>
          <w:szCs w:val="20"/>
          <w:color w:val="auto"/>
        </w:rPr>
      </w:pPr>
      <w:r>
        <w:rPr>
          <w:rFonts w:ascii="Calibri" w:cs="Calibri" w:eastAsia="Calibri" w:hAnsi="Calibri"/>
          <w:sz w:val="24"/>
          <w:szCs w:val="24"/>
          <w:b w:val="1"/>
          <w:bCs w:val="1"/>
          <w:color w:val="auto"/>
          <w:vertAlign w:val="subscript"/>
        </w:rPr>
        <w:t>Angola</w:t>
      </w:r>
      <w:r>
        <w:rPr>
          <w:sz w:val="20"/>
          <w:szCs w:val="20"/>
          <w:color w:val="auto"/>
        </w:rPr>
        <w:tab/>
      </w:r>
      <w:r>
        <w:rPr>
          <w:rFonts w:ascii="Calibri" w:cs="Calibri" w:eastAsia="Calibri" w:hAnsi="Calibri"/>
          <w:sz w:val="14"/>
          <w:szCs w:val="14"/>
          <w:b w:val="1"/>
          <w:bCs w:val="1"/>
          <w:color w:val="auto"/>
        </w:rPr>
        <w:t>Setlement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-48260</wp:posOffset>
            </wp:positionV>
            <wp:extent cx="65817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2">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187" w:lineRule="exact"/>
        <w:rPr>
          <w:sz w:val="20"/>
          <w:szCs w:val="20"/>
          <w:color w:val="auto"/>
        </w:rPr>
      </w:pPr>
    </w:p>
    <w:p>
      <w:pPr>
        <w:jc w:val="both"/>
        <w:ind w:left="1440"/>
        <w:spacing w:after="0" w:line="206" w:lineRule="auto"/>
        <w:rPr>
          <w:sz w:val="20"/>
          <w:szCs w:val="20"/>
          <w:color w:val="auto"/>
        </w:rPr>
      </w:pPr>
      <w:r>
        <w:rPr>
          <w:rFonts w:ascii="Calibri" w:cs="Calibri" w:eastAsia="Calibri" w:hAnsi="Calibri"/>
          <w:sz w:val="19"/>
          <w:szCs w:val="19"/>
          <w:color w:val="auto"/>
        </w:rPr>
        <w:t>Notwithstanding any provision in the Agreement to the contrary, pursuant to Paragraph 4 of the Agreement, unless otherwise determined by the Company in its sole discreton, the Restricted Stock Units will be setled in the form of a cash payment.</w:t>
      </w:r>
    </w:p>
    <w:p>
      <w:pPr>
        <w:spacing w:after="0" w:line="186" w:lineRule="auto"/>
        <w:tabs>
          <w:tab w:leader="none" w:pos="1420" w:val="left"/>
        </w:tabs>
        <w:rPr>
          <w:sz w:val="20"/>
          <w:szCs w:val="20"/>
          <w:color w:val="auto"/>
        </w:rPr>
      </w:pPr>
      <w:r>
        <w:rPr>
          <w:rFonts w:ascii="Calibri" w:cs="Calibri" w:eastAsia="Calibri" w:hAnsi="Calibri"/>
          <w:sz w:val="24"/>
          <w:szCs w:val="24"/>
          <w:b w:val="1"/>
          <w:bCs w:val="1"/>
          <w:color w:val="auto"/>
          <w:vertAlign w:val="subscript"/>
        </w:rPr>
        <w:t>Argentna</w:t>
      </w:r>
      <w:r>
        <w:rPr>
          <w:sz w:val="20"/>
          <w:szCs w:val="20"/>
          <w:color w:val="auto"/>
        </w:rPr>
        <w:tab/>
      </w:r>
      <w:r>
        <w:rPr>
          <w:rFonts w:ascii="Calibri" w:cs="Calibri" w:eastAsia="Calibri" w:hAnsi="Calibri"/>
          <w:sz w:val="14"/>
          <w:szCs w:val="14"/>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-48260</wp:posOffset>
            </wp:positionV>
            <wp:extent cx="65817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3">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187" w:lineRule="exact"/>
        <w:rPr>
          <w:sz w:val="20"/>
          <w:szCs w:val="20"/>
          <w:color w:val="auto"/>
        </w:rPr>
      </w:pPr>
    </w:p>
    <w:p>
      <w:pPr>
        <w:jc w:val="both"/>
        <w:ind w:left="1440" w:right="20"/>
        <w:spacing w:after="0" w:line="216" w:lineRule="auto"/>
        <w:rPr>
          <w:sz w:val="20"/>
          <w:szCs w:val="20"/>
          <w:color w:val="auto"/>
        </w:rPr>
      </w:pPr>
      <w:r>
        <w:rPr>
          <w:rFonts w:ascii="Calibri" w:cs="Calibri" w:eastAsia="Calibri" w:hAnsi="Calibri"/>
          <w:sz w:val="19"/>
          <w:szCs w:val="19"/>
          <w:color w:val="auto"/>
        </w:rPr>
        <w:t>The Restricted Stock Units and the underlying shares of Stock are not publicly ofered or listed on any stock exchange in Argentna.</w:t>
      </w:r>
    </w:p>
    <w:p>
      <w:pPr>
        <w:spacing w:after="0" w:line="53" w:lineRule="exact"/>
        <w:rPr>
          <w:sz w:val="20"/>
          <w:szCs w:val="20"/>
          <w:color w:val="auto"/>
        </w:rPr>
      </w:pPr>
    </w:p>
    <w:p>
      <w:pPr>
        <w:ind w:left="1440"/>
        <w:spacing w:after="0"/>
        <w:rPr>
          <w:sz w:val="20"/>
          <w:szCs w:val="20"/>
          <w:color w:val="auto"/>
        </w:rPr>
      </w:pPr>
      <w:r>
        <w:rPr>
          <w:rFonts w:ascii="Calibri" w:cs="Calibri" w:eastAsia="Calibri" w:hAnsi="Calibri"/>
          <w:sz w:val="19"/>
          <w:szCs w:val="19"/>
          <w:b w:val="1"/>
          <w:bCs w:val="1"/>
          <w:color w:val="auto"/>
        </w:rPr>
        <w:t>Foreign Exchange Informaton</w:t>
      </w:r>
    </w:p>
    <w:p>
      <w:pPr>
        <w:spacing w:after="0" w:line="71" w:lineRule="exact"/>
        <w:rPr>
          <w:sz w:val="20"/>
          <w:szCs w:val="20"/>
          <w:color w:val="auto"/>
        </w:rPr>
      </w:pPr>
    </w:p>
    <w:p>
      <w:pPr>
        <w:jc w:val="both"/>
        <w:ind w:left="1440" w:right="20"/>
        <w:spacing w:after="0" w:line="216" w:lineRule="auto"/>
        <w:rPr>
          <w:sz w:val="20"/>
          <w:szCs w:val="20"/>
          <w:color w:val="auto"/>
        </w:rPr>
      </w:pPr>
      <w:r>
        <w:rPr>
          <w:rFonts w:ascii="Calibri" w:cs="Calibri" w:eastAsia="Calibri" w:hAnsi="Calibri"/>
          <w:sz w:val="19"/>
          <w:szCs w:val="19"/>
          <w:color w:val="auto"/>
        </w:rPr>
        <w:t>Certain restrictons and requirements may apply if and when Employee transfers proceeds from the sale of shares of Stock into Argentna.</w:t>
      </w:r>
    </w:p>
    <w:p>
      <w:pPr>
        <w:spacing w:after="0" w:line="60" w:lineRule="exact"/>
        <w:rPr>
          <w:sz w:val="20"/>
          <w:szCs w:val="20"/>
          <w:color w:val="auto"/>
        </w:rPr>
      </w:pPr>
    </w:p>
    <w:p>
      <w:pPr>
        <w:jc w:val="both"/>
        <w:ind w:left="1440"/>
        <w:spacing w:after="0" w:line="205" w:lineRule="auto"/>
        <w:rPr>
          <w:sz w:val="20"/>
          <w:szCs w:val="20"/>
          <w:color w:val="auto"/>
        </w:rPr>
      </w:pPr>
      <w:r>
        <w:rPr>
          <w:rFonts w:ascii="Calibri" w:cs="Calibri" w:eastAsia="Calibri" w:hAnsi="Calibri"/>
          <w:sz w:val="19"/>
          <w:szCs w:val="19"/>
          <w:i w:val="1"/>
          <w:iCs w:val="1"/>
          <w:color w:val="auto"/>
        </w:rPr>
        <w:t>Please note that exchange control regulatons in Argentna are subject to change. Employee should speak with his/her personal legal advisor regarding any exchange control obligatons that Employee may have prior to acquiring or selling shares of Stock or remitng funds into Argentna, as Employee is personally responsible for complying with applicable exchange control laws</w:t>
      </w:r>
      <w:r>
        <w:rPr>
          <w:rFonts w:ascii="Calibri" w:cs="Calibri" w:eastAsia="Calibri" w:hAnsi="Calibri"/>
          <w:sz w:val="19"/>
          <w:szCs w:val="19"/>
          <w:color w:val="auto"/>
        </w:rPr>
        <w:t>.</w:t>
      </w:r>
    </w:p>
    <w:p>
      <w:pPr>
        <w:spacing w:after="0" w:line="65" w:lineRule="exact"/>
        <w:rPr>
          <w:sz w:val="20"/>
          <w:szCs w:val="20"/>
          <w:color w:val="auto"/>
        </w:rPr>
      </w:pPr>
    </w:p>
    <w:p>
      <w:pPr>
        <w:ind w:left="1440"/>
        <w:spacing w:after="0"/>
        <w:rPr>
          <w:sz w:val="20"/>
          <w:szCs w:val="20"/>
          <w:color w:val="auto"/>
        </w:rPr>
      </w:pPr>
      <w:r>
        <w:rPr>
          <w:rFonts w:ascii="Calibri" w:cs="Calibri" w:eastAsia="Calibri" w:hAnsi="Calibri"/>
          <w:sz w:val="19"/>
          <w:szCs w:val="19"/>
          <w:b w:val="1"/>
          <w:bCs w:val="1"/>
          <w:color w:val="auto"/>
        </w:rPr>
        <w:t>Foreign Asset/Account Reportng Informaton</w:t>
      </w:r>
    </w:p>
    <w:p>
      <w:pPr>
        <w:spacing w:after="0" w:line="71" w:lineRule="exact"/>
        <w:rPr>
          <w:sz w:val="20"/>
          <w:szCs w:val="20"/>
          <w:color w:val="auto"/>
        </w:rPr>
      </w:pPr>
    </w:p>
    <w:p>
      <w:pPr>
        <w:jc w:val="both"/>
        <w:ind w:left="1440"/>
        <w:spacing w:after="0" w:line="210" w:lineRule="auto"/>
        <w:rPr>
          <w:sz w:val="20"/>
          <w:szCs w:val="20"/>
          <w:color w:val="auto"/>
        </w:rPr>
      </w:pPr>
      <w:r>
        <w:rPr>
          <w:rFonts w:ascii="Calibri" w:cs="Calibri" w:eastAsia="Calibri" w:hAnsi="Calibri"/>
          <w:sz w:val="19"/>
          <w:szCs w:val="19"/>
          <w:color w:val="auto"/>
        </w:rPr>
        <w:t>If Employee is an Argentne tax resident, Employee must report any shares of Stock acquired under the Plan and held by Employee on December 31st of each year on Employee's annual tax return for that year.</w:t>
      </w:r>
    </w:p>
    <w:p>
      <w:pPr>
        <w:spacing w:after="0" w:line="185" w:lineRule="auto"/>
        <w:tabs>
          <w:tab w:leader="none" w:pos="1420" w:val="left"/>
        </w:tabs>
        <w:rPr>
          <w:sz w:val="20"/>
          <w:szCs w:val="20"/>
          <w:color w:val="auto"/>
        </w:rPr>
      </w:pPr>
      <w:r>
        <w:rPr>
          <w:rFonts w:ascii="Calibri" w:cs="Calibri" w:eastAsia="Calibri" w:hAnsi="Calibri"/>
          <w:sz w:val="24"/>
          <w:szCs w:val="24"/>
          <w:b w:val="1"/>
          <w:bCs w:val="1"/>
          <w:color w:val="auto"/>
          <w:vertAlign w:val="subscript"/>
        </w:rPr>
        <w:t>Australia</w:t>
      </w:r>
      <w:r>
        <w:rPr>
          <w:sz w:val="20"/>
          <w:szCs w:val="20"/>
          <w:color w:val="auto"/>
        </w:rPr>
        <w:tab/>
      </w:r>
      <w:r>
        <w:rPr>
          <w:rFonts w:ascii="Calibri" w:cs="Calibri" w:eastAsia="Calibri" w:hAnsi="Calibri"/>
          <w:sz w:val="14"/>
          <w:szCs w:val="14"/>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-48895</wp:posOffset>
            </wp:positionV>
            <wp:extent cx="65817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4">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186" w:lineRule="exact"/>
        <w:rPr>
          <w:sz w:val="20"/>
          <w:szCs w:val="20"/>
          <w:color w:val="auto"/>
        </w:rPr>
      </w:pPr>
    </w:p>
    <w:p>
      <w:pPr>
        <w:jc w:val="both"/>
        <w:ind w:left="1440"/>
        <w:spacing w:after="0" w:line="205" w:lineRule="auto"/>
        <w:rPr>
          <w:sz w:val="20"/>
          <w:szCs w:val="20"/>
          <w:color w:val="auto"/>
        </w:rPr>
      </w:pPr>
      <w:r>
        <w:rPr>
          <w:rFonts w:ascii="Calibri" w:cs="Calibri" w:eastAsia="Calibri" w:hAnsi="Calibri"/>
          <w:sz w:val="19"/>
          <w:szCs w:val="19"/>
          <w:color w:val="auto"/>
        </w:rPr>
        <w:t>The grant of the Restricted Stock Units is being made pursuant to Division 1A, Part 7.12 of the Corporatons Act 2001 (Cth). If the Employee ofers shares of Stock for sale to a person or entty resident in Australia, the ofer may be subject to disclosure requirements under Australian law. The Employee personally should obtain legal advice on applicable disclosure obligatons prior to making any such ofer.</w:t>
      </w:r>
    </w:p>
    <w:p>
      <w:pPr>
        <w:spacing w:after="0" w:line="65" w:lineRule="exact"/>
        <w:rPr>
          <w:sz w:val="20"/>
          <w:szCs w:val="20"/>
          <w:color w:val="auto"/>
        </w:rPr>
      </w:pPr>
    </w:p>
    <w:p>
      <w:pPr>
        <w:ind w:left="1440"/>
        <w:spacing w:after="0"/>
        <w:rPr>
          <w:sz w:val="20"/>
          <w:szCs w:val="20"/>
          <w:color w:val="auto"/>
        </w:rPr>
      </w:pPr>
      <w:r>
        <w:rPr>
          <w:rFonts w:ascii="Calibri" w:cs="Calibri" w:eastAsia="Calibri" w:hAnsi="Calibri"/>
          <w:sz w:val="19"/>
          <w:szCs w:val="19"/>
          <w:b w:val="1"/>
          <w:bCs w:val="1"/>
          <w:color w:val="auto"/>
        </w:rPr>
        <w:t>Foreign Exchange Informaton</w:t>
      </w:r>
    </w:p>
    <w:p>
      <w:pPr>
        <w:spacing w:after="0" w:line="58" w:lineRule="exact"/>
        <w:rPr>
          <w:sz w:val="20"/>
          <w:szCs w:val="20"/>
          <w:color w:val="auto"/>
        </w:rPr>
      </w:pPr>
    </w:p>
    <w:p>
      <w:pPr>
        <w:jc w:val="both"/>
        <w:ind w:left="1440" w:right="20"/>
        <w:spacing w:after="0" w:line="205" w:lineRule="auto"/>
        <w:rPr>
          <w:sz w:val="20"/>
          <w:szCs w:val="20"/>
          <w:color w:val="auto"/>
        </w:rPr>
      </w:pPr>
      <w:r>
        <w:rPr>
          <w:rFonts w:ascii="Calibri" w:cs="Calibri" w:eastAsia="Calibri" w:hAnsi="Calibri"/>
          <w:sz w:val="19"/>
          <w:szCs w:val="19"/>
          <w:color w:val="auto"/>
        </w:rPr>
        <w:t>Exchange control reportng is required for cash transactons exceeding a specifed amount (currently AUD 10,000) and internatonal fund transfers. The Australian bank assistng with the transacton will fle the report. If there is no Australian bank involved in the transfer, Employee will be required to fle the report. Employee is personally responsible for complying with applicable exchange control requirements.</w:t>
      </w:r>
    </w:p>
    <w:p>
      <w:pPr>
        <w:spacing w:after="0" w:line="65" w:lineRule="exact"/>
        <w:rPr>
          <w:sz w:val="20"/>
          <w:szCs w:val="20"/>
          <w:color w:val="auto"/>
        </w:rPr>
      </w:pPr>
    </w:p>
    <w:p>
      <w:pPr>
        <w:ind w:left="1440"/>
        <w:spacing w:after="0"/>
        <w:rPr>
          <w:sz w:val="20"/>
          <w:szCs w:val="20"/>
          <w:color w:val="auto"/>
        </w:rPr>
      </w:pPr>
      <w:r>
        <w:rPr>
          <w:rFonts w:ascii="Calibri" w:cs="Calibri" w:eastAsia="Calibri" w:hAnsi="Calibri"/>
          <w:sz w:val="19"/>
          <w:szCs w:val="19"/>
          <w:b w:val="1"/>
          <w:bCs w:val="1"/>
          <w:color w:val="auto"/>
        </w:rPr>
        <w:t>Tax Informaton</w:t>
      </w:r>
    </w:p>
    <w:p>
      <w:pPr>
        <w:spacing w:after="0" w:line="71" w:lineRule="exact"/>
        <w:rPr>
          <w:sz w:val="20"/>
          <w:szCs w:val="20"/>
          <w:color w:val="auto"/>
        </w:rPr>
      </w:pPr>
    </w:p>
    <w:p>
      <w:pPr>
        <w:jc w:val="both"/>
        <w:ind w:left="1440"/>
        <w:spacing w:after="0" w:line="210" w:lineRule="auto"/>
        <w:rPr>
          <w:sz w:val="20"/>
          <w:szCs w:val="20"/>
          <w:color w:val="auto"/>
        </w:rPr>
      </w:pPr>
      <w:r>
        <w:rPr>
          <w:rFonts w:ascii="Calibri" w:cs="Calibri" w:eastAsia="Calibri" w:hAnsi="Calibri"/>
          <w:sz w:val="19"/>
          <w:szCs w:val="19"/>
          <w:color w:val="auto"/>
        </w:rPr>
        <w:t>The Plan is a program to which Subdivision 83A-C of the Income Tax Assessment Act 1997 (Cth) (the “ITAA”) applies (subject to the conditons in the ITAA).</w:t>
      </w:r>
    </w:p>
    <w:p>
      <w:pPr>
        <w:spacing w:after="0" w:line="185" w:lineRule="auto"/>
        <w:tabs>
          <w:tab w:leader="none" w:pos="1420" w:val="left"/>
        </w:tabs>
        <w:rPr>
          <w:sz w:val="20"/>
          <w:szCs w:val="20"/>
          <w:color w:val="auto"/>
        </w:rPr>
      </w:pPr>
      <w:r>
        <w:rPr>
          <w:rFonts w:ascii="Calibri" w:cs="Calibri" w:eastAsia="Calibri" w:hAnsi="Calibri"/>
          <w:sz w:val="24"/>
          <w:szCs w:val="24"/>
          <w:b w:val="1"/>
          <w:bCs w:val="1"/>
          <w:color w:val="auto"/>
          <w:vertAlign w:val="subscript"/>
        </w:rPr>
        <w:t>Azerbaijan</w:t>
      </w:r>
      <w:r>
        <w:rPr>
          <w:sz w:val="20"/>
          <w:szCs w:val="20"/>
          <w:color w:val="auto"/>
        </w:rPr>
        <w:tab/>
      </w:r>
      <w:r>
        <w:rPr>
          <w:rFonts w:ascii="Calibri" w:cs="Calibri" w:eastAsia="Calibri" w:hAnsi="Calibri"/>
          <w:sz w:val="14"/>
          <w:szCs w:val="14"/>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-48895</wp:posOffset>
            </wp:positionV>
            <wp:extent cx="65817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5">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186" w:lineRule="exact"/>
        <w:rPr>
          <w:sz w:val="20"/>
          <w:szCs w:val="20"/>
          <w:color w:val="auto"/>
        </w:rPr>
      </w:pPr>
    </w:p>
    <w:p>
      <w:pPr>
        <w:jc w:val="both"/>
        <w:ind w:left="1440"/>
        <w:spacing w:after="0" w:line="199" w:lineRule="auto"/>
        <w:rPr>
          <w:sz w:val="20"/>
          <w:szCs w:val="20"/>
          <w:color w:val="auto"/>
        </w:rPr>
      </w:pPr>
      <w:r>
        <w:rPr>
          <w:rFonts w:ascii="Calibri" w:cs="Calibri" w:eastAsia="Calibri" w:hAnsi="Calibri"/>
          <w:sz w:val="19"/>
          <w:szCs w:val="19"/>
          <w:color w:val="auto"/>
        </w:rPr>
        <w:t>By acceptng the Restricted Stock Units, Employee understands that the Agreement, the Plan and all other materials Employee may receive regarding Employee’s partcipaton in the Plan does not consttute advertsing or the ofering of securites in Azerbaijan. The issuance of securites pursuant to the Plan has not been and will not be registered in Azerbaijan and therefore, the securites described in any Plan related documents may not be used for sale or public circulaton in Azerbaijan. Further, Employee understands that the shares of Stock delivered upon setlement of the Restricted Stock Units will be deposited into a designated brokerage account in the United States and in no event will the shares of Stock be delivered to Employee in Azerbaijan. Any dispositon or sale of such shares of Stock must take place outside of Azerbaijan, which will be the case if the shares of Stock are sold on the New York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95885</wp:posOffset>
            </wp:positionV>
            <wp:extent cx="65817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6">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ectPr>
          <w:pgSz w:w="11900" w:h="16838" w:orient="portrait"/>
          <w:cols w:equalWidth="0" w:num="1">
            <w:col w:w="10220"/>
          </w:cols>
          <w:pgMar w:left="400" w:top="527" w:right="127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52"/>
        </w:trPr>
        <w:tc>
          <w:tcPr>
            <w:tcW w:w="1260" w:type="dxa"/>
            <w:vAlign w:val="bottom"/>
            <w:tcBorders>
              <w:top w:val="single" w:sz="8" w:color="auto"/>
            </w:tcBorders>
          </w:tcPr>
          <w:p>
            <w:pPr>
              <w:ind w:left="80"/>
              <w:spacing w:after="0"/>
              <w:rPr>
                <w:sz w:val="20"/>
                <w:szCs w:val="20"/>
                <w:color w:val="auto"/>
              </w:rPr>
            </w:pPr>
            <w:r>
              <w:rPr>
                <w:rFonts w:ascii="Calibri" w:cs="Calibri" w:eastAsia="Calibri" w:hAnsi="Calibri"/>
                <w:sz w:val="19"/>
                <w:szCs w:val="19"/>
                <w:b w:val="1"/>
                <w:bCs w:val="1"/>
                <w:color w:val="auto"/>
              </w:rPr>
              <w:t>Bangladesh</w:t>
            </w:r>
          </w:p>
        </w:tc>
        <w:tc>
          <w:tcPr>
            <w:tcW w:w="9100" w:type="dxa"/>
            <w:vAlign w:val="bottom"/>
            <w:tcBorders>
              <w:top w:val="single" w:sz="8" w:color="auto"/>
            </w:tcBorders>
          </w:tcPr>
          <w:p>
            <w:pPr>
              <w:ind w:left="260"/>
              <w:spacing w:after="0"/>
              <w:rPr>
                <w:sz w:val="20"/>
                <w:szCs w:val="20"/>
                <w:color w:val="auto"/>
              </w:rPr>
            </w:pPr>
            <w:r>
              <w:rPr>
                <w:rFonts w:ascii="Calibri" w:cs="Calibri" w:eastAsia="Calibri" w:hAnsi="Calibri"/>
                <w:sz w:val="19"/>
                <w:szCs w:val="19"/>
                <w:b w:val="1"/>
                <w:bCs w:val="1"/>
                <w:color w:val="auto"/>
              </w:rPr>
              <w:t>Securites Law Notce</w:t>
            </w:r>
          </w:p>
        </w:tc>
      </w:tr>
      <w:tr>
        <w:trPr>
          <w:trHeight w:val="225"/>
        </w:trPr>
        <w:tc>
          <w:tcPr>
            <w:tcW w:w="1260" w:type="dxa"/>
            <w:vAlign w:val="bottom"/>
          </w:tcPr>
          <w:p>
            <w:pPr>
              <w:spacing w:after="0"/>
              <w:rPr>
                <w:sz w:val="19"/>
                <w:szCs w:val="19"/>
                <w:color w:val="auto"/>
              </w:rPr>
            </w:pPr>
          </w:p>
        </w:tc>
        <w:tc>
          <w:tcPr>
            <w:tcW w:w="9100" w:type="dxa"/>
            <w:vAlign w:val="bottom"/>
          </w:tcPr>
          <w:p>
            <w:pPr>
              <w:ind w:left="260"/>
              <w:spacing w:after="0" w:line="226" w:lineRule="exact"/>
              <w:rPr>
                <w:sz w:val="20"/>
                <w:szCs w:val="20"/>
                <w:color w:val="auto"/>
              </w:rPr>
            </w:pPr>
            <w:r>
              <w:rPr>
                <w:rFonts w:ascii="Calibri" w:cs="Calibri" w:eastAsia="Calibri" w:hAnsi="Calibri"/>
                <w:sz w:val="19"/>
                <w:szCs w:val="19"/>
                <w:color w:val="auto"/>
              </w:rPr>
              <w:t>The Restricted Stock Units shall not be publicly ofered or listed on any stock exchange in Bangladesh. The ofer</w:t>
            </w:r>
          </w:p>
        </w:tc>
      </w:tr>
      <w:tr>
        <w:trPr>
          <w:trHeight w:val="180"/>
        </w:trPr>
        <w:tc>
          <w:tcPr>
            <w:tcW w:w="1260" w:type="dxa"/>
            <w:vAlign w:val="bottom"/>
          </w:tcPr>
          <w:p>
            <w:pPr>
              <w:spacing w:after="0"/>
              <w:rPr>
                <w:sz w:val="15"/>
                <w:szCs w:val="15"/>
                <w:color w:val="auto"/>
              </w:rPr>
            </w:pPr>
          </w:p>
        </w:tc>
        <w:tc>
          <w:tcPr>
            <w:tcW w:w="9100" w:type="dxa"/>
            <w:vAlign w:val="bottom"/>
          </w:tcPr>
          <w:p>
            <w:pPr>
              <w:ind w:left="260"/>
              <w:spacing w:after="0" w:line="180" w:lineRule="exact"/>
              <w:rPr>
                <w:sz w:val="20"/>
                <w:szCs w:val="20"/>
                <w:color w:val="auto"/>
              </w:rPr>
            </w:pPr>
            <w:r>
              <w:rPr>
                <w:rFonts w:ascii="Calibri" w:cs="Calibri" w:eastAsia="Calibri" w:hAnsi="Calibri"/>
                <w:sz w:val="19"/>
                <w:szCs w:val="19"/>
                <w:color w:val="auto"/>
              </w:rPr>
              <w:t>is intended to be private and the Agreement does not consttute a prospectus for purposes of the 1969</w:t>
            </w:r>
          </w:p>
        </w:tc>
      </w:tr>
      <w:tr>
        <w:trPr>
          <w:trHeight w:val="226"/>
        </w:trPr>
        <w:tc>
          <w:tcPr>
            <w:tcW w:w="1260" w:type="dxa"/>
            <w:vAlign w:val="bottom"/>
          </w:tcPr>
          <w:p>
            <w:pPr>
              <w:spacing w:after="0"/>
              <w:rPr>
                <w:sz w:val="19"/>
                <w:szCs w:val="19"/>
                <w:color w:val="auto"/>
              </w:rPr>
            </w:pPr>
          </w:p>
        </w:tc>
        <w:tc>
          <w:tcPr>
            <w:tcW w:w="9100" w:type="dxa"/>
            <w:vAlign w:val="bottom"/>
          </w:tcPr>
          <w:p>
            <w:pPr>
              <w:ind w:left="260"/>
              <w:spacing w:after="0" w:line="226" w:lineRule="exact"/>
              <w:rPr>
                <w:sz w:val="20"/>
                <w:szCs w:val="20"/>
                <w:color w:val="auto"/>
              </w:rPr>
            </w:pPr>
            <w:r>
              <w:rPr>
                <w:rFonts w:ascii="Calibri" w:cs="Calibri" w:eastAsia="Calibri" w:hAnsi="Calibri"/>
                <w:sz w:val="19"/>
                <w:szCs w:val="19"/>
                <w:color w:val="auto"/>
              </w:rPr>
              <w:t>Securites and Exchange Ordinance, as amended.</w:t>
            </w: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120" w:type="dxa"/>
            <w:vAlign w:val="bottom"/>
            <w:tcBorders>
              <w:top w:val="single" w:sz="8" w:color="auto"/>
            </w:tcBorders>
          </w:tcPr>
          <w:p>
            <w:pPr>
              <w:ind w:left="80"/>
              <w:spacing w:after="0"/>
              <w:rPr>
                <w:sz w:val="20"/>
                <w:szCs w:val="20"/>
                <w:color w:val="auto"/>
              </w:rPr>
            </w:pPr>
            <w:r>
              <w:rPr>
                <w:rFonts w:ascii="Calibri" w:cs="Calibri" w:eastAsia="Calibri" w:hAnsi="Calibri"/>
                <w:sz w:val="19"/>
                <w:szCs w:val="19"/>
                <w:b w:val="1"/>
                <w:bCs w:val="1"/>
                <w:color w:val="auto"/>
              </w:rPr>
              <w:t>Belgium</w:t>
            </w:r>
          </w:p>
        </w:tc>
        <w:tc>
          <w:tcPr>
            <w:tcW w:w="9240" w:type="dxa"/>
            <w:vAlign w:val="bottom"/>
            <w:tcBorders>
              <w:top w:val="single" w:sz="8" w:color="auto"/>
            </w:tcBorders>
          </w:tcPr>
          <w:p>
            <w:pPr>
              <w:ind w:left="400"/>
              <w:spacing w:after="0"/>
              <w:rPr>
                <w:sz w:val="20"/>
                <w:szCs w:val="20"/>
                <w:color w:val="auto"/>
              </w:rPr>
            </w:pPr>
            <w:r>
              <w:rPr>
                <w:rFonts w:ascii="Calibri" w:cs="Calibri" w:eastAsia="Calibri" w:hAnsi="Calibri"/>
                <w:sz w:val="19"/>
                <w:szCs w:val="19"/>
                <w:b w:val="1"/>
                <w:bCs w:val="1"/>
                <w:color w:val="auto"/>
              </w:rPr>
              <w:t>Foreign Ownership / Exchange Informaton</w:t>
            </w:r>
          </w:p>
        </w:tc>
      </w:tr>
      <w:tr>
        <w:trPr>
          <w:trHeight w:val="225"/>
        </w:trPr>
        <w:tc>
          <w:tcPr>
            <w:tcW w:w="1120" w:type="dxa"/>
            <w:vAlign w:val="bottom"/>
          </w:tcPr>
          <w:p>
            <w:pPr>
              <w:spacing w:after="0"/>
              <w:rPr>
                <w:sz w:val="19"/>
                <w:szCs w:val="19"/>
                <w:color w:val="auto"/>
              </w:rPr>
            </w:pPr>
          </w:p>
        </w:tc>
        <w:tc>
          <w:tcPr>
            <w:tcW w:w="9240" w:type="dxa"/>
            <w:vAlign w:val="bottom"/>
          </w:tcPr>
          <w:p>
            <w:pPr>
              <w:ind w:left="400"/>
              <w:spacing w:after="0" w:line="226" w:lineRule="exact"/>
              <w:rPr>
                <w:sz w:val="20"/>
                <w:szCs w:val="20"/>
                <w:color w:val="auto"/>
              </w:rPr>
            </w:pPr>
            <w:r>
              <w:rPr>
                <w:rFonts w:ascii="Calibri" w:cs="Calibri" w:eastAsia="Calibri" w:hAnsi="Calibri"/>
                <w:sz w:val="19"/>
                <w:szCs w:val="19"/>
                <w:color w:val="auto"/>
              </w:rPr>
              <w:t>If Employee is a Belgian resident, Employee is required to report any securites (</w:t>
            </w:r>
            <w:r>
              <w:rPr>
                <w:rFonts w:ascii="Calibri" w:cs="Calibri" w:eastAsia="Calibri" w:hAnsi="Calibri"/>
                <w:sz w:val="19"/>
                <w:szCs w:val="19"/>
                <w:i w:val="1"/>
                <w:iCs w:val="1"/>
                <w:color w:val="auto"/>
              </w:rPr>
              <w:t>e.g.</w:t>
            </w:r>
            <w:r>
              <w:rPr>
                <w:rFonts w:ascii="Calibri" w:cs="Calibri" w:eastAsia="Calibri" w:hAnsi="Calibri"/>
                <w:sz w:val="19"/>
                <w:szCs w:val="19"/>
                <w:color w:val="auto"/>
              </w:rPr>
              <w:t>, shares of Stock acquired</w:t>
            </w:r>
          </w:p>
        </w:tc>
      </w:tr>
      <w:tr>
        <w:trPr>
          <w:trHeight w:val="180"/>
        </w:trPr>
        <w:tc>
          <w:tcPr>
            <w:tcW w:w="1120" w:type="dxa"/>
            <w:vAlign w:val="bottom"/>
          </w:tcPr>
          <w:p>
            <w:pPr>
              <w:spacing w:after="0"/>
              <w:rPr>
                <w:sz w:val="15"/>
                <w:szCs w:val="15"/>
                <w:color w:val="auto"/>
              </w:rPr>
            </w:pPr>
          </w:p>
        </w:tc>
        <w:tc>
          <w:tcPr>
            <w:tcW w:w="9240" w:type="dxa"/>
            <w:vAlign w:val="bottom"/>
          </w:tcPr>
          <w:p>
            <w:pPr>
              <w:ind w:left="400"/>
              <w:spacing w:after="0" w:line="180" w:lineRule="exact"/>
              <w:rPr>
                <w:sz w:val="20"/>
                <w:szCs w:val="20"/>
                <w:color w:val="auto"/>
              </w:rPr>
            </w:pPr>
            <w:r>
              <w:rPr>
                <w:rFonts w:ascii="Calibri" w:cs="Calibri" w:eastAsia="Calibri" w:hAnsi="Calibri"/>
                <w:sz w:val="19"/>
                <w:szCs w:val="19"/>
                <w:color w:val="auto"/>
              </w:rPr>
              <w:t>under the Plan) or bank account (including brokerage account) established outside of Belgium on Employee’s</w:t>
            </w:r>
          </w:p>
        </w:tc>
      </w:tr>
      <w:tr>
        <w:trPr>
          <w:trHeight w:val="193"/>
        </w:trPr>
        <w:tc>
          <w:tcPr>
            <w:tcW w:w="1120" w:type="dxa"/>
            <w:vAlign w:val="bottom"/>
          </w:tcPr>
          <w:p>
            <w:pPr>
              <w:spacing w:after="0"/>
              <w:rPr>
                <w:sz w:val="16"/>
                <w:szCs w:val="16"/>
                <w:color w:val="auto"/>
              </w:rPr>
            </w:pPr>
          </w:p>
        </w:tc>
        <w:tc>
          <w:tcPr>
            <w:tcW w:w="9240" w:type="dxa"/>
            <w:vAlign w:val="bottom"/>
          </w:tcPr>
          <w:p>
            <w:pPr>
              <w:ind w:left="400"/>
              <w:spacing w:after="0" w:line="194" w:lineRule="exact"/>
              <w:rPr>
                <w:sz w:val="20"/>
                <w:szCs w:val="20"/>
                <w:color w:val="auto"/>
              </w:rPr>
            </w:pPr>
            <w:r>
              <w:rPr>
                <w:rFonts w:ascii="Calibri" w:cs="Calibri" w:eastAsia="Calibri" w:hAnsi="Calibri"/>
                <w:sz w:val="19"/>
                <w:szCs w:val="19"/>
                <w:color w:val="auto"/>
              </w:rPr>
              <w:t>annual tax return. In a separate report, Employee is required to provide the Natonal Bank of Belgium with the</w:t>
            </w:r>
          </w:p>
        </w:tc>
      </w:tr>
      <w:tr>
        <w:trPr>
          <w:trHeight w:val="193"/>
        </w:trPr>
        <w:tc>
          <w:tcPr>
            <w:tcW w:w="1120" w:type="dxa"/>
            <w:vAlign w:val="bottom"/>
          </w:tcPr>
          <w:p>
            <w:pPr>
              <w:spacing w:after="0"/>
              <w:rPr>
                <w:sz w:val="16"/>
                <w:szCs w:val="16"/>
                <w:color w:val="auto"/>
              </w:rPr>
            </w:pPr>
          </w:p>
        </w:tc>
        <w:tc>
          <w:tcPr>
            <w:tcW w:w="9240" w:type="dxa"/>
            <w:vAlign w:val="bottom"/>
          </w:tcPr>
          <w:p>
            <w:pPr>
              <w:ind w:left="400"/>
              <w:spacing w:after="0" w:line="194" w:lineRule="exact"/>
              <w:rPr>
                <w:sz w:val="20"/>
                <w:szCs w:val="20"/>
                <w:color w:val="auto"/>
              </w:rPr>
            </w:pPr>
            <w:r>
              <w:rPr>
                <w:rFonts w:ascii="Calibri" w:cs="Calibri" w:eastAsia="Calibri" w:hAnsi="Calibri"/>
                <w:sz w:val="19"/>
                <w:szCs w:val="19"/>
                <w:color w:val="auto"/>
              </w:rPr>
              <w:t xml:space="preserve">account details of any such foreign accounts. </w:t>
            </w:r>
            <w:r>
              <w:rPr>
                <w:rFonts w:ascii="Calibri" w:cs="Calibri" w:eastAsia="Calibri" w:hAnsi="Calibri"/>
                <w:sz w:val="19"/>
                <w:szCs w:val="19"/>
                <w:i w:val="1"/>
                <w:iCs w:val="1"/>
                <w:color w:val="auto"/>
              </w:rPr>
              <w:t>Employee should consult with his/her personal tax advisor to</w:t>
            </w:r>
          </w:p>
        </w:tc>
      </w:tr>
      <w:tr>
        <w:trPr>
          <w:trHeight w:val="226"/>
        </w:trPr>
        <w:tc>
          <w:tcPr>
            <w:tcW w:w="1120" w:type="dxa"/>
            <w:vAlign w:val="bottom"/>
          </w:tcPr>
          <w:p>
            <w:pPr>
              <w:spacing w:after="0"/>
              <w:rPr>
                <w:sz w:val="19"/>
                <w:szCs w:val="19"/>
                <w:color w:val="auto"/>
              </w:rPr>
            </w:pPr>
          </w:p>
        </w:tc>
        <w:tc>
          <w:tcPr>
            <w:tcW w:w="9240" w:type="dxa"/>
            <w:vAlign w:val="bottom"/>
          </w:tcPr>
          <w:p>
            <w:pPr>
              <w:ind w:left="400"/>
              <w:spacing w:after="0" w:line="226" w:lineRule="exact"/>
              <w:rPr>
                <w:sz w:val="20"/>
                <w:szCs w:val="20"/>
                <w:color w:val="auto"/>
              </w:rPr>
            </w:pPr>
            <w:r>
              <w:rPr>
                <w:rFonts w:ascii="Calibri" w:cs="Calibri" w:eastAsia="Calibri" w:hAnsi="Calibri"/>
                <w:sz w:val="19"/>
                <w:szCs w:val="19"/>
                <w:i w:val="1"/>
                <w:iCs w:val="1"/>
                <w:color w:val="auto"/>
              </w:rPr>
              <w:t>determine Employee’s personal reportng obligatons.</w:t>
            </w:r>
          </w:p>
        </w:tc>
      </w:tr>
      <w:tr>
        <w:trPr>
          <w:trHeight w:val="284"/>
        </w:trPr>
        <w:tc>
          <w:tcPr>
            <w:tcW w:w="1120" w:type="dxa"/>
            <w:vAlign w:val="bottom"/>
          </w:tcPr>
          <w:p>
            <w:pPr>
              <w:spacing w:after="0"/>
              <w:rPr>
                <w:sz w:val="24"/>
                <w:szCs w:val="24"/>
                <w:color w:val="auto"/>
              </w:rPr>
            </w:pPr>
          </w:p>
        </w:tc>
        <w:tc>
          <w:tcPr>
            <w:tcW w:w="9240" w:type="dxa"/>
            <w:vAlign w:val="bottom"/>
          </w:tcPr>
          <w:p>
            <w:pPr>
              <w:ind w:left="400"/>
              <w:spacing w:after="0"/>
              <w:rPr>
                <w:sz w:val="20"/>
                <w:szCs w:val="20"/>
                <w:color w:val="auto"/>
              </w:rPr>
            </w:pPr>
            <w:r>
              <w:rPr>
                <w:rFonts w:ascii="Calibri" w:cs="Calibri" w:eastAsia="Calibri" w:hAnsi="Calibri"/>
                <w:sz w:val="19"/>
                <w:szCs w:val="19"/>
                <w:b w:val="1"/>
                <w:bCs w:val="1"/>
                <w:color w:val="auto"/>
              </w:rPr>
              <w:t>Stock Exchange Tax Informaton</w:t>
            </w:r>
          </w:p>
        </w:tc>
      </w:tr>
      <w:tr>
        <w:trPr>
          <w:trHeight w:val="264"/>
        </w:trPr>
        <w:tc>
          <w:tcPr>
            <w:tcW w:w="1120" w:type="dxa"/>
            <w:vAlign w:val="bottom"/>
          </w:tcPr>
          <w:p>
            <w:pPr>
              <w:spacing w:after="0"/>
              <w:rPr>
                <w:sz w:val="22"/>
                <w:szCs w:val="22"/>
                <w:color w:val="auto"/>
              </w:rPr>
            </w:pPr>
          </w:p>
        </w:tc>
        <w:tc>
          <w:tcPr>
            <w:tcW w:w="9240" w:type="dxa"/>
            <w:vAlign w:val="bottom"/>
          </w:tcPr>
          <w:p>
            <w:pPr>
              <w:ind w:left="400"/>
              <w:spacing w:after="0"/>
              <w:rPr>
                <w:sz w:val="20"/>
                <w:szCs w:val="20"/>
                <w:color w:val="auto"/>
              </w:rPr>
            </w:pPr>
            <w:r>
              <w:rPr>
                <w:rFonts w:ascii="Calibri" w:cs="Calibri" w:eastAsia="Calibri" w:hAnsi="Calibri"/>
                <w:sz w:val="19"/>
                <w:szCs w:val="19"/>
                <w:color w:val="auto"/>
              </w:rPr>
              <w:t>A stock exchange tax will apply to transactons executed by a Belgian resident through a non-Belgian fnancial</w:t>
            </w:r>
          </w:p>
        </w:tc>
      </w:tr>
      <w:tr>
        <w:trPr>
          <w:trHeight w:val="180"/>
        </w:trPr>
        <w:tc>
          <w:tcPr>
            <w:tcW w:w="1120" w:type="dxa"/>
            <w:vAlign w:val="bottom"/>
          </w:tcPr>
          <w:p>
            <w:pPr>
              <w:spacing w:after="0"/>
              <w:rPr>
                <w:sz w:val="15"/>
                <w:szCs w:val="15"/>
                <w:color w:val="auto"/>
              </w:rPr>
            </w:pPr>
          </w:p>
        </w:tc>
        <w:tc>
          <w:tcPr>
            <w:tcW w:w="9240" w:type="dxa"/>
            <w:vAlign w:val="bottom"/>
          </w:tcPr>
          <w:p>
            <w:pPr>
              <w:ind w:left="400"/>
              <w:spacing w:after="0" w:line="180" w:lineRule="exact"/>
              <w:rPr>
                <w:sz w:val="20"/>
                <w:szCs w:val="20"/>
                <w:color w:val="auto"/>
              </w:rPr>
            </w:pPr>
            <w:r>
              <w:rPr>
                <w:rFonts w:ascii="Calibri" w:cs="Calibri" w:eastAsia="Calibri" w:hAnsi="Calibri"/>
                <w:sz w:val="19"/>
                <w:szCs w:val="19"/>
                <w:color w:val="auto"/>
              </w:rPr>
              <w:t>intermediary, such as a U.S. broker. The stock exchange tax likely will apply when shares of Stock acquired under</w:t>
            </w:r>
          </w:p>
        </w:tc>
      </w:tr>
      <w:tr>
        <w:trPr>
          <w:trHeight w:val="193"/>
        </w:trPr>
        <w:tc>
          <w:tcPr>
            <w:tcW w:w="1120" w:type="dxa"/>
            <w:vAlign w:val="bottom"/>
          </w:tcPr>
          <w:p>
            <w:pPr>
              <w:spacing w:after="0"/>
              <w:rPr>
                <w:sz w:val="16"/>
                <w:szCs w:val="16"/>
                <w:color w:val="auto"/>
              </w:rPr>
            </w:pPr>
          </w:p>
        </w:tc>
        <w:tc>
          <w:tcPr>
            <w:tcW w:w="9240" w:type="dxa"/>
            <w:vAlign w:val="bottom"/>
          </w:tcPr>
          <w:p>
            <w:pPr>
              <w:ind w:left="400"/>
              <w:spacing w:after="0" w:line="194" w:lineRule="exact"/>
              <w:rPr>
                <w:sz w:val="20"/>
                <w:szCs w:val="20"/>
                <w:color w:val="auto"/>
              </w:rPr>
            </w:pPr>
            <w:r>
              <w:rPr>
                <w:rFonts w:ascii="Calibri" w:cs="Calibri" w:eastAsia="Calibri" w:hAnsi="Calibri"/>
                <w:sz w:val="19"/>
                <w:szCs w:val="19"/>
                <w:color w:val="auto"/>
              </w:rPr>
              <w:t>the Plan are sold. Belgian residents should consult with a personal tax or fnancial advisor for additonal details</w:t>
            </w:r>
          </w:p>
        </w:tc>
      </w:tr>
      <w:tr>
        <w:trPr>
          <w:trHeight w:val="226"/>
        </w:trPr>
        <w:tc>
          <w:tcPr>
            <w:tcW w:w="1120" w:type="dxa"/>
            <w:vAlign w:val="bottom"/>
          </w:tcPr>
          <w:p>
            <w:pPr>
              <w:spacing w:after="0"/>
              <w:rPr>
                <w:sz w:val="19"/>
                <w:szCs w:val="19"/>
                <w:color w:val="auto"/>
              </w:rPr>
            </w:pPr>
          </w:p>
        </w:tc>
        <w:tc>
          <w:tcPr>
            <w:tcW w:w="9240" w:type="dxa"/>
            <w:vAlign w:val="bottom"/>
          </w:tcPr>
          <w:p>
            <w:pPr>
              <w:ind w:left="400"/>
              <w:spacing w:after="0" w:line="226" w:lineRule="exact"/>
              <w:rPr>
                <w:sz w:val="20"/>
                <w:szCs w:val="20"/>
                <w:color w:val="auto"/>
              </w:rPr>
            </w:pPr>
            <w:r>
              <w:rPr>
                <w:rFonts w:ascii="Calibri" w:cs="Calibri" w:eastAsia="Calibri" w:hAnsi="Calibri"/>
                <w:sz w:val="19"/>
                <w:szCs w:val="19"/>
                <w:color w:val="auto"/>
              </w:rPr>
              <w:t>on their obligatons with respect to the stock exchange tax.</w:t>
            </w:r>
          </w:p>
        </w:tc>
      </w:tr>
      <w:tr>
        <w:trPr>
          <w:trHeight w:val="297"/>
        </w:trPr>
        <w:tc>
          <w:tcPr>
            <w:tcW w:w="1120" w:type="dxa"/>
            <w:vAlign w:val="bottom"/>
          </w:tcPr>
          <w:p>
            <w:pPr>
              <w:spacing w:after="0"/>
              <w:rPr>
                <w:sz w:val="24"/>
                <w:szCs w:val="24"/>
                <w:color w:val="auto"/>
              </w:rPr>
            </w:pPr>
          </w:p>
        </w:tc>
        <w:tc>
          <w:tcPr>
            <w:tcW w:w="9240" w:type="dxa"/>
            <w:vAlign w:val="bottom"/>
          </w:tcPr>
          <w:p>
            <w:pPr>
              <w:ind w:left="400"/>
              <w:spacing w:after="0"/>
              <w:rPr>
                <w:sz w:val="20"/>
                <w:szCs w:val="20"/>
                <w:color w:val="auto"/>
              </w:rPr>
            </w:pPr>
            <w:r>
              <w:rPr>
                <w:rFonts w:ascii="Calibri" w:cs="Calibri" w:eastAsia="Calibri" w:hAnsi="Calibri"/>
                <w:sz w:val="19"/>
                <w:szCs w:val="19"/>
                <w:b w:val="1"/>
                <w:bCs w:val="1"/>
                <w:color w:val="auto"/>
              </w:rPr>
              <w:t>Annual Securites Accounts Tax Informaton</w:t>
            </w:r>
          </w:p>
        </w:tc>
      </w:tr>
      <w:tr>
        <w:trPr>
          <w:trHeight w:val="251"/>
        </w:trPr>
        <w:tc>
          <w:tcPr>
            <w:tcW w:w="1120" w:type="dxa"/>
            <w:vAlign w:val="bottom"/>
          </w:tcPr>
          <w:p>
            <w:pPr>
              <w:spacing w:after="0"/>
              <w:rPr>
                <w:sz w:val="21"/>
                <w:szCs w:val="21"/>
                <w:color w:val="auto"/>
              </w:rPr>
            </w:pPr>
          </w:p>
        </w:tc>
        <w:tc>
          <w:tcPr>
            <w:tcW w:w="9240" w:type="dxa"/>
            <w:vAlign w:val="bottom"/>
          </w:tcPr>
          <w:p>
            <w:pPr>
              <w:ind w:left="400"/>
              <w:spacing w:after="0"/>
              <w:rPr>
                <w:sz w:val="20"/>
                <w:szCs w:val="20"/>
                <w:color w:val="auto"/>
              </w:rPr>
            </w:pPr>
            <w:r>
              <w:rPr>
                <w:rFonts w:ascii="Calibri" w:cs="Calibri" w:eastAsia="Calibri" w:hAnsi="Calibri"/>
                <w:sz w:val="19"/>
                <w:szCs w:val="19"/>
                <w:color w:val="auto"/>
              </w:rPr>
              <w:t>An annual securites accounts tax may be payable if the total value of the securites held in a Belgian or foreign</w:t>
            </w:r>
          </w:p>
        </w:tc>
      </w:tr>
      <w:tr>
        <w:trPr>
          <w:trHeight w:val="193"/>
        </w:trPr>
        <w:tc>
          <w:tcPr>
            <w:tcW w:w="1120" w:type="dxa"/>
            <w:vAlign w:val="bottom"/>
          </w:tcPr>
          <w:p>
            <w:pPr>
              <w:spacing w:after="0"/>
              <w:rPr>
                <w:sz w:val="16"/>
                <w:szCs w:val="16"/>
                <w:color w:val="auto"/>
              </w:rPr>
            </w:pPr>
          </w:p>
        </w:tc>
        <w:tc>
          <w:tcPr>
            <w:tcW w:w="9240" w:type="dxa"/>
            <w:vAlign w:val="bottom"/>
          </w:tcPr>
          <w:p>
            <w:pPr>
              <w:ind w:left="400"/>
              <w:spacing w:after="0" w:line="194" w:lineRule="exact"/>
              <w:rPr>
                <w:sz w:val="20"/>
                <w:szCs w:val="20"/>
                <w:color w:val="auto"/>
              </w:rPr>
            </w:pPr>
            <w:r>
              <w:rPr>
                <w:rFonts w:ascii="Calibri" w:cs="Calibri" w:eastAsia="Calibri" w:hAnsi="Calibri"/>
                <w:sz w:val="19"/>
                <w:szCs w:val="19"/>
                <w:color w:val="auto"/>
              </w:rPr>
              <w:t>securites account (</w:t>
            </w:r>
            <w:r>
              <w:rPr>
                <w:rFonts w:ascii="Calibri" w:cs="Calibri" w:eastAsia="Calibri" w:hAnsi="Calibri"/>
                <w:sz w:val="19"/>
                <w:szCs w:val="19"/>
                <w:i w:val="1"/>
                <w:iCs w:val="1"/>
                <w:color w:val="auto"/>
              </w:rPr>
              <w:t>e.g.</w:t>
            </w:r>
            <w:r>
              <w:rPr>
                <w:rFonts w:ascii="Calibri" w:cs="Calibri" w:eastAsia="Calibri" w:hAnsi="Calibri"/>
                <w:sz w:val="19"/>
                <w:szCs w:val="19"/>
                <w:color w:val="auto"/>
              </w:rPr>
              <w:t>, shares of Stock acquired under the Plan) exceeds a certain threshold on four reference</w:t>
            </w:r>
          </w:p>
        </w:tc>
      </w:tr>
      <w:tr>
        <w:trPr>
          <w:trHeight w:val="180"/>
        </w:trPr>
        <w:tc>
          <w:tcPr>
            <w:tcW w:w="1120" w:type="dxa"/>
            <w:vAlign w:val="bottom"/>
          </w:tcPr>
          <w:p>
            <w:pPr>
              <w:spacing w:after="0"/>
              <w:rPr>
                <w:sz w:val="15"/>
                <w:szCs w:val="15"/>
                <w:color w:val="auto"/>
              </w:rPr>
            </w:pPr>
          </w:p>
        </w:tc>
        <w:tc>
          <w:tcPr>
            <w:tcW w:w="9240" w:type="dxa"/>
            <w:vAlign w:val="bottom"/>
          </w:tcPr>
          <w:p>
            <w:pPr>
              <w:ind w:left="400"/>
              <w:spacing w:after="0" w:line="180" w:lineRule="exact"/>
              <w:rPr>
                <w:sz w:val="20"/>
                <w:szCs w:val="20"/>
                <w:color w:val="auto"/>
              </w:rPr>
            </w:pPr>
            <w:r>
              <w:rPr>
                <w:rFonts w:ascii="Calibri" w:cs="Calibri" w:eastAsia="Calibri" w:hAnsi="Calibri"/>
                <w:sz w:val="19"/>
                <w:szCs w:val="19"/>
                <w:color w:val="auto"/>
              </w:rPr>
              <w:t>dates within the relevant reportng period (</w:t>
            </w:r>
            <w:r>
              <w:rPr>
                <w:rFonts w:ascii="Calibri" w:cs="Calibri" w:eastAsia="Calibri" w:hAnsi="Calibri"/>
                <w:sz w:val="19"/>
                <w:szCs w:val="19"/>
                <w:i w:val="1"/>
                <w:iCs w:val="1"/>
                <w:color w:val="auto"/>
              </w:rPr>
              <w:t>i.e.</w:t>
            </w:r>
            <w:r>
              <w:rPr>
                <w:rFonts w:ascii="Calibri" w:cs="Calibri" w:eastAsia="Calibri" w:hAnsi="Calibri"/>
                <w:sz w:val="19"/>
                <w:szCs w:val="19"/>
                <w:color w:val="auto"/>
              </w:rPr>
              <w:t>, December 31, March 31, June 30 and September 30). In such</w:t>
            </w:r>
          </w:p>
        </w:tc>
      </w:tr>
      <w:tr>
        <w:trPr>
          <w:trHeight w:val="226"/>
        </w:trPr>
        <w:tc>
          <w:tcPr>
            <w:tcW w:w="1120" w:type="dxa"/>
            <w:vAlign w:val="bottom"/>
          </w:tcPr>
          <w:p>
            <w:pPr>
              <w:spacing w:after="0"/>
              <w:rPr>
                <w:sz w:val="19"/>
                <w:szCs w:val="19"/>
                <w:color w:val="auto"/>
              </w:rPr>
            </w:pPr>
          </w:p>
        </w:tc>
        <w:tc>
          <w:tcPr>
            <w:tcW w:w="9240" w:type="dxa"/>
            <w:vAlign w:val="bottom"/>
          </w:tcPr>
          <w:p>
            <w:pPr>
              <w:ind w:left="400"/>
              <w:spacing w:after="0" w:line="226" w:lineRule="exact"/>
              <w:rPr>
                <w:sz w:val="20"/>
                <w:szCs w:val="20"/>
                <w:color w:val="auto"/>
              </w:rPr>
            </w:pPr>
            <w:r>
              <w:rPr>
                <w:rFonts w:ascii="Calibri" w:cs="Calibri" w:eastAsia="Calibri" w:hAnsi="Calibri"/>
                <w:sz w:val="19"/>
                <w:szCs w:val="19"/>
                <w:color w:val="auto"/>
              </w:rPr>
              <w:t>case, the tax will be due on the value of the qualifying securites held in such account.</w:t>
            </w:r>
          </w:p>
        </w:tc>
      </w:tr>
      <w:tr>
        <w:trPr>
          <w:trHeight w:val="147"/>
        </w:trPr>
        <w:tc>
          <w:tcPr>
            <w:tcW w:w="1120" w:type="dxa"/>
            <w:vAlign w:val="bottom"/>
            <w:tcBorders>
              <w:bottom w:val="single" w:sz="8" w:color="auto"/>
            </w:tcBorders>
          </w:tcPr>
          <w:p>
            <w:pPr>
              <w:spacing w:after="0"/>
              <w:rPr>
                <w:sz w:val="12"/>
                <w:szCs w:val="12"/>
                <w:color w:val="auto"/>
              </w:rPr>
            </w:pPr>
          </w:p>
        </w:tc>
        <w:tc>
          <w:tcPr>
            <w:tcW w:w="9240" w:type="dxa"/>
            <w:vAlign w:val="bottom"/>
            <w:tcBorders>
              <w:bottom w:val="single" w:sz="8" w:color="auto"/>
            </w:tcBorders>
          </w:tcPr>
          <w:p>
            <w:pPr>
              <w:spacing w:after="0"/>
              <w:rPr>
                <w:sz w:val="12"/>
                <w:szCs w:val="12"/>
                <w:color w:val="auto"/>
              </w:rPr>
            </w:pPr>
          </w:p>
        </w:tc>
      </w:tr>
      <w:tr>
        <w:trPr>
          <w:trHeight w:val="232"/>
        </w:trPr>
        <w:tc>
          <w:tcPr>
            <w:tcW w:w="1120" w:type="dxa"/>
            <w:vAlign w:val="bottom"/>
          </w:tcPr>
          <w:p>
            <w:pPr>
              <w:ind w:left="80"/>
              <w:spacing w:after="0"/>
              <w:rPr>
                <w:sz w:val="20"/>
                <w:szCs w:val="20"/>
                <w:color w:val="auto"/>
              </w:rPr>
            </w:pPr>
            <w:r>
              <w:rPr>
                <w:rFonts w:ascii="Calibri" w:cs="Calibri" w:eastAsia="Calibri" w:hAnsi="Calibri"/>
                <w:sz w:val="19"/>
                <w:szCs w:val="19"/>
                <w:b w:val="1"/>
                <w:bCs w:val="1"/>
                <w:color w:val="auto"/>
              </w:rPr>
              <w:t>Bolivia</w:t>
            </w:r>
          </w:p>
        </w:tc>
        <w:tc>
          <w:tcPr>
            <w:tcW w:w="9240" w:type="dxa"/>
            <w:vAlign w:val="bottom"/>
          </w:tcPr>
          <w:p>
            <w:pPr>
              <w:ind w:left="400"/>
              <w:spacing w:after="0" w:line="226" w:lineRule="exact"/>
              <w:rPr>
                <w:sz w:val="20"/>
                <w:szCs w:val="20"/>
                <w:color w:val="auto"/>
              </w:rPr>
            </w:pPr>
            <w:r>
              <w:rPr>
                <w:rFonts w:ascii="Calibri" w:cs="Calibri" w:eastAsia="Calibri" w:hAnsi="Calibri"/>
                <w:sz w:val="19"/>
                <w:szCs w:val="19"/>
                <w:b w:val="1"/>
                <w:bCs w:val="1"/>
                <w:color w:val="auto"/>
              </w:rPr>
              <w:t>Securites Law Notce</w:t>
            </w:r>
          </w:p>
        </w:tc>
      </w:tr>
      <w:tr>
        <w:trPr>
          <w:trHeight w:val="290"/>
        </w:trPr>
        <w:tc>
          <w:tcPr>
            <w:tcW w:w="1120" w:type="dxa"/>
            <w:vAlign w:val="bottom"/>
          </w:tcPr>
          <w:p>
            <w:pPr>
              <w:spacing w:after="0"/>
              <w:rPr>
                <w:sz w:val="24"/>
                <w:szCs w:val="24"/>
                <w:color w:val="auto"/>
              </w:rPr>
            </w:pPr>
          </w:p>
        </w:tc>
        <w:tc>
          <w:tcPr>
            <w:tcW w:w="9240" w:type="dxa"/>
            <w:vAlign w:val="bottom"/>
          </w:tcPr>
          <w:p>
            <w:pPr>
              <w:ind w:left="400"/>
              <w:spacing w:after="0"/>
              <w:rPr>
                <w:sz w:val="20"/>
                <w:szCs w:val="20"/>
                <w:color w:val="auto"/>
              </w:rPr>
            </w:pPr>
            <w:r>
              <w:rPr>
                <w:rFonts w:ascii="Calibri" w:cs="Calibri" w:eastAsia="Calibri" w:hAnsi="Calibri"/>
                <w:sz w:val="19"/>
                <w:szCs w:val="19"/>
                <w:color w:val="auto"/>
              </w:rPr>
              <w:t>The Restricted Stock Units and the underlying shares of Stock are not publicly ofered or listed on any stock</w:t>
            </w:r>
          </w:p>
        </w:tc>
      </w:tr>
      <w:tr>
        <w:trPr>
          <w:trHeight w:val="193"/>
        </w:trPr>
        <w:tc>
          <w:tcPr>
            <w:tcW w:w="1120" w:type="dxa"/>
            <w:vAlign w:val="bottom"/>
          </w:tcPr>
          <w:p>
            <w:pPr>
              <w:spacing w:after="0"/>
              <w:rPr>
                <w:sz w:val="16"/>
                <w:szCs w:val="16"/>
                <w:color w:val="auto"/>
              </w:rPr>
            </w:pPr>
          </w:p>
        </w:tc>
        <w:tc>
          <w:tcPr>
            <w:tcW w:w="9240" w:type="dxa"/>
            <w:vAlign w:val="bottom"/>
          </w:tcPr>
          <w:p>
            <w:pPr>
              <w:ind w:left="400"/>
              <w:spacing w:after="0" w:line="194" w:lineRule="exact"/>
              <w:rPr>
                <w:sz w:val="20"/>
                <w:szCs w:val="20"/>
                <w:color w:val="auto"/>
              </w:rPr>
            </w:pPr>
            <w:r>
              <w:rPr>
                <w:rFonts w:ascii="Calibri" w:cs="Calibri" w:eastAsia="Calibri" w:hAnsi="Calibri"/>
                <w:sz w:val="19"/>
                <w:szCs w:val="19"/>
                <w:color w:val="auto"/>
              </w:rPr>
              <w:t>exchange in Bolivia. The ofer is private and not subject to the supervision of any Bolivian governmental</w:t>
            </w:r>
          </w:p>
        </w:tc>
      </w:tr>
      <w:tr>
        <w:trPr>
          <w:trHeight w:val="226"/>
        </w:trPr>
        <w:tc>
          <w:tcPr>
            <w:tcW w:w="1120" w:type="dxa"/>
            <w:vAlign w:val="bottom"/>
          </w:tcPr>
          <w:p>
            <w:pPr>
              <w:spacing w:after="0"/>
              <w:rPr>
                <w:sz w:val="19"/>
                <w:szCs w:val="19"/>
                <w:color w:val="auto"/>
              </w:rPr>
            </w:pPr>
          </w:p>
        </w:tc>
        <w:tc>
          <w:tcPr>
            <w:tcW w:w="9240" w:type="dxa"/>
            <w:vAlign w:val="bottom"/>
          </w:tcPr>
          <w:p>
            <w:pPr>
              <w:ind w:left="400"/>
              <w:spacing w:after="0" w:line="226" w:lineRule="exact"/>
              <w:rPr>
                <w:sz w:val="20"/>
                <w:szCs w:val="20"/>
                <w:color w:val="auto"/>
              </w:rPr>
            </w:pPr>
            <w:r>
              <w:rPr>
                <w:rFonts w:ascii="Calibri" w:cs="Calibri" w:eastAsia="Calibri" w:hAnsi="Calibri"/>
                <w:sz w:val="19"/>
                <w:szCs w:val="19"/>
                <w:color w:val="auto"/>
              </w:rPr>
              <w:t>authority.</w:t>
            </w:r>
          </w:p>
        </w:tc>
      </w:tr>
      <w:tr>
        <w:trPr>
          <w:trHeight w:val="199"/>
        </w:trPr>
        <w:tc>
          <w:tcPr>
            <w:tcW w:w="1120" w:type="dxa"/>
            <w:vAlign w:val="bottom"/>
            <w:tcBorders>
              <w:bottom w:val="single" w:sz="8" w:color="auto"/>
            </w:tcBorders>
          </w:tcPr>
          <w:p>
            <w:pPr>
              <w:spacing w:after="0"/>
              <w:rPr>
                <w:sz w:val="17"/>
                <w:szCs w:val="17"/>
                <w:color w:val="auto"/>
              </w:rPr>
            </w:pPr>
          </w:p>
        </w:tc>
        <w:tc>
          <w:tcPr>
            <w:tcW w:w="9240" w:type="dxa"/>
            <w:vAlign w:val="bottom"/>
            <w:tcBorders>
              <w:bottom w:val="single" w:sz="8" w:color="auto"/>
            </w:tcBorders>
          </w:tcPr>
          <w:p>
            <w:pPr>
              <w:spacing w:after="0"/>
              <w:rPr>
                <w:sz w:val="17"/>
                <w:szCs w:val="17"/>
                <w:color w:val="auto"/>
              </w:rPr>
            </w:pPr>
          </w:p>
        </w:tc>
      </w:tr>
      <w:tr>
        <w:trPr>
          <w:trHeight w:val="232"/>
        </w:trPr>
        <w:tc>
          <w:tcPr>
            <w:tcW w:w="1120" w:type="dxa"/>
            <w:vAlign w:val="bottom"/>
          </w:tcPr>
          <w:p>
            <w:pPr>
              <w:ind w:left="80"/>
              <w:spacing w:after="0"/>
              <w:rPr>
                <w:sz w:val="20"/>
                <w:szCs w:val="20"/>
                <w:color w:val="auto"/>
              </w:rPr>
            </w:pPr>
            <w:r>
              <w:rPr>
                <w:rFonts w:ascii="Calibri" w:cs="Calibri" w:eastAsia="Calibri" w:hAnsi="Calibri"/>
                <w:sz w:val="19"/>
                <w:szCs w:val="19"/>
                <w:b w:val="1"/>
                <w:bCs w:val="1"/>
                <w:color w:val="auto"/>
              </w:rPr>
              <w:t>Brazil</w:t>
            </w:r>
          </w:p>
        </w:tc>
        <w:tc>
          <w:tcPr>
            <w:tcW w:w="9240" w:type="dxa"/>
            <w:vAlign w:val="bottom"/>
          </w:tcPr>
          <w:p>
            <w:pPr>
              <w:ind w:left="400"/>
              <w:spacing w:after="0" w:line="226" w:lineRule="exact"/>
              <w:rPr>
                <w:sz w:val="20"/>
                <w:szCs w:val="20"/>
                <w:color w:val="auto"/>
              </w:rPr>
            </w:pPr>
            <w:r>
              <w:rPr>
                <w:rFonts w:ascii="Calibri" w:cs="Calibri" w:eastAsia="Calibri" w:hAnsi="Calibri"/>
                <w:sz w:val="19"/>
                <w:szCs w:val="19"/>
                <w:b w:val="1"/>
                <w:bCs w:val="1"/>
                <w:color w:val="auto"/>
              </w:rPr>
              <w:t>Labor Law Acknowledgement</w:t>
            </w:r>
          </w:p>
        </w:tc>
      </w:tr>
      <w:tr>
        <w:trPr>
          <w:trHeight w:val="290"/>
        </w:trPr>
        <w:tc>
          <w:tcPr>
            <w:tcW w:w="1120" w:type="dxa"/>
            <w:vAlign w:val="bottom"/>
          </w:tcPr>
          <w:p>
            <w:pPr>
              <w:spacing w:after="0"/>
              <w:rPr>
                <w:sz w:val="24"/>
                <w:szCs w:val="24"/>
                <w:color w:val="auto"/>
              </w:rPr>
            </w:pPr>
          </w:p>
        </w:tc>
        <w:tc>
          <w:tcPr>
            <w:tcW w:w="9240" w:type="dxa"/>
            <w:vAlign w:val="bottom"/>
          </w:tcPr>
          <w:p>
            <w:pPr>
              <w:ind w:left="400"/>
              <w:spacing w:after="0"/>
              <w:rPr>
                <w:sz w:val="20"/>
                <w:szCs w:val="20"/>
                <w:color w:val="auto"/>
              </w:rPr>
            </w:pPr>
            <w:r>
              <w:rPr>
                <w:rFonts w:ascii="Calibri" w:cs="Calibri" w:eastAsia="Calibri" w:hAnsi="Calibri"/>
                <w:sz w:val="19"/>
                <w:szCs w:val="19"/>
                <w:color w:val="auto"/>
              </w:rPr>
              <w:t>By acceptng the Restricted Stock Units, Employee expressly acknowledges and agrees that for all legal</w:t>
            </w:r>
          </w:p>
        </w:tc>
      </w:tr>
      <w:tr>
        <w:trPr>
          <w:trHeight w:val="193"/>
        </w:trPr>
        <w:tc>
          <w:tcPr>
            <w:tcW w:w="1120" w:type="dxa"/>
            <w:vAlign w:val="bottom"/>
          </w:tcPr>
          <w:p>
            <w:pPr>
              <w:spacing w:after="0"/>
              <w:rPr>
                <w:sz w:val="16"/>
                <w:szCs w:val="16"/>
                <w:color w:val="auto"/>
              </w:rPr>
            </w:pPr>
          </w:p>
        </w:tc>
        <w:tc>
          <w:tcPr>
            <w:tcW w:w="9240" w:type="dxa"/>
            <w:vAlign w:val="bottom"/>
          </w:tcPr>
          <w:p>
            <w:pPr>
              <w:ind w:left="400"/>
              <w:spacing w:after="0" w:line="194" w:lineRule="exact"/>
              <w:rPr>
                <w:sz w:val="20"/>
                <w:szCs w:val="20"/>
                <w:color w:val="auto"/>
              </w:rPr>
            </w:pPr>
            <w:r>
              <w:rPr>
                <w:rFonts w:ascii="Calibri" w:cs="Calibri" w:eastAsia="Calibri" w:hAnsi="Calibri"/>
                <w:sz w:val="19"/>
                <w:szCs w:val="19"/>
                <w:color w:val="auto"/>
              </w:rPr>
              <w:t>purposes, (i) the benefts provided under the Agreement and the Plan are the result of commercial transactons</w:t>
            </w:r>
          </w:p>
        </w:tc>
      </w:tr>
      <w:tr>
        <w:trPr>
          <w:trHeight w:val="180"/>
        </w:trPr>
        <w:tc>
          <w:tcPr>
            <w:tcW w:w="1120" w:type="dxa"/>
            <w:vAlign w:val="bottom"/>
          </w:tcPr>
          <w:p>
            <w:pPr>
              <w:spacing w:after="0"/>
              <w:rPr>
                <w:sz w:val="15"/>
                <w:szCs w:val="15"/>
                <w:color w:val="auto"/>
              </w:rPr>
            </w:pPr>
          </w:p>
        </w:tc>
        <w:tc>
          <w:tcPr>
            <w:tcW w:w="9240" w:type="dxa"/>
            <w:vAlign w:val="bottom"/>
          </w:tcPr>
          <w:p>
            <w:pPr>
              <w:ind w:left="400"/>
              <w:spacing w:after="0" w:line="180" w:lineRule="exact"/>
              <w:rPr>
                <w:sz w:val="20"/>
                <w:szCs w:val="20"/>
                <w:color w:val="auto"/>
              </w:rPr>
            </w:pPr>
            <w:r>
              <w:rPr>
                <w:rFonts w:ascii="Calibri" w:cs="Calibri" w:eastAsia="Calibri" w:hAnsi="Calibri"/>
                <w:sz w:val="19"/>
                <w:szCs w:val="19"/>
                <w:color w:val="auto"/>
              </w:rPr>
              <w:t>unrelated to Employee’s employment; (ii) the Agreement and the Plan are not part of the terms and conditons</w:t>
            </w:r>
          </w:p>
        </w:tc>
      </w:tr>
      <w:tr>
        <w:trPr>
          <w:trHeight w:val="193"/>
        </w:trPr>
        <w:tc>
          <w:tcPr>
            <w:tcW w:w="1120" w:type="dxa"/>
            <w:vAlign w:val="bottom"/>
          </w:tcPr>
          <w:p>
            <w:pPr>
              <w:spacing w:after="0"/>
              <w:rPr>
                <w:sz w:val="16"/>
                <w:szCs w:val="16"/>
                <w:color w:val="auto"/>
              </w:rPr>
            </w:pPr>
          </w:p>
        </w:tc>
        <w:tc>
          <w:tcPr>
            <w:tcW w:w="9240" w:type="dxa"/>
            <w:vAlign w:val="bottom"/>
          </w:tcPr>
          <w:p>
            <w:pPr>
              <w:ind w:left="400"/>
              <w:spacing w:after="0" w:line="194" w:lineRule="exact"/>
              <w:rPr>
                <w:sz w:val="20"/>
                <w:szCs w:val="20"/>
                <w:color w:val="auto"/>
              </w:rPr>
            </w:pPr>
            <w:r>
              <w:rPr>
                <w:rFonts w:ascii="Calibri" w:cs="Calibri" w:eastAsia="Calibri" w:hAnsi="Calibri"/>
                <w:sz w:val="19"/>
                <w:szCs w:val="19"/>
                <w:color w:val="auto"/>
              </w:rPr>
              <w:t>of Employee’s employment; and (iii) the income from the Restricted Stock Units, if any, is not part of Employee’s</w:t>
            </w:r>
          </w:p>
        </w:tc>
      </w:tr>
      <w:tr>
        <w:trPr>
          <w:trHeight w:val="226"/>
        </w:trPr>
        <w:tc>
          <w:tcPr>
            <w:tcW w:w="1120" w:type="dxa"/>
            <w:vAlign w:val="bottom"/>
          </w:tcPr>
          <w:p>
            <w:pPr>
              <w:spacing w:after="0"/>
              <w:rPr>
                <w:sz w:val="19"/>
                <w:szCs w:val="19"/>
                <w:color w:val="auto"/>
              </w:rPr>
            </w:pPr>
          </w:p>
        </w:tc>
        <w:tc>
          <w:tcPr>
            <w:tcW w:w="9240" w:type="dxa"/>
            <w:vAlign w:val="bottom"/>
          </w:tcPr>
          <w:p>
            <w:pPr>
              <w:ind w:left="400"/>
              <w:spacing w:after="0" w:line="226" w:lineRule="exact"/>
              <w:rPr>
                <w:sz w:val="20"/>
                <w:szCs w:val="20"/>
                <w:color w:val="auto"/>
              </w:rPr>
            </w:pPr>
            <w:r>
              <w:rPr>
                <w:rFonts w:ascii="Calibri" w:cs="Calibri" w:eastAsia="Calibri" w:hAnsi="Calibri"/>
                <w:sz w:val="19"/>
                <w:szCs w:val="19"/>
                <w:color w:val="auto"/>
              </w:rPr>
              <w:t>remuneraton from employment.</w:t>
            </w:r>
          </w:p>
        </w:tc>
      </w:tr>
      <w:tr>
        <w:trPr>
          <w:trHeight w:val="251"/>
        </w:trPr>
        <w:tc>
          <w:tcPr>
            <w:tcW w:w="1120" w:type="dxa"/>
            <w:vAlign w:val="bottom"/>
          </w:tcPr>
          <w:p>
            <w:pPr>
              <w:spacing w:after="0"/>
              <w:rPr>
                <w:sz w:val="21"/>
                <w:szCs w:val="21"/>
                <w:color w:val="auto"/>
              </w:rPr>
            </w:pPr>
          </w:p>
        </w:tc>
        <w:tc>
          <w:tcPr>
            <w:tcW w:w="9240" w:type="dxa"/>
            <w:vAlign w:val="bottom"/>
          </w:tcPr>
          <w:p>
            <w:pPr>
              <w:ind w:left="400"/>
              <w:spacing w:after="0"/>
              <w:rPr>
                <w:sz w:val="20"/>
                <w:szCs w:val="20"/>
                <w:color w:val="auto"/>
              </w:rPr>
            </w:pPr>
            <w:r>
              <w:rPr>
                <w:rFonts w:ascii="Calibri" w:cs="Calibri" w:eastAsia="Calibri" w:hAnsi="Calibri"/>
                <w:sz w:val="19"/>
                <w:szCs w:val="19"/>
                <w:color w:val="auto"/>
              </w:rPr>
              <w:t>Further, Employee acknowledges that (x) Employee is making an investment decision and (y) the value of the</w:t>
            </w:r>
          </w:p>
        </w:tc>
      </w:tr>
      <w:tr>
        <w:trPr>
          <w:trHeight w:val="193"/>
        </w:trPr>
        <w:tc>
          <w:tcPr>
            <w:tcW w:w="1120" w:type="dxa"/>
            <w:vAlign w:val="bottom"/>
          </w:tcPr>
          <w:p>
            <w:pPr>
              <w:spacing w:after="0"/>
              <w:rPr>
                <w:sz w:val="16"/>
                <w:szCs w:val="16"/>
                <w:color w:val="auto"/>
              </w:rPr>
            </w:pPr>
          </w:p>
        </w:tc>
        <w:tc>
          <w:tcPr>
            <w:tcW w:w="9240" w:type="dxa"/>
            <w:vAlign w:val="bottom"/>
          </w:tcPr>
          <w:p>
            <w:pPr>
              <w:ind w:left="400"/>
              <w:spacing w:after="0" w:line="194" w:lineRule="exact"/>
              <w:rPr>
                <w:sz w:val="20"/>
                <w:szCs w:val="20"/>
                <w:color w:val="auto"/>
              </w:rPr>
            </w:pPr>
            <w:r>
              <w:rPr>
                <w:rFonts w:ascii="Calibri" w:cs="Calibri" w:eastAsia="Calibri" w:hAnsi="Calibri"/>
                <w:sz w:val="19"/>
                <w:szCs w:val="19"/>
                <w:color w:val="auto"/>
              </w:rPr>
              <w:t>underlying shares of Stock is not fxed and may increase or decrease in value over the vestng period without</w:t>
            </w:r>
          </w:p>
        </w:tc>
      </w:tr>
      <w:tr>
        <w:trPr>
          <w:trHeight w:val="226"/>
        </w:trPr>
        <w:tc>
          <w:tcPr>
            <w:tcW w:w="1120" w:type="dxa"/>
            <w:vAlign w:val="bottom"/>
          </w:tcPr>
          <w:p>
            <w:pPr>
              <w:spacing w:after="0"/>
              <w:rPr>
                <w:sz w:val="19"/>
                <w:szCs w:val="19"/>
                <w:color w:val="auto"/>
              </w:rPr>
            </w:pPr>
          </w:p>
        </w:tc>
        <w:tc>
          <w:tcPr>
            <w:tcW w:w="9240" w:type="dxa"/>
            <w:vAlign w:val="bottom"/>
          </w:tcPr>
          <w:p>
            <w:pPr>
              <w:ind w:left="400"/>
              <w:spacing w:after="0" w:line="226" w:lineRule="exact"/>
              <w:rPr>
                <w:sz w:val="20"/>
                <w:szCs w:val="20"/>
                <w:color w:val="auto"/>
              </w:rPr>
            </w:pPr>
            <w:r>
              <w:rPr>
                <w:rFonts w:ascii="Calibri" w:cs="Calibri" w:eastAsia="Calibri" w:hAnsi="Calibri"/>
                <w:sz w:val="19"/>
                <w:szCs w:val="19"/>
                <w:color w:val="auto"/>
              </w:rPr>
              <w:t>compensaton to Employee.</w:t>
            </w:r>
          </w:p>
        </w:tc>
      </w:tr>
      <w:tr>
        <w:trPr>
          <w:trHeight w:val="297"/>
        </w:trPr>
        <w:tc>
          <w:tcPr>
            <w:tcW w:w="1120" w:type="dxa"/>
            <w:vAlign w:val="bottom"/>
          </w:tcPr>
          <w:p>
            <w:pPr>
              <w:spacing w:after="0"/>
              <w:rPr>
                <w:sz w:val="24"/>
                <w:szCs w:val="24"/>
                <w:color w:val="auto"/>
              </w:rPr>
            </w:pPr>
          </w:p>
        </w:tc>
        <w:tc>
          <w:tcPr>
            <w:tcW w:w="9240" w:type="dxa"/>
            <w:vAlign w:val="bottom"/>
          </w:tcPr>
          <w:p>
            <w:pPr>
              <w:ind w:left="400"/>
              <w:spacing w:after="0"/>
              <w:rPr>
                <w:sz w:val="20"/>
                <w:szCs w:val="20"/>
                <w:color w:val="auto"/>
              </w:rPr>
            </w:pPr>
            <w:r>
              <w:rPr>
                <w:rFonts w:ascii="Calibri" w:cs="Calibri" w:eastAsia="Calibri" w:hAnsi="Calibri"/>
                <w:sz w:val="19"/>
                <w:szCs w:val="19"/>
                <w:b w:val="1"/>
                <w:bCs w:val="1"/>
                <w:color w:val="auto"/>
              </w:rPr>
              <w:t>Compliance with Law</w:t>
            </w:r>
          </w:p>
        </w:tc>
      </w:tr>
      <w:tr>
        <w:trPr>
          <w:trHeight w:val="316"/>
        </w:trPr>
        <w:tc>
          <w:tcPr>
            <w:tcW w:w="1120" w:type="dxa"/>
            <w:vAlign w:val="bottom"/>
          </w:tcPr>
          <w:p>
            <w:pPr>
              <w:spacing w:after="0"/>
              <w:rPr>
                <w:sz w:val="24"/>
                <w:szCs w:val="24"/>
                <w:color w:val="auto"/>
              </w:rPr>
            </w:pPr>
          </w:p>
        </w:tc>
        <w:tc>
          <w:tcPr>
            <w:tcW w:w="9240" w:type="dxa"/>
            <w:vAlign w:val="bottom"/>
          </w:tcPr>
          <w:p>
            <w:pPr>
              <w:ind w:left="400"/>
              <w:spacing w:after="0"/>
              <w:rPr>
                <w:sz w:val="20"/>
                <w:szCs w:val="20"/>
                <w:color w:val="auto"/>
              </w:rPr>
            </w:pPr>
            <w:r>
              <w:rPr>
                <w:rFonts w:ascii="Calibri" w:cs="Calibri" w:eastAsia="Calibri" w:hAnsi="Calibri"/>
                <w:sz w:val="19"/>
                <w:szCs w:val="19"/>
                <w:color w:val="auto"/>
              </w:rPr>
              <w:t>By acceptng the Restricted Stock Units, Employee expressly acknowledges and agrees to comply with</w:t>
            </w:r>
          </w:p>
        </w:tc>
      </w:tr>
      <w:tr>
        <w:trPr>
          <w:trHeight w:val="193"/>
        </w:trPr>
        <w:tc>
          <w:tcPr>
            <w:tcW w:w="1120" w:type="dxa"/>
            <w:vAlign w:val="bottom"/>
          </w:tcPr>
          <w:p>
            <w:pPr>
              <w:spacing w:after="0"/>
              <w:rPr>
                <w:sz w:val="16"/>
                <w:szCs w:val="16"/>
                <w:color w:val="auto"/>
              </w:rPr>
            </w:pPr>
          </w:p>
        </w:tc>
        <w:tc>
          <w:tcPr>
            <w:tcW w:w="9240" w:type="dxa"/>
            <w:vAlign w:val="bottom"/>
          </w:tcPr>
          <w:p>
            <w:pPr>
              <w:ind w:left="400"/>
              <w:spacing w:after="0" w:line="194" w:lineRule="exact"/>
              <w:rPr>
                <w:sz w:val="20"/>
                <w:szCs w:val="20"/>
                <w:color w:val="auto"/>
              </w:rPr>
            </w:pPr>
            <w:r>
              <w:rPr>
                <w:rFonts w:ascii="Calibri" w:cs="Calibri" w:eastAsia="Calibri" w:hAnsi="Calibri"/>
                <w:sz w:val="19"/>
                <w:szCs w:val="19"/>
                <w:color w:val="auto"/>
              </w:rPr>
              <w:t>applicable Brazilian laws and to pay any and all applicable Tax-Related Items associated with the vestng of the</w:t>
            </w:r>
          </w:p>
        </w:tc>
      </w:tr>
      <w:tr>
        <w:trPr>
          <w:trHeight w:val="226"/>
        </w:trPr>
        <w:tc>
          <w:tcPr>
            <w:tcW w:w="1120" w:type="dxa"/>
            <w:vAlign w:val="bottom"/>
          </w:tcPr>
          <w:p>
            <w:pPr>
              <w:spacing w:after="0"/>
              <w:rPr>
                <w:sz w:val="19"/>
                <w:szCs w:val="19"/>
                <w:color w:val="auto"/>
              </w:rPr>
            </w:pPr>
          </w:p>
        </w:tc>
        <w:tc>
          <w:tcPr>
            <w:tcW w:w="9240" w:type="dxa"/>
            <w:vAlign w:val="bottom"/>
          </w:tcPr>
          <w:p>
            <w:pPr>
              <w:ind w:left="400"/>
              <w:spacing w:after="0" w:line="226" w:lineRule="exact"/>
              <w:rPr>
                <w:sz w:val="20"/>
                <w:szCs w:val="20"/>
                <w:color w:val="auto"/>
              </w:rPr>
            </w:pPr>
            <w:r>
              <w:rPr>
                <w:rFonts w:ascii="Calibri" w:cs="Calibri" w:eastAsia="Calibri" w:hAnsi="Calibri"/>
                <w:sz w:val="19"/>
                <w:szCs w:val="19"/>
                <w:color w:val="auto"/>
              </w:rPr>
              <w:t>Restricted Stock Units, the receipt of any dividends, and the sale of any shares of Stock acquired under the Plan.</w:t>
            </w:r>
          </w:p>
        </w:tc>
      </w:tr>
      <w:tr>
        <w:trPr>
          <w:trHeight w:val="297"/>
        </w:trPr>
        <w:tc>
          <w:tcPr>
            <w:tcW w:w="1120" w:type="dxa"/>
            <w:vAlign w:val="bottom"/>
          </w:tcPr>
          <w:p>
            <w:pPr>
              <w:spacing w:after="0"/>
              <w:rPr>
                <w:sz w:val="24"/>
                <w:szCs w:val="24"/>
                <w:color w:val="auto"/>
              </w:rPr>
            </w:pPr>
          </w:p>
        </w:tc>
        <w:tc>
          <w:tcPr>
            <w:tcW w:w="9240" w:type="dxa"/>
            <w:vAlign w:val="bottom"/>
          </w:tcPr>
          <w:p>
            <w:pPr>
              <w:ind w:left="400"/>
              <w:spacing w:after="0"/>
              <w:rPr>
                <w:sz w:val="20"/>
                <w:szCs w:val="20"/>
                <w:color w:val="auto"/>
              </w:rPr>
            </w:pPr>
            <w:r>
              <w:rPr>
                <w:rFonts w:ascii="Calibri" w:cs="Calibri" w:eastAsia="Calibri" w:hAnsi="Calibri"/>
                <w:sz w:val="19"/>
                <w:szCs w:val="19"/>
                <w:b w:val="1"/>
                <w:bCs w:val="1"/>
                <w:color w:val="auto"/>
              </w:rPr>
              <w:t>Foreign Ownership / Exchange Informaton</w:t>
            </w:r>
          </w:p>
        </w:tc>
      </w:tr>
      <w:tr>
        <w:trPr>
          <w:trHeight w:val="251"/>
        </w:trPr>
        <w:tc>
          <w:tcPr>
            <w:tcW w:w="1120" w:type="dxa"/>
            <w:vAlign w:val="bottom"/>
          </w:tcPr>
          <w:p>
            <w:pPr>
              <w:spacing w:after="0"/>
              <w:rPr>
                <w:sz w:val="21"/>
                <w:szCs w:val="21"/>
                <w:color w:val="auto"/>
              </w:rPr>
            </w:pPr>
          </w:p>
        </w:tc>
        <w:tc>
          <w:tcPr>
            <w:tcW w:w="9240" w:type="dxa"/>
            <w:vAlign w:val="bottom"/>
          </w:tcPr>
          <w:p>
            <w:pPr>
              <w:ind w:left="400"/>
              <w:spacing w:after="0"/>
              <w:rPr>
                <w:sz w:val="20"/>
                <w:szCs w:val="20"/>
                <w:color w:val="auto"/>
              </w:rPr>
            </w:pPr>
            <w:r>
              <w:rPr>
                <w:rFonts w:ascii="Calibri" w:cs="Calibri" w:eastAsia="Calibri" w:hAnsi="Calibri"/>
                <w:sz w:val="19"/>
                <w:szCs w:val="19"/>
                <w:color w:val="auto"/>
              </w:rPr>
              <w:t>The regulatons of the Central Bank of Brazil governing investments abroad are subject to change at any tme,</w:t>
            </w:r>
          </w:p>
        </w:tc>
      </w:tr>
      <w:tr>
        <w:trPr>
          <w:trHeight w:val="180"/>
        </w:trPr>
        <w:tc>
          <w:tcPr>
            <w:tcW w:w="1120" w:type="dxa"/>
            <w:vAlign w:val="bottom"/>
          </w:tcPr>
          <w:p>
            <w:pPr>
              <w:spacing w:after="0"/>
              <w:rPr>
                <w:sz w:val="15"/>
                <w:szCs w:val="15"/>
                <w:color w:val="auto"/>
              </w:rPr>
            </w:pPr>
          </w:p>
        </w:tc>
        <w:tc>
          <w:tcPr>
            <w:tcW w:w="9240" w:type="dxa"/>
            <w:vAlign w:val="bottom"/>
          </w:tcPr>
          <w:p>
            <w:pPr>
              <w:ind w:left="400"/>
              <w:spacing w:after="0" w:line="180" w:lineRule="exact"/>
              <w:rPr>
                <w:sz w:val="20"/>
                <w:szCs w:val="20"/>
                <w:color w:val="auto"/>
              </w:rPr>
            </w:pPr>
            <w:r>
              <w:rPr>
                <w:rFonts w:ascii="Calibri" w:cs="Calibri" w:eastAsia="Calibri" w:hAnsi="Calibri"/>
                <w:sz w:val="19"/>
                <w:szCs w:val="19"/>
                <w:color w:val="auto"/>
              </w:rPr>
              <w:t>and such changes could afect Employee’s ability to receive cash proceeds from Employee’s awards. Employee is</w:t>
            </w:r>
          </w:p>
        </w:tc>
      </w:tr>
      <w:tr>
        <w:trPr>
          <w:trHeight w:val="193"/>
        </w:trPr>
        <w:tc>
          <w:tcPr>
            <w:tcW w:w="1120" w:type="dxa"/>
            <w:vAlign w:val="bottom"/>
          </w:tcPr>
          <w:p>
            <w:pPr>
              <w:spacing w:after="0"/>
              <w:rPr>
                <w:sz w:val="16"/>
                <w:szCs w:val="16"/>
                <w:color w:val="auto"/>
              </w:rPr>
            </w:pPr>
          </w:p>
        </w:tc>
        <w:tc>
          <w:tcPr>
            <w:tcW w:w="9240" w:type="dxa"/>
            <w:vAlign w:val="bottom"/>
          </w:tcPr>
          <w:p>
            <w:pPr>
              <w:ind w:left="400"/>
              <w:spacing w:after="0" w:line="194" w:lineRule="exact"/>
              <w:rPr>
                <w:sz w:val="20"/>
                <w:szCs w:val="20"/>
                <w:color w:val="auto"/>
              </w:rPr>
            </w:pPr>
            <w:r>
              <w:rPr>
                <w:rFonts w:ascii="Calibri" w:cs="Calibri" w:eastAsia="Calibri" w:hAnsi="Calibri"/>
                <w:sz w:val="19"/>
                <w:szCs w:val="19"/>
                <w:color w:val="auto"/>
              </w:rPr>
              <w:t>required to report to the Central Bank of Brazil, on a yearly basis, the value of any and all assets held abroad</w:t>
            </w:r>
          </w:p>
        </w:tc>
      </w:tr>
      <w:tr>
        <w:trPr>
          <w:trHeight w:val="193"/>
        </w:trPr>
        <w:tc>
          <w:tcPr>
            <w:tcW w:w="1120" w:type="dxa"/>
            <w:vAlign w:val="bottom"/>
          </w:tcPr>
          <w:p>
            <w:pPr>
              <w:spacing w:after="0"/>
              <w:rPr>
                <w:sz w:val="16"/>
                <w:szCs w:val="16"/>
                <w:color w:val="auto"/>
              </w:rPr>
            </w:pPr>
          </w:p>
        </w:tc>
        <w:tc>
          <w:tcPr>
            <w:tcW w:w="9240" w:type="dxa"/>
            <w:vAlign w:val="bottom"/>
          </w:tcPr>
          <w:p>
            <w:pPr>
              <w:ind w:left="400"/>
              <w:spacing w:after="0" w:line="194" w:lineRule="exact"/>
              <w:rPr>
                <w:sz w:val="20"/>
                <w:szCs w:val="20"/>
                <w:color w:val="auto"/>
              </w:rPr>
            </w:pPr>
            <w:r>
              <w:rPr>
                <w:rFonts w:ascii="Calibri" w:cs="Calibri" w:eastAsia="Calibri" w:hAnsi="Calibri"/>
                <w:sz w:val="19"/>
                <w:szCs w:val="19"/>
                <w:color w:val="auto"/>
              </w:rPr>
              <w:t>(including Company shares) if the value of such assets equals or exceeds a specifed threshold (currently</w:t>
            </w:r>
          </w:p>
        </w:tc>
      </w:tr>
      <w:tr>
        <w:trPr>
          <w:trHeight w:val="180"/>
        </w:trPr>
        <w:tc>
          <w:tcPr>
            <w:tcW w:w="1120" w:type="dxa"/>
            <w:vAlign w:val="bottom"/>
          </w:tcPr>
          <w:p>
            <w:pPr>
              <w:spacing w:after="0"/>
              <w:rPr>
                <w:sz w:val="15"/>
                <w:szCs w:val="15"/>
                <w:color w:val="auto"/>
              </w:rPr>
            </w:pPr>
          </w:p>
        </w:tc>
        <w:tc>
          <w:tcPr>
            <w:tcW w:w="9240" w:type="dxa"/>
            <w:vAlign w:val="bottom"/>
          </w:tcPr>
          <w:p>
            <w:pPr>
              <w:ind w:left="400"/>
              <w:spacing w:after="0" w:line="180" w:lineRule="exact"/>
              <w:rPr>
                <w:sz w:val="20"/>
                <w:szCs w:val="20"/>
                <w:color w:val="auto"/>
              </w:rPr>
            </w:pPr>
            <w:r>
              <w:rPr>
                <w:rFonts w:ascii="Calibri" w:cs="Calibri" w:eastAsia="Calibri" w:hAnsi="Calibri"/>
                <w:sz w:val="19"/>
                <w:szCs w:val="19"/>
                <w:color w:val="auto"/>
              </w:rPr>
              <w:t>USD 1,000,000 for annual declaratons and USD 100,000,000 for quarterly declaratons), as well as any capital</w:t>
            </w:r>
          </w:p>
        </w:tc>
      </w:tr>
      <w:tr>
        <w:trPr>
          <w:trHeight w:val="226"/>
        </w:trPr>
        <w:tc>
          <w:tcPr>
            <w:tcW w:w="1120" w:type="dxa"/>
            <w:vAlign w:val="bottom"/>
          </w:tcPr>
          <w:p>
            <w:pPr>
              <w:spacing w:after="0"/>
              <w:rPr>
                <w:sz w:val="19"/>
                <w:szCs w:val="19"/>
                <w:color w:val="auto"/>
              </w:rPr>
            </w:pPr>
          </w:p>
        </w:tc>
        <w:tc>
          <w:tcPr>
            <w:tcW w:w="9240" w:type="dxa"/>
            <w:vAlign w:val="bottom"/>
          </w:tcPr>
          <w:p>
            <w:pPr>
              <w:ind w:left="400"/>
              <w:spacing w:after="0" w:line="226" w:lineRule="exact"/>
              <w:rPr>
                <w:sz w:val="20"/>
                <w:szCs w:val="20"/>
                <w:color w:val="auto"/>
              </w:rPr>
            </w:pPr>
            <w:r>
              <w:rPr>
                <w:rFonts w:ascii="Calibri" w:cs="Calibri" w:eastAsia="Calibri" w:hAnsi="Calibri"/>
                <w:sz w:val="19"/>
                <w:szCs w:val="19"/>
                <w:color w:val="auto"/>
              </w:rPr>
              <w:t>gain, dividend or proft atributable to such assets.</w:t>
            </w:r>
          </w:p>
        </w:tc>
      </w:tr>
      <w:tr>
        <w:trPr>
          <w:trHeight w:val="147"/>
        </w:trPr>
        <w:tc>
          <w:tcPr>
            <w:tcW w:w="1120" w:type="dxa"/>
            <w:vAlign w:val="bottom"/>
            <w:tcBorders>
              <w:bottom w:val="single" w:sz="8" w:color="auto"/>
            </w:tcBorders>
          </w:tcPr>
          <w:p>
            <w:pPr>
              <w:spacing w:after="0"/>
              <w:rPr>
                <w:sz w:val="12"/>
                <w:szCs w:val="12"/>
                <w:color w:val="auto"/>
              </w:rPr>
            </w:pPr>
          </w:p>
        </w:tc>
        <w:tc>
          <w:tcPr>
            <w:tcW w:w="9240" w:type="dxa"/>
            <w:vAlign w:val="bottom"/>
            <w:tcBorders>
              <w:bottom w:val="single" w:sz="8" w:color="auto"/>
            </w:tcBorders>
          </w:tcPr>
          <w:p>
            <w:pPr>
              <w:spacing w:after="0"/>
              <w:rPr>
                <w:sz w:val="12"/>
                <w:szCs w:val="12"/>
                <w:color w:val="auto"/>
              </w:rPr>
            </w:pPr>
          </w:p>
        </w:tc>
      </w:tr>
    </w:tbl>
    <w:p>
      <w:pPr>
        <w:sectPr>
          <w:pgSz w:w="11900" w:h="16838" w:orient="portrait"/>
          <w:cols w:equalWidth="0" w:num="1">
            <w:col w:w="10360"/>
          </w:cols>
          <w:pgMar w:left="320" w:top="932" w:right="1219" w:bottom="1440" w:gutter="0" w:footer="0" w:header="0"/>
        </w:sectPr>
      </w:pPr>
    </w:p>
    <w:bookmarkStart w:id="104" w:name="page105"/>
    <w:bookmarkEnd w:id="104"/>
    <w:p>
      <w:pPr>
        <w:spacing w:after="0" w:line="45" w:lineRule="exact"/>
        <w:rPr>
          <w:sz w:val="20"/>
          <w:szCs w:val="20"/>
          <w:color w:val="auto"/>
        </w:rPr>
      </w:pPr>
    </w:p>
    <w:p>
      <w:pPr>
        <w:spacing w:after="0" w:line="260" w:lineRule="auto"/>
        <w:rPr>
          <w:sz w:val="20"/>
          <w:szCs w:val="20"/>
          <w:color w:val="auto"/>
        </w:rPr>
      </w:pPr>
      <w:r>
        <w:rPr>
          <w:rFonts w:ascii="Calibri" w:cs="Calibri" w:eastAsia="Calibri" w:hAnsi="Calibri"/>
          <w:sz w:val="19"/>
          <w:szCs w:val="19"/>
          <w:b w:val="1"/>
          <w:bCs w:val="1"/>
          <w:color w:val="auto"/>
        </w:rPr>
        <w:t>Brunei Darussalam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9"/>
          <w:szCs w:val="19"/>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-135255</wp:posOffset>
            </wp:positionV>
            <wp:extent cx="65817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7">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51" w:lineRule="exact"/>
        <w:rPr>
          <w:sz w:val="20"/>
          <w:szCs w:val="20"/>
          <w:color w:val="auto"/>
        </w:rPr>
      </w:pPr>
    </w:p>
    <w:p>
      <w:pPr>
        <w:jc w:val="both"/>
        <w:spacing w:after="0" w:line="201" w:lineRule="auto"/>
        <w:rPr>
          <w:sz w:val="20"/>
          <w:szCs w:val="20"/>
          <w:color w:val="auto"/>
        </w:rPr>
      </w:pPr>
      <w:r>
        <w:rPr>
          <w:rFonts w:ascii="Calibri" w:cs="Calibri" w:eastAsia="Calibri" w:hAnsi="Calibri"/>
          <w:sz w:val="19"/>
          <w:szCs w:val="19"/>
          <w:color w:val="auto"/>
        </w:rPr>
        <w:t>The grant of Restricted Stock Units is made pursuant to a private ofering exempton under Secton 117 of the Securites Markets Order, 2013 (“SMO”) on which basis it is exempt from the prospectus and registraton requirements under the SMO and is also exempt from the capital markets services licensing requirements under Secton 159(1)(d) as being the administraton of an employee partcipaton scheme. In additon, by acceptng this grant, Employee agrees not to sell any shares of Stock within two (2) years of the date of grant. The Plan has not been lodged or registered as a prospectus with the Autorit Monetari Brunei Darussalam.</w:t>
      </w:r>
    </w:p>
    <w:p>
      <w:pPr>
        <w:spacing w:after="0" w:line="1" w:lineRule="exact"/>
        <w:rPr>
          <w:sz w:val="20"/>
          <w:szCs w:val="20"/>
          <w:color w:val="auto"/>
        </w:rPr>
      </w:pPr>
    </w:p>
    <w:p>
      <w:pPr>
        <w:sectPr>
          <w:pgSz w:w="11900" w:h="16838" w:orient="portrait"/>
          <w:cols w:equalWidth="0" w:num="2">
            <w:col w:w="940" w:space="500"/>
            <w:col w:w="8780"/>
          </w:cols>
          <w:pgMar w:left="400" w:top="933" w:right="1279" w:bottom="1440" w:gutter="0" w:footer="0" w:header="0"/>
        </w:sectPr>
      </w:pPr>
    </w:p>
    <w:p>
      <w:pPr>
        <w:spacing w:after="0" w:line="186" w:lineRule="auto"/>
        <w:tabs>
          <w:tab w:leader="none" w:pos="1420" w:val="left"/>
        </w:tabs>
        <w:rPr>
          <w:sz w:val="20"/>
          <w:szCs w:val="20"/>
          <w:color w:val="auto"/>
        </w:rPr>
      </w:pPr>
      <w:r>
        <w:rPr>
          <w:rFonts w:ascii="Calibri" w:cs="Calibri" w:eastAsia="Calibri" w:hAnsi="Calibri"/>
          <w:sz w:val="24"/>
          <w:szCs w:val="24"/>
          <w:b w:val="1"/>
          <w:bCs w:val="1"/>
          <w:color w:val="auto"/>
          <w:vertAlign w:val="subscript"/>
        </w:rPr>
        <w:t>Bulgaria</w:t>
      </w:r>
      <w:r>
        <w:rPr>
          <w:sz w:val="20"/>
          <w:szCs w:val="20"/>
          <w:color w:val="auto"/>
        </w:rPr>
        <w:tab/>
      </w:r>
      <w:r>
        <w:rPr>
          <w:rFonts w:ascii="Calibri" w:cs="Calibri" w:eastAsia="Calibri" w:hAnsi="Calibri"/>
          <w:sz w:val="14"/>
          <w:szCs w:val="14"/>
          <w:b w:val="1"/>
          <w:bCs w:val="1"/>
          <w:color w:val="auto"/>
        </w:rPr>
        <w:t>Foreign Exchange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-48895</wp:posOffset>
            </wp:positionV>
            <wp:extent cx="65817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8">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186" w:lineRule="exact"/>
        <w:rPr>
          <w:sz w:val="20"/>
          <w:szCs w:val="20"/>
          <w:color w:val="auto"/>
        </w:rPr>
      </w:pPr>
    </w:p>
    <w:p>
      <w:pPr>
        <w:jc w:val="both"/>
        <w:ind w:left="1440" w:right="20"/>
        <w:spacing w:after="0" w:line="204" w:lineRule="auto"/>
        <w:rPr>
          <w:sz w:val="20"/>
          <w:szCs w:val="20"/>
          <w:color w:val="auto"/>
        </w:rPr>
      </w:pPr>
      <w:r>
        <w:rPr>
          <w:rFonts w:ascii="Calibri" w:cs="Calibri" w:eastAsia="Calibri" w:hAnsi="Calibri"/>
          <w:sz w:val="19"/>
          <w:szCs w:val="19"/>
          <w:color w:val="auto"/>
        </w:rPr>
        <w:t>Employee will be required to fle statstcal forms with the Bulgarian Natonal Bank annually regarding Employee’s receivables in foreign bank accounts as well as securites held abroad (</w:t>
      </w:r>
      <w:r>
        <w:rPr>
          <w:rFonts w:ascii="Calibri" w:cs="Calibri" w:eastAsia="Calibri" w:hAnsi="Calibri"/>
          <w:sz w:val="19"/>
          <w:szCs w:val="19"/>
          <w:i w:val="1"/>
          <w:iCs w:val="1"/>
          <w:color w:val="auto"/>
        </w:rPr>
        <w:t>e.g.</w:t>
      </w:r>
      <w:r>
        <w:rPr>
          <w:rFonts w:ascii="Calibri" w:cs="Calibri" w:eastAsia="Calibri" w:hAnsi="Calibri"/>
          <w:sz w:val="19"/>
          <w:szCs w:val="19"/>
          <w:color w:val="auto"/>
        </w:rPr>
        <w:t>, shares of Stock acquired under the Plan) if the total sum of all such receivables and securites equals or exceeds a specifed threshold (currently BGN 50,000) as of the previous calendar year-end. Employee is personally responsible for complying with the applicable exchange control requirements in Bulgaria.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85725</wp:posOffset>
            </wp:positionV>
            <wp:extent cx="65817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9">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ectPr>
          <w:pgSz w:w="11900" w:h="16838" w:orient="portrait"/>
          <w:cols w:equalWidth="0" w:num="1">
            <w:col w:w="10220"/>
          </w:cols>
          <w:pgMar w:left="400" w:top="933" w:right="1279" w:bottom="1440" w:gutter="0" w:footer="0" w:header="0"/>
          <w:type w:val="continuous"/>
        </w:sectPr>
      </w:pPr>
    </w:p>
    <w:bookmarkStart w:id="105" w:name="page106"/>
    <w:bookmarkEnd w:id="105"/>
    <w:p>
      <w:pPr>
        <w:spacing w:after="0"/>
        <w:tabs>
          <w:tab w:leader="none" w:pos="1420" w:val="left"/>
        </w:tabs>
        <w:rPr>
          <w:sz w:val="20"/>
          <w:szCs w:val="20"/>
          <w:color w:val="auto"/>
        </w:rPr>
      </w:pPr>
      <w:r>
        <w:rPr>
          <w:rFonts w:ascii="Calibri" w:cs="Calibri" w:eastAsia="Calibri" w:hAnsi="Calibri"/>
          <w:sz w:val="38"/>
          <w:szCs w:val="38"/>
          <w:b w:val="1"/>
          <w:bCs w:val="1"/>
          <w:color w:val="auto"/>
          <w:vertAlign w:val="subscript"/>
        </w:rPr>
        <w:t>Canada</w:t>
      </w:r>
      <w:r>
        <w:rPr>
          <w:sz w:val="20"/>
          <w:szCs w:val="20"/>
          <w:color w:val="auto"/>
        </w:rPr>
        <w:tab/>
      </w:r>
      <w:r>
        <w:rPr>
          <w:rFonts w:ascii="Arial" w:cs="Arial" w:eastAsia="Arial" w:hAnsi="Arial"/>
          <w:sz w:val="15"/>
          <w:szCs w:val="15"/>
          <w:b w:val="1"/>
          <w:bCs w:val="1"/>
          <w:color w:val="auto"/>
        </w:rPr>
        <w:t>Settlement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-17145</wp:posOffset>
            </wp:positionV>
            <wp:extent cx="65817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0">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301" w:lineRule="exact"/>
        <w:rPr>
          <w:sz w:val="20"/>
          <w:szCs w:val="20"/>
          <w:color w:val="auto"/>
        </w:rPr>
      </w:pPr>
    </w:p>
    <w:p>
      <w:pPr>
        <w:jc w:val="both"/>
        <w:ind w:left="1440"/>
        <w:spacing w:after="0" w:line="259" w:lineRule="auto"/>
        <w:rPr>
          <w:sz w:val="20"/>
          <w:szCs w:val="20"/>
          <w:color w:val="auto"/>
        </w:rPr>
      </w:pPr>
      <w:r>
        <w:rPr>
          <w:rFonts w:ascii="Arial" w:cs="Arial" w:eastAsia="Arial" w:hAnsi="Arial"/>
          <w:sz w:val="15"/>
          <w:szCs w:val="15"/>
          <w:color w:val="auto"/>
        </w:rPr>
        <w:t>The grant of the Restricted Stock Units does not provide any right for Employee to receive a cash payment; the Restricted Stock Units will be settled only in shares of Stock.</w:t>
      </w:r>
    </w:p>
    <w:p>
      <w:pPr>
        <w:spacing w:after="0" w:line="103" w:lineRule="exact"/>
        <w:rPr>
          <w:sz w:val="20"/>
          <w:szCs w:val="20"/>
          <w:color w:val="auto"/>
        </w:rPr>
      </w:pPr>
    </w:p>
    <w:p>
      <w:pPr>
        <w:ind w:left="1440"/>
        <w:spacing w:after="0"/>
        <w:rPr>
          <w:sz w:val="20"/>
          <w:szCs w:val="20"/>
          <w:color w:val="auto"/>
        </w:rPr>
      </w:pPr>
      <w:r>
        <w:rPr>
          <w:rFonts w:ascii="Arial" w:cs="Arial" w:eastAsia="Arial" w:hAnsi="Arial"/>
          <w:sz w:val="15"/>
          <w:szCs w:val="15"/>
          <w:b w:val="1"/>
          <w:bCs w:val="1"/>
          <w:color w:val="auto"/>
        </w:rPr>
        <w:t>Termination of Employment</w:t>
      </w:r>
    </w:p>
    <w:p>
      <w:pPr>
        <w:spacing w:after="0" w:line="152"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This provision replaces Paragraph 3(c) of the Agreement:</w:t>
      </w:r>
    </w:p>
    <w:p>
      <w:pPr>
        <w:spacing w:after="0" w:line="163" w:lineRule="exact"/>
        <w:rPr>
          <w:sz w:val="20"/>
          <w:szCs w:val="20"/>
          <w:color w:val="auto"/>
        </w:rPr>
      </w:pPr>
    </w:p>
    <w:p>
      <w:pPr>
        <w:jc w:val="both"/>
        <w:ind w:left="1440"/>
        <w:spacing w:after="0" w:line="228" w:lineRule="auto"/>
        <w:rPr>
          <w:sz w:val="20"/>
          <w:szCs w:val="20"/>
          <w:color w:val="auto"/>
        </w:rPr>
      </w:pPr>
      <w:r>
        <w:rPr>
          <w:rFonts w:ascii="Arial" w:cs="Arial" w:eastAsia="Arial" w:hAnsi="Arial"/>
          <w:sz w:val="15"/>
          <w:szCs w:val="15"/>
          <w:color w:val="auto"/>
        </w:rPr>
        <w:t>In the event of a termination of Employee’s employment with the Company or any Subsidiary or affiliated companies for any reason except as otherwise provided in this Paragraph 3, Employee shall, for no consideration, forfeit all Restricted Stock Units to the extent they are not fully vested as of the Termination Date. For purposes of the Restricted Stock Units, Employee's Termination Date will occur on, and Employee's right (if any) to earn, seek damages in lieu of, vest in or otherwise benefit from any portion of the Restricted Stock Units pursuant to this Agreement will be measured by, the date that is the earliest of:</w:t>
      </w:r>
    </w:p>
    <w:p>
      <w:pPr>
        <w:spacing w:after="0" w:line="122" w:lineRule="exact"/>
        <w:rPr>
          <w:sz w:val="20"/>
          <w:szCs w:val="20"/>
          <w:color w:val="auto"/>
        </w:rPr>
      </w:pPr>
    </w:p>
    <w:p>
      <w:pPr>
        <w:ind w:left="2360" w:hanging="304"/>
        <w:spacing w:after="0"/>
        <w:tabs>
          <w:tab w:leader="none" w:pos="23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date Employee's employment with the Employer is terminated for any reason; and</w:t>
      </w:r>
    </w:p>
    <w:p>
      <w:pPr>
        <w:spacing w:after="0" w:line="149" w:lineRule="exact"/>
        <w:rPr>
          <w:rFonts w:ascii="Arial" w:cs="Arial" w:eastAsia="Arial" w:hAnsi="Arial"/>
          <w:sz w:val="15"/>
          <w:szCs w:val="15"/>
          <w:color w:val="auto"/>
        </w:rPr>
      </w:pPr>
    </w:p>
    <w:p>
      <w:pPr>
        <w:ind w:left="2360" w:hanging="304"/>
        <w:spacing w:after="0"/>
        <w:tabs>
          <w:tab w:leader="none" w:pos="23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date Employee receives written notice of termination from the Employer;</w:t>
      </w:r>
    </w:p>
    <w:p>
      <w:pPr>
        <w:spacing w:after="0" w:line="163" w:lineRule="exact"/>
        <w:rPr>
          <w:sz w:val="20"/>
          <w:szCs w:val="20"/>
          <w:color w:val="auto"/>
        </w:rPr>
      </w:pPr>
    </w:p>
    <w:p>
      <w:pPr>
        <w:jc w:val="both"/>
        <w:ind w:left="1440"/>
        <w:spacing w:after="0"/>
        <w:rPr>
          <w:sz w:val="20"/>
          <w:szCs w:val="20"/>
          <w:color w:val="auto"/>
        </w:rPr>
      </w:pPr>
      <w:r>
        <w:rPr>
          <w:rFonts w:ascii="Arial" w:cs="Arial" w:eastAsia="Arial" w:hAnsi="Arial"/>
          <w:sz w:val="15"/>
          <w:szCs w:val="15"/>
          <w:color w:val="auto"/>
        </w:rPr>
        <w:t>regardless of any period during which notice, pay in lieu of notice or related payments or damages are provided or required to be provided under local law. For greater certainty, Employee will not earn or be entitled to any pro-rated vesting for that portion of time before the date on which Employee's right to vest terminates, nor will Employee be entitled to any compensation for lost vesting.</w:t>
      </w:r>
    </w:p>
    <w:p>
      <w:pPr>
        <w:spacing w:after="0" w:line="269" w:lineRule="exact"/>
        <w:rPr>
          <w:sz w:val="20"/>
          <w:szCs w:val="20"/>
          <w:color w:val="auto"/>
        </w:rPr>
      </w:pPr>
    </w:p>
    <w:p>
      <w:pPr>
        <w:jc w:val="both"/>
        <w:ind w:left="1440"/>
        <w:spacing w:after="0" w:line="232" w:lineRule="auto"/>
        <w:rPr>
          <w:sz w:val="20"/>
          <w:szCs w:val="20"/>
          <w:color w:val="auto"/>
        </w:rPr>
      </w:pPr>
      <w:r>
        <w:rPr>
          <w:rFonts w:ascii="Arial" w:cs="Arial" w:eastAsia="Arial" w:hAnsi="Arial"/>
          <w:sz w:val="15"/>
          <w:szCs w:val="15"/>
          <w:color w:val="auto"/>
        </w:rPr>
        <w:t>Notwithstanding the foregoing, if applicable employment standards legislation explicitly requires continued vesting during a statutory notice period, Employee's right to vest in the Restricted Stock Units, if any, will terminate effective upon the expiry of the minimum statutory notice period, but Employee will not earn or be entitled to pro-rated vesting if the vesting date falls after the end of the statutory notice period, nor will Employee be entitled to any compensation for lost vesting.</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5"/>
          <w:szCs w:val="15"/>
          <w:b w:val="1"/>
          <w:bCs w:val="1"/>
          <w:color w:val="auto"/>
        </w:rPr>
        <w:t>Foreign Ownership Information</w:t>
      </w:r>
    </w:p>
    <w:p>
      <w:pPr>
        <w:spacing w:after="0" w:line="165" w:lineRule="exact"/>
        <w:rPr>
          <w:sz w:val="20"/>
          <w:szCs w:val="20"/>
          <w:color w:val="auto"/>
        </w:rPr>
      </w:pPr>
    </w:p>
    <w:p>
      <w:pPr>
        <w:jc w:val="both"/>
        <w:ind w:left="1440"/>
        <w:spacing w:after="0" w:line="232" w:lineRule="auto"/>
        <w:rPr>
          <w:sz w:val="20"/>
          <w:szCs w:val="20"/>
          <w:color w:val="auto"/>
        </w:rPr>
      </w:pPr>
      <w:r>
        <w:rPr>
          <w:rFonts w:ascii="Arial" w:cs="Arial" w:eastAsia="Arial" w:hAnsi="Arial"/>
          <w:sz w:val="15"/>
          <w:szCs w:val="15"/>
          <w:color w:val="auto"/>
        </w:rPr>
        <w:t>If Employee is a Canadian resident, Employee’s ownership of certain foreign property (including shares of foreign corporations) in excess of a specified threshold (currently CAD 100,000) may be subject to ongoing annual reporting obligations. Employee should refer to CRA Form T1135 (Foreign Income Verification Statement) and consult his/her tax advisor for further details. It is Employee’s responsibility to comply with all applicable tax reporting requirements.</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5"/>
          <w:szCs w:val="15"/>
          <w:b w:val="1"/>
          <w:bCs w:val="1"/>
          <w:color w:val="auto"/>
        </w:rPr>
        <w:t>Data Privacy</w:t>
      </w:r>
    </w:p>
    <w:p>
      <w:pPr>
        <w:spacing w:after="0" w:line="87"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The following provision supplements Paragraph 10 of the Agreement:</w:t>
      </w:r>
    </w:p>
    <w:p>
      <w:pPr>
        <w:spacing w:after="0" w:line="85" w:lineRule="exact"/>
        <w:rPr>
          <w:sz w:val="20"/>
          <w:szCs w:val="20"/>
          <w:color w:val="auto"/>
        </w:rPr>
      </w:pPr>
    </w:p>
    <w:p>
      <w:pPr>
        <w:jc w:val="both"/>
        <w:ind w:left="1440"/>
        <w:spacing w:after="0" w:line="228" w:lineRule="auto"/>
        <w:rPr>
          <w:sz w:val="20"/>
          <w:szCs w:val="20"/>
          <w:color w:val="auto"/>
        </w:rPr>
      </w:pPr>
      <w:r>
        <w:rPr>
          <w:rFonts w:ascii="Arial" w:cs="Arial" w:eastAsia="Arial" w:hAnsi="Arial"/>
          <w:sz w:val="15"/>
          <w:szCs w:val="15"/>
          <w:color w:val="auto"/>
        </w:rPr>
        <w:t>Employee hereby authorizes the Company and the Company’s representatives to discuss with and obtain all relevant information from all personnel, professional or not, involved in the administration and operation of the Plan. Employee further authorizes the Company and any Subsidiary or affiliated company and the administrator of the Plan to disclose and discuss the Plan with their advisors. Employee further authorizes the Company and any Subsidiary or affiliated company to record such information and to keep such information in Employee’s employee file.</w:t>
      </w:r>
    </w:p>
    <w:p>
      <w:pPr>
        <w:spacing w:after="0" w:line="55" w:lineRule="exact"/>
        <w:rPr>
          <w:sz w:val="20"/>
          <w:szCs w:val="20"/>
          <w:color w:val="auto"/>
        </w:rPr>
      </w:pPr>
    </w:p>
    <w:p>
      <w:pPr>
        <w:ind w:left="1440"/>
        <w:spacing w:after="0"/>
        <w:rPr>
          <w:sz w:val="20"/>
          <w:szCs w:val="20"/>
          <w:color w:val="auto"/>
        </w:rPr>
      </w:pPr>
      <w:r>
        <w:rPr>
          <w:rFonts w:ascii="Arial" w:cs="Arial" w:eastAsia="Arial" w:hAnsi="Arial"/>
          <w:sz w:val="15"/>
          <w:szCs w:val="15"/>
          <w:b w:val="1"/>
          <w:bCs w:val="1"/>
          <w:color w:val="auto"/>
        </w:rPr>
        <w:t>French Language Documents (Employees in Quebec)</w:t>
      </w:r>
    </w:p>
    <w:p>
      <w:pPr>
        <w:spacing w:after="0" w:line="87" w:lineRule="exact"/>
        <w:rPr>
          <w:sz w:val="20"/>
          <w:szCs w:val="20"/>
          <w:color w:val="auto"/>
        </w:rPr>
      </w:pPr>
    </w:p>
    <w:p>
      <w:pPr>
        <w:jc w:val="both"/>
        <w:ind w:left="1440"/>
        <w:spacing w:after="0" w:line="228" w:lineRule="auto"/>
        <w:rPr>
          <w:sz w:val="20"/>
          <w:szCs w:val="20"/>
          <w:color w:val="auto"/>
        </w:rPr>
      </w:pPr>
      <w:r>
        <w:rPr>
          <w:rFonts w:ascii="Arial" w:cs="Arial" w:eastAsia="Arial" w:hAnsi="Arial"/>
          <w:sz w:val="15"/>
          <w:szCs w:val="15"/>
          <w:color w:val="auto"/>
        </w:rPr>
        <w:t>A French translation of the Plan and the Agreement will be made available to Employee as soon as reasonably practicable. Employee understands that, from time to time, additional information related to the offering of the Plan might be provided in English and such information may not be immediately available in French. Notwithstanding anything to the contrary in the Plan or the Agreement, and unless Employee indicates otherwise, the French translation of the Plan and the Agreement will govern Employee's participation in the Plan.</w:t>
      </w:r>
    </w:p>
    <w:p>
      <w:pPr>
        <w:spacing w:after="0" w:line="57" w:lineRule="exact"/>
        <w:rPr>
          <w:sz w:val="20"/>
          <w:szCs w:val="20"/>
          <w:color w:val="auto"/>
        </w:rPr>
      </w:pPr>
    </w:p>
    <w:p>
      <w:pPr>
        <w:jc w:val="both"/>
        <w:ind w:left="1440"/>
        <w:spacing w:after="0" w:line="228" w:lineRule="auto"/>
        <w:rPr>
          <w:sz w:val="20"/>
          <w:szCs w:val="20"/>
          <w:color w:val="auto"/>
        </w:rPr>
      </w:pPr>
      <w:r>
        <w:rPr>
          <w:rFonts w:ascii="Arial" w:cs="Arial" w:eastAsia="Arial" w:hAnsi="Arial"/>
          <w:sz w:val="15"/>
          <w:szCs w:val="15"/>
          <w:i w:val="1"/>
          <w:iCs w:val="1"/>
          <w:color w:val="auto"/>
        </w:rPr>
        <w:t>Une traduction en français du Plan et de le Contrat sera mise à la disposition de le Salarié dès que raisonnablement possible. Le Salarié comprend que, de temps à autre, des renseignements supplémentaires liés à l’offre du Plan peuvent être fournies en anglais et que ces informations peuvent ne pas être immédiatement disponibles en français. Nonobstant toute disposition contraire dans le Plan ou le Contrat, et à moins que le Salarié n’indiquiez le contraire, la traduction française de Plan et de le Contract régira la participation de le Salarié au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68580</wp:posOffset>
            </wp:positionV>
            <wp:extent cx="65817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1">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ectPr>
          <w:pgSz w:w="11900" w:h="16838" w:orient="portrait"/>
          <w:cols w:equalWidth="0" w:num="1">
            <w:col w:w="10220"/>
          </w:cols>
          <w:pgMar w:left="400" w:top="516" w:right="1279" w:bottom="1440" w:gutter="0" w:footer="0" w:header="0"/>
        </w:sectPr>
      </w:pPr>
    </w:p>
    <w:bookmarkStart w:id="106" w:name="page107"/>
    <w:bookmarkEnd w:id="106"/>
    <w:p>
      <w:pPr>
        <w:spacing w:after="0"/>
        <w:tabs>
          <w:tab w:leader="none" w:pos="1420" w:val="left"/>
        </w:tabs>
        <w:rPr>
          <w:sz w:val="20"/>
          <w:szCs w:val="20"/>
          <w:color w:val="auto"/>
        </w:rPr>
      </w:pPr>
      <w:r>
        <w:rPr>
          <w:rFonts w:ascii="Calibri" w:cs="Calibri" w:eastAsia="Calibri" w:hAnsi="Calibri"/>
          <w:sz w:val="38"/>
          <w:szCs w:val="38"/>
          <w:b w:val="1"/>
          <w:bCs w:val="1"/>
          <w:color w:val="auto"/>
          <w:vertAlign w:val="subscript"/>
        </w:rPr>
        <w:t>China</w:t>
      </w:r>
      <w:r>
        <w:rPr>
          <w:sz w:val="20"/>
          <w:szCs w:val="20"/>
          <w:color w:val="auto"/>
        </w:rPr>
        <w:tab/>
      </w:r>
      <w:r>
        <w:rPr>
          <w:rFonts w:ascii="Calibri" w:cs="Calibri" w:eastAsia="Calibri" w:hAnsi="Calibri"/>
          <w:sz w:val="15"/>
          <w:szCs w:val="15"/>
          <w:b w:val="1"/>
          <w:bCs w:val="1"/>
          <w:color w:val="auto"/>
        </w:rPr>
        <w:t>Foreign Exchange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wp:posOffset>
            </wp:positionV>
            <wp:extent cx="65817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2">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249" w:lineRule="exact"/>
        <w:rPr>
          <w:sz w:val="20"/>
          <w:szCs w:val="20"/>
          <w:color w:val="auto"/>
        </w:rPr>
      </w:pPr>
    </w:p>
    <w:p>
      <w:pPr>
        <w:jc w:val="both"/>
        <w:ind w:left="1440"/>
        <w:spacing w:after="0" w:line="221" w:lineRule="auto"/>
        <w:rPr>
          <w:sz w:val="20"/>
          <w:szCs w:val="20"/>
          <w:color w:val="auto"/>
        </w:rPr>
      </w:pPr>
      <w:r>
        <w:rPr>
          <w:rFonts w:ascii="Calibri" w:cs="Calibri" w:eastAsia="Calibri" w:hAnsi="Calibri"/>
          <w:sz w:val="15"/>
          <w:szCs w:val="15"/>
          <w:i w:val="1"/>
          <w:iCs w:val="1"/>
          <w:color w:val="auto"/>
        </w:rPr>
        <w:t>The following terms apply only to natonals of the People’s Republic of China (“China” or the “PRC”) residing in mainland China, unless otherwise determined by the Company</w:t>
      </w:r>
      <w:r>
        <w:rPr>
          <w:rFonts w:ascii="Calibri" w:cs="Calibri" w:eastAsia="Calibri" w:hAnsi="Calibri"/>
          <w:sz w:val="15"/>
          <w:szCs w:val="15"/>
          <w:color w:val="auto"/>
        </w:rPr>
        <w:t>:</w:t>
      </w:r>
    </w:p>
    <w:p>
      <w:pPr>
        <w:spacing w:after="0" w:line="153" w:lineRule="exact"/>
        <w:rPr>
          <w:sz w:val="20"/>
          <w:szCs w:val="20"/>
          <w:color w:val="auto"/>
        </w:rPr>
      </w:pPr>
    </w:p>
    <w:p>
      <w:pPr>
        <w:jc w:val="both"/>
        <w:ind w:left="1440"/>
        <w:spacing w:after="0" w:line="209" w:lineRule="auto"/>
        <w:rPr>
          <w:sz w:val="20"/>
          <w:szCs w:val="20"/>
          <w:color w:val="auto"/>
        </w:rPr>
      </w:pPr>
      <w:r>
        <w:rPr>
          <w:rFonts w:ascii="Calibri" w:cs="Calibri" w:eastAsia="Calibri" w:hAnsi="Calibri"/>
          <w:sz w:val="15"/>
          <w:szCs w:val="15"/>
          <w:color w:val="auto"/>
        </w:rPr>
        <w:t>Employee agrees to hold the shares of Stock received upon setlement of the Restricted Stock Units with the Company’s Stock Plan Administrator untl the shares of Stock are sold. In additon, if the Company changes its designated Stock Plan Administrator, Employee acknowledges and agrees that the Company may transfer any/all shares of Stock acquired under the Plan to the new Stock Plan Administrator, if necessary for legal or administratve reasons, and hereby directs, instructs and authorizes the Company to issue transfer instructons on Employees' behalf. Employee agrees to sign (electronically or otherwise, in the manner designated by the Company) any documentaton necessary to facilitate such transfer of shares of Stock.</w:t>
      </w:r>
    </w:p>
    <w:p>
      <w:pPr>
        <w:spacing w:after="0" w:line="178" w:lineRule="exact"/>
        <w:rPr>
          <w:sz w:val="20"/>
          <w:szCs w:val="20"/>
          <w:color w:val="auto"/>
        </w:rPr>
      </w:pPr>
    </w:p>
    <w:p>
      <w:pPr>
        <w:jc w:val="both"/>
        <w:ind w:left="1440"/>
        <w:spacing w:after="0" w:line="208" w:lineRule="auto"/>
        <w:rPr>
          <w:sz w:val="20"/>
          <w:szCs w:val="20"/>
          <w:color w:val="auto"/>
        </w:rPr>
      </w:pPr>
      <w:r>
        <w:rPr>
          <w:rFonts w:ascii="Calibri" w:cs="Calibri" w:eastAsia="Calibri" w:hAnsi="Calibri"/>
          <w:sz w:val="15"/>
          <w:szCs w:val="15"/>
          <w:color w:val="auto"/>
        </w:rPr>
        <w:t>By acceptng the Restricted Stock Units, Employee understands and agrees that Employee will be required to immediately repatriate all proceeds due to Employee from the sale of shares of Stock acquired under the Plan. Further, Employee understands that such repatriaton will need to be efected through a special exchange control account established by the Company or its afliated company in the PRC, and Employee hereby agrees that the proceeds may be transferred to such special account prior to being delivered to Employee and that no interest shall be paid with respect to funds held in such account. Employee acknowledges that neither the Company nor the Stock Plan Administrator is under any obligaton to arrange for the sale of shares of Stock at any partcular price (it being understood that the sale will occur in the market) and that broker’s fees and similar expenses may be incurred in any such sale.</w:t>
      </w:r>
    </w:p>
    <w:p>
      <w:pPr>
        <w:spacing w:after="0" w:line="178" w:lineRule="exact"/>
        <w:rPr>
          <w:sz w:val="20"/>
          <w:szCs w:val="20"/>
          <w:color w:val="auto"/>
        </w:rPr>
      </w:pPr>
    </w:p>
    <w:p>
      <w:pPr>
        <w:jc w:val="both"/>
        <w:ind w:left="1440"/>
        <w:spacing w:after="0" w:line="206" w:lineRule="auto"/>
        <w:rPr>
          <w:sz w:val="20"/>
          <w:szCs w:val="20"/>
          <w:color w:val="auto"/>
        </w:rPr>
      </w:pPr>
      <w:r>
        <w:rPr>
          <w:rFonts w:ascii="Calibri" w:cs="Calibri" w:eastAsia="Calibri" w:hAnsi="Calibri"/>
          <w:sz w:val="15"/>
          <w:szCs w:val="15"/>
          <w:color w:val="auto"/>
        </w:rPr>
        <w:t>The proceeds may be paid to Employee in U.S. dollars or in local currency, at the Company’s discreton. If the proceeds are paid in U.S. dollars, Employee understands that Employee will be required to set up and maintain a U.S. dollar bank account in the PRC so that the proceeds may be deposited into this account. Employee understands that if Employee fails to set up such account or fails to provide the requested details to the Company, Employee might not be able to receive sale proceeds or the delivery of proceeds may be delayed. If the proceeds are paid in local currency, Employee acknowledges that neither the Company nor any of its Subsidiaries or afliated companies is under an obligaton to secure any partcular currency conversion rate and that the Company or any Subsidiaries and afliated companies may face delays in convertng the proceeds to local currency due to exchange control requirements in the PRC. Employee agrees to bear any currency fuctuaton risk between the tme the shares of Stock are sold and the tme the proceeds are converted into local currency and distributed to Employee. Employee further agrees to comply with any other requirements that may be imposed by the Company in the future to facilitate compliance with PRC exchange control requirements.</w:t>
      </w:r>
    </w:p>
    <w:p>
      <w:pPr>
        <w:spacing w:after="0" w:line="182" w:lineRule="exact"/>
        <w:rPr>
          <w:sz w:val="20"/>
          <w:szCs w:val="20"/>
          <w:color w:val="auto"/>
        </w:rPr>
      </w:pPr>
    </w:p>
    <w:p>
      <w:pPr>
        <w:jc w:val="both"/>
        <w:ind w:left="1440"/>
        <w:spacing w:after="0" w:line="207" w:lineRule="auto"/>
        <w:rPr>
          <w:sz w:val="20"/>
          <w:szCs w:val="20"/>
          <w:color w:val="auto"/>
        </w:rPr>
      </w:pPr>
      <w:r>
        <w:rPr>
          <w:rFonts w:ascii="Calibri" w:cs="Calibri" w:eastAsia="Calibri" w:hAnsi="Calibri"/>
          <w:sz w:val="15"/>
          <w:szCs w:val="15"/>
          <w:color w:val="auto"/>
        </w:rPr>
        <w:t>Notwithstanding any provision in the Agreement or the Plan to the contrary, due to exchange control regulatons in the PRC, Employee understands and agrees that, to the extent Restricted Stock Units remain outstanding afer Employee’s terminaton of employment, such Restricted Stock Units will be cancelled on the 90th day following Employee’s terminaton of employment or within such other period as determined by the Company or required by the China State Administraton of Foreign Exchange (“SAFE”). Further, Employee will be required to sell shares of Stock Employee holds within 90 days following Employee’s terminaton of employment or within such other period as determined by the Company or required by the SAFE (the “Mandatory Sale Date”). This includes any porton of shares of Stock that vest upon Employee’s terminaton of employment. Employee understands that any shares of Stock held by Employee under the Plan that have not been sold by the Mandatory Sale Date will automatcally be sold by the Company’s Stock Plan Administrator at the Company’s directon (on Employee’s behalf pursuant to this authorizaton without further consent).</w:t>
      </w:r>
    </w:p>
    <w:p>
      <w:pPr>
        <w:spacing w:after="0" w:line="177" w:lineRule="exact"/>
        <w:rPr>
          <w:sz w:val="20"/>
          <w:szCs w:val="20"/>
          <w:color w:val="auto"/>
        </w:rPr>
      </w:pPr>
    </w:p>
    <w:p>
      <w:pPr>
        <w:jc w:val="both"/>
        <w:ind w:left="1440" w:right="20"/>
        <w:spacing w:after="0" w:line="212" w:lineRule="auto"/>
        <w:rPr>
          <w:sz w:val="20"/>
          <w:szCs w:val="20"/>
          <w:color w:val="auto"/>
        </w:rPr>
      </w:pPr>
      <w:r>
        <w:rPr>
          <w:rFonts w:ascii="Calibri" w:cs="Calibri" w:eastAsia="Calibri" w:hAnsi="Calibri"/>
          <w:sz w:val="15"/>
          <w:szCs w:val="15"/>
          <w:color w:val="auto"/>
        </w:rPr>
        <w:t>Neither the Company nor its Subsidiaries or afliated companies shall be liable for any costs, fees, lost interest or dividends or other losses Employee may incur or sufer resultng from the enforcement of the terms of this Addendum or otherwise from the Company’s operaton and enforcement of the terms of the Plan, the Agreement, and the Restricted Stock Units in accordance with Chinese law including, without limitaton, any applicable rules, regulatons, requirements and approvals issued by SAFE.</w:t>
      </w:r>
    </w:p>
    <w:p>
      <w:pPr>
        <w:spacing w:after="0" w:line="178" w:lineRule="exact"/>
        <w:rPr>
          <w:sz w:val="20"/>
          <w:szCs w:val="20"/>
          <w:color w:val="auto"/>
        </w:rPr>
      </w:pPr>
    </w:p>
    <w:p>
      <w:pPr>
        <w:ind w:left="1440"/>
        <w:spacing w:after="0"/>
        <w:rPr>
          <w:sz w:val="20"/>
          <w:szCs w:val="20"/>
          <w:color w:val="auto"/>
        </w:rPr>
      </w:pPr>
      <w:r>
        <w:rPr>
          <w:rFonts w:ascii="Calibri" w:cs="Calibri" w:eastAsia="Calibri" w:hAnsi="Calibri"/>
          <w:sz w:val="15"/>
          <w:szCs w:val="15"/>
          <w:b w:val="1"/>
          <w:bCs w:val="1"/>
          <w:color w:val="auto"/>
        </w:rPr>
        <w:t>Internal Control Policy</w:t>
      </w:r>
    </w:p>
    <w:p>
      <w:pPr>
        <w:spacing w:after="0" w:line="139" w:lineRule="exact"/>
        <w:rPr>
          <w:sz w:val="20"/>
          <w:szCs w:val="20"/>
          <w:color w:val="auto"/>
        </w:rPr>
      </w:pPr>
    </w:p>
    <w:p>
      <w:pPr>
        <w:jc w:val="both"/>
        <w:ind w:left="1440" w:right="20"/>
        <w:spacing w:after="0" w:line="215" w:lineRule="auto"/>
        <w:rPr>
          <w:sz w:val="20"/>
          <w:szCs w:val="20"/>
          <w:color w:val="auto"/>
        </w:rPr>
      </w:pPr>
      <w:r>
        <w:rPr>
          <w:rFonts w:ascii="Calibri" w:cs="Calibri" w:eastAsia="Calibri" w:hAnsi="Calibri"/>
          <w:sz w:val="15"/>
          <w:szCs w:val="15"/>
          <w:color w:val="auto"/>
        </w:rPr>
        <w:t>Employee understands that the Restricted Stock Units are also subject to the separate Internal Control Policy for Employees in the PRC, which is provided by Employee’s Human Resources Department. Employee understands that he/she can contact the Human Resources Department for a copy of the policy.</w:t>
      </w:r>
    </w:p>
    <w:p>
      <w:pPr>
        <w:spacing w:after="0" w:line="178" w:lineRule="exact"/>
        <w:rPr>
          <w:sz w:val="20"/>
          <w:szCs w:val="20"/>
          <w:color w:val="auto"/>
        </w:rPr>
      </w:pPr>
    </w:p>
    <w:p>
      <w:pPr>
        <w:ind w:left="1440"/>
        <w:spacing w:after="0"/>
        <w:rPr>
          <w:sz w:val="20"/>
          <w:szCs w:val="20"/>
          <w:color w:val="auto"/>
        </w:rPr>
      </w:pPr>
      <w:r>
        <w:rPr>
          <w:rFonts w:ascii="Calibri" w:cs="Calibri" w:eastAsia="Calibri" w:hAnsi="Calibri"/>
          <w:sz w:val="15"/>
          <w:szCs w:val="15"/>
          <w:b w:val="1"/>
          <w:bCs w:val="1"/>
          <w:color w:val="auto"/>
        </w:rPr>
        <w:t>Foreign Ownership Informaton</w:t>
      </w:r>
    </w:p>
    <w:p>
      <w:pPr>
        <w:spacing w:after="0" w:line="178" w:lineRule="exact"/>
        <w:rPr>
          <w:sz w:val="20"/>
          <w:szCs w:val="20"/>
          <w:color w:val="auto"/>
        </w:rPr>
      </w:pPr>
    </w:p>
    <w:p>
      <w:pPr>
        <w:jc w:val="both"/>
        <w:ind w:left="1440"/>
        <w:spacing w:after="0" w:line="215" w:lineRule="auto"/>
        <w:rPr>
          <w:sz w:val="20"/>
          <w:szCs w:val="20"/>
          <w:color w:val="auto"/>
        </w:rPr>
      </w:pPr>
      <w:r>
        <w:rPr>
          <w:rFonts w:ascii="Calibri" w:cs="Calibri" w:eastAsia="Calibri" w:hAnsi="Calibri"/>
          <w:sz w:val="15"/>
          <w:szCs w:val="15"/>
          <w:color w:val="auto"/>
        </w:rPr>
        <w:t xml:space="preserve">If Employee is a Chinese resident, Employee may be required to report to SAFE all details of Employee’s foreign fnancial assets and liabilites, as well as details of any economic transactons conducted with non-PRC residents. </w:t>
      </w:r>
      <w:r>
        <w:rPr>
          <w:rFonts w:ascii="Calibri" w:cs="Calibri" w:eastAsia="Calibri" w:hAnsi="Calibri"/>
          <w:sz w:val="15"/>
          <w:szCs w:val="15"/>
          <w:i w:val="1"/>
          <w:iCs w:val="1"/>
          <w:color w:val="auto"/>
        </w:rPr>
        <w:t>Employee should consult with his/her personal</w:t>
      </w:r>
      <w:r>
        <w:rPr>
          <w:rFonts w:ascii="Calibri" w:cs="Calibri" w:eastAsia="Calibri" w:hAnsi="Calibri"/>
          <w:sz w:val="15"/>
          <w:szCs w:val="15"/>
          <w:color w:val="auto"/>
        </w:rPr>
        <w:t xml:space="preserve"> </w:t>
      </w:r>
      <w:r>
        <w:rPr>
          <w:rFonts w:ascii="Calibri" w:cs="Calibri" w:eastAsia="Calibri" w:hAnsi="Calibri"/>
          <w:sz w:val="15"/>
          <w:szCs w:val="15"/>
          <w:i w:val="1"/>
          <w:iCs w:val="1"/>
          <w:color w:val="auto"/>
        </w:rPr>
        <w:t>tax advisor to determine Employee’s personal reportng obligatons.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83185</wp:posOffset>
            </wp:positionV>
            <wp:extent cx="65817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3">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ectPr>
          <w:pgSz w:w="11900" w:h="16838" w:orient="portrait"/>
          <w:cols w:equalWidth="0" w:num="1">
            <w:col w:w="10220"/>
          </w:cols>
          <w:pgMar w:left="400" w:top="486" w:right="1279" w:bottom="1440" w:gutter="0" w:footer="0" w:header="0"/>
        </w:sectPr>
      </w:pPr>
    </w:p>
    <w:bookmarkStart w:id="107" w:name="page108"/>
    <w:bookmarkEnd w:id="107"/>
    <w:p>
      <w:pPr>
        <w:spacing w:after="0"/>
        <w:tabs>
          <w:tab w:leader="none" w:pos="1420" w:val="left"/>
        </w:tabs>
        <w:rPr>
          <w:sz w:val="20"/>
          <w:szCs w:val="20"/>
          <w:color w:val="auto"/>
        </w:rPr>
      </w:pPr>
      <w:r>
        <w:rPr>
          <w:rFonts w:ascii="Calibri" w:cs="Calibri" w:eastAsia="Calibri" w:hAnsi="Calibri"/>
          <w:sz w:val="38"/>
          <w:szCs w:val="38"/>
          <w:b w:val="1"/>
          <w:bCs w:val="1"/>
          <w:color w:val="auto"/>
          <w:vertAlign w:val="subscript"/>
        </w:rPr>
        <w:t>Colombia</w:t>
      </w:r>
      <w:r>
        <w:rPr>
          <w:sz w:val="20"/>
          <w:szCs w:val="20"/>
          <w:color w:val="auto"/>
        </w:rPr>
        <w:tab/>
      </w:r>
      <w:r>
        <w:rPr>
          <w:rFonts w:ascii="Calibri" w:cs="Calibri" w:eastAsia="Calibri" w:hAnsi="Calibri"/>
          <w:sz w:val="19"/>
          <w:szCs w:val="19"/>
          <w:b w:val="1"/>
          <w:bCs w:val="1"/>
          <w:color w:val="auto"/>
        </w:rPr>
        <w:t>Labor Law Acknowledgment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65817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4">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225" w:lineRule="exact"/>
        <w:rPr>
          <w:sz w:val="20"/>
          <w:szCs w:val="20"/>
          <w:color w:val="auto"/>
        </w:rPr>
      </w:pPr>
    </w:p>
    <w:p>
      <w:pPr>
        <w:jc w:val="both"/>
        <w:ind w:left="1440"/>
        <w:spacing w:after="0" w:line="201" w:lineRule="auto"/>
        <w:rPr>
          <w:sz w:val="20"/>
          <w:szCs w:val="20"/>
          <w:color w:val="auto"/>
        </w:rPr>
      </w:pPr>
      <w:r>
        <w:rPr>
          <w:rFonts w:ascii="Calibri" w:cs="Calibri" w:eastAsia="Calibri" w:hAnsi="Calibri"/>
          <w:sz w:val="19"/>
          <w:szCs w:val="19"/>
          <w:color w:val="auto"/>
        </w:rPr>
        <w:t>By acceptng the Restricted Stock Units, Employee expressly acknowledges that, pursuant to Artcle 128 of the Colombian Labor Code, the Restricted Stock Units and related benefts do not consttute a component of Employee’s salary for any legal purpose. Therefore, the Restricted Stock Units and related benefts will not be included and/or considered to calculate any and all labor benefts, such as legal/fringe benefts, vacatons, indemnites, payroll taxes, social insurance contributons and/or any other labor-related amount which may be payable, to the fullest extent possible in accordance to Artcle 30 of Law 1393.</w:t>
      </w:r>
    </w:p>
    <w:p>
      <w:pPr>
        <w:spacing w:after="0" w:line="66" w:lineRule="exact"/>
        <w:rPr>
          <w:sz w:val="20"/>
          <w:szCs w:val="20"/>
          <w:color w:val="auto"/>
        </w:rPr>
      </w:pPr>
    </w:p>
    <w:p>
      <w:pPr>
        <w:ind w:left="1440"/>
        <w:spacing w:after="0"/>
        <w:rPr>
          <w:sz w:val="20"/>
          <w:szCs w:val="20"/>
          <w:color w:val="auto"/>
        </w:rPr>
      </w:pPr>
      <w:r>
        <w:rPr>
          <w:rFonts w:ascii="Calibri" w:cs="Calibri" w:eastAsia="Calibri" w:hAnsi="Calibri"/>
          <w:sz w:val="19"/>
          <w:szCs w:val="19"/>
          <w:b w:val="1"/>
          <w:bCs w:val="1"/>
          <w:color w:val="auto"/>
        </w:rPr>
        <w:t>Securites Law Notce</w:t>
      </w:r>
    </w:p>
    <w:p>
      <w:pPr>
        <w:spacing w:after="0" w:line="71" w:lineRule="exact"/>
        <w:rPr>
          <w:sz w:val="20"/>
          <w:szCs w:val="20"/>
          <w:color w:val="auto"/>
        </w:rPr>
      </w:pPr>
    </w:p>
    <w:p>
      <w:pPr>
        <w:jc w:val="both"/>
        <w:ind w:left="1440"/>
        <w:spacing w:after="0" w:line="205" w:lineRule="auto"/>
        <w:rPr>
          <w:sz w:val="20"/>
          <w:szCs w:val="20"/>
          <w:color w:val="auto"/>
        </w:rPr>
      </w:pPr>
      <w:r>
        <w:rPr>
          <w:rFonts w:ascii="Calibri" w:cs="Calibri" w:eastAsia="Calibri" w:hAnsi="Calibri"/>
          <w:sz w:val="19"/>
          <w:szCs w:val="19"/>
          <w:color w:val="auto"/>
        </w:rPr>
        <w:t>The shares of Stock are not and will not be registered in the Colombian registry of publicly traded securites (</w:t>
      </w:r>
      <w:r>
        <w:rPr>
          <w:rFonts w:ascii="Calibri" w:cs="Calibri" w:eastAsia="Calibri" w:hAnsi="Calibri"/>
          <w:sz w:val="19"/>
          <w:szCs w:val="19"/>
          <w:i w:val="1"/>
          <w:iCs w:val="1"/>
          <w:color w:val="auto"/>
        </w:rPr>
        <w:t>Registro Nacional de Valores y Emisores</w:t>
      </w:r>
      <w:r>
        <w:rPr>
          <w:rFonts w:ascii="Calibri" w:cs="Calibri" w:eastAsia="Calibri" w:hAnsi="Calibri"/>
          <w:sz w:val="19"/>
          <w:szCs w:val="19"/>
          <w:color w:val="auto"/>
        </w:rPr>
        <w:t>) and, therefore, the shares of Stock may not be ofered to the public in Colombia. Nothing in the Plan, the Agreement or any other document evidencing the grant of Restricted Stock Units shall be construed as the making of a public ofer of securites in Colombia.</w:t>
      </w:r>
    </w:p>
    <w:p>
      <w:pPr>
        <w:spacing w:after="0" w:line="52" w:lineRule="exact"/>
        <w:rPr>
          <w:sz w:val="20"/>
          <w:szCs w:val="20"/>
          <w:color w:val="auto"/>
        </w:rPr>
      </w:pPr>
    </w:p>
    <w:p>
      <w:pPr>
        <w:ind w:left="1440"/>
        <w:spacing w:after="0"/>
        <w:rPr>
          <w:sz w:val="20"/>
          <w:szCs w:val="20"/>
          <w:color w:val="auto"/>
        </w:rPr>
      </w:pPr>
      <w:r>
        <w:rPr>
          <w:rFonts w:ascii="Calibri" w:cs="Calibri" w:eastAsia="Calibri" w:hAnsi="Calibri"/>
          <w:sz w:val="19"/>
          <w:szCs w:val="19"/>
          <w:b w:val="1"/>
          <w:bCs w:val="1"/>
          <w:color w:val="auto"/>
        </w:rPr>
        <w:t>Foreign Ownership Informaton</w:t>
      </w:r>
    </w:p>
    <w:p>
      <w:pPr>
        <w:spacing w:after="0" w:line="71" w:lineRule="exact"/>
        <w:rPr>
          <w:sz w:val="20"/>
          <w:szCs w:val="20"/>
          <w:color w:val="auto"/>
        </w:rPr>
      </w:pPr>
    </w:p>
    <w:p>
      <w:pPr>
        <w:jc w:val="both"/>
        <w:ind w:left="1440"/>
        <w:spacing w:after="0" w:line="201" w:lineRule="auto"/>
        <w:rPr>
          <w:sz w:val="20"/>
          <w:szCs w:val="20"/>
          <w:color w:val="auto"/>
        </w:rPr>
      </w:pPr>
      <w:r>
        <w:rPr>
          <w:rFonts w:ascii="Calibri" w:cs="Calibri" w:eastAsia="Calibri" w:hAnsi="Calibri"/>
          <w:sz w:val="19"/>
          <w:szCs w:val="19"/>
          <w:color w:val="auto"/>
        </w:rPr>
        <w:t>Prior approval from a government authority is not required to hold foreign securites or to receive an equity award. However, once Employee’s Restricted Stock Units have vested (i.e., when Employee becomes owner of the shares of Stock), such investments must be registered with the Colombian central bank (</w:t>
      </w:r>
      <w:r>
        <w:rPr>
          <w:rFonts w:ascii="Calibri" w:cs="Calibri" w:eastAsia="Calibri" w:hAnsi="Calibri"/>
          <w:sz w:val="19"/>
          <w:szCs w:val="19"/>
          <w:i w:val="1"/>
          <w:iCs w:val="1"/>
          <w:color w:val="auto"/>
        </w:rPr>
        <w:t>Banco de la</w:t>
      </w:r>
      <w:r>
        <w:rPr>
          <w:rFonts w:ascii="Calibri" w:cs="Calibri" w:eastAsia="Calibri" w:hAnsi="Calibri"/>
          <w:sz w:val="19"/>
          <w:szCs w:val="19"/>
          <w:color w:val="auto"/>
        </w:rPr>
        <w:t xml:space="preserve"> </w:t>
      </w:r>
      <w:r>
        <w:rPr>
          <w:rFonts w:ascii="Calibri" w:cs="Calibri" w:eastAsia="Calibri" w:hAnsi="Calibri"/>
          <w:sz w:val="19"/>
          <w:szCs w:val="19"/>
          <w:i w:val="1"/>
          <w:iCs w:val="1"/>
          <w:color w:val="auto"/>
        </w:rPr>
        <w:t>República</w:t>
      </w:r>
      <w:r>
        <w:rPr>
          <w:rFonts w:ascii="Calibri" w:cs="Calibri" w:eastAsia="Calibri" w:hAnsi="Calibri"/>
          <w:sz w:val="19"/>
          <w:szCs w:val="19"/>
          <w:color w:val="auto"/>
        </w:rPr>
        <w:t>, “Central Bank”), at any moment, by fling a Form No. 11. Upon sale or other dispositon of any shares</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of Stock registered with the Central Bank, Employee is required to cancel the registraton and repatriate the proceeds to Colombia and Employee will be required to fle with Employee’s local bank the corresponding foreign exchange form refectng the divestment.</w:t>
      </w:r>
    </w:p>
    <w:p>
      <w:pPr>
        <w:spacing w:after="0" w:line="185" w:lineRule="auto"/>
        <w:tabs>
          <w:tab w:leader="none" w:pos="1420" w:val="left"/>
        </w:tabs>
        <w:rPr>
          <w:sz w:val="20"/>
          <w:szCs w:val="20"/>
          <w:color w:val="auto"/>
        </w:rPr>
      </w:pPr>
      <w:r>
        <w:rPr>
          <w:rFonts w:ascii="Calibri" w:cs="Calibri" w:eastAsia="Calibri" w:hAnsi="Calibri"/>
          <w:sz w:val="24"/>
          <w:szCs w:val="24"/>
          <w:b w:val="1"/>
          <w:bCs w:val="1"/>
          <w:color w:val="auto"/>
          <w:vertAlign w:val="subscript"/>
        </w:rPr>
        <w:t>Denmark</w:t>
      </w:r>
      <w:r>
        <w:rPr>
          <w:sz w:val="20"/>
          <w:szCs w:val="20"/>
          <w:color w:val="auto"/>
        </w:rPr>
        <w:tab/>
      </w:r>
      <w:r>
        <w:rPr>
          <w:rFonts w:ascii="Calibri" w:cs="Calibri" w:eastAsia="Calibri" w:hAnsi="Calibri"/>
          <w:sz w:val="14"/>
          <w:szCs w:val="14"/>
          <w:b w:val="1"/>
          <w:bCs w:val="1"/>
          <w:color w:val="auto"/>
        </w:rPr>
        <w:t>Stock Opton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-122555</wp:posOffset>
            </wp:positionV>
            <wp:extent cx="65817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5">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70" w:lineRule="exact"/>
        <w:rPr>
          <w:sz w:val="20"/>
          <w:szCs w:val="20"/>
          <w:color w:val="auto"/>
        </w:rPr>
      </w:pPr>
    </w:p>
    <w:p>
      <w:pPr>
        <w:jc w:val="both"/>
        <w:ind w:left="1440"/>
        <w:spacing w:after="0" w:line="201" w:lineRule="auto"/>
        <w:rPr>
          <w:sz w:val="20"/>
          <w:szCs w:val="20"/>
          <w:color w:val="auto"/>
        </w:rPr>
      </w:pPr>
      <w:r>
        <w:rPr>
          <w:rFonts w:ascii="Calibri" w:cs="Calibri" w:eastAsia="Calibri" w:hAnsi="Calibri"/>
          <w:sz w:val="19"/>
          <w:szCs w:val="19"/>
          <w:color w:val="auto"/>
        </w:rPr>
        <w:t>Notwithstanding any provisions in the Agreement to the contrary, the treatment of the Restricted Stock Units upon a terminaton of employment (as determined by the Company, in its discreton, in consultaton with legal counsel) shall be governed by the Danish Act on the Use of Rights to Purchase or Subscribe for Shares etc. in Employment Relatonship (the “Stock Opton Act”), as in efect at the tme of Employee’s terminaton date. Employee acknowledges having received an “Employer Statement” in Danish, which is being provided to comply with the Stock Opton Act.</w:t>
      </w:r>
    </w:p>
    <w:p>
      <w:pPr>
        <w:spacing w:after="0" w:line="186" w:lineRule="auto"/>
        <w:tabs>
          <w:tab w:leader="none" w:pos="1420" w:val="left"/>
        </w:tabs>
        <w:rPr>
          <w:sz w:val="20"/>
          <w:szCs w:val="20"/>
          <w:color w:val="auto"/>
        </w:rPr>
      </w:pPr>
      <w:r>
        <w:rPr>
          <w:rFonts w:ascii="Calibri" w:cs="Calibri" w:eastAsia="Calibri" w:hAnsi="Calibri"/>
          <w:sz w:val="24"/>
          <w:szCs w:val="24"/>
          <w:b w:val="1"/>
          <w:bCs w:val="1"/>
          <w:color w:val="auto"/>
          <w:vertAlign w:val="subscript"/>
        </w:rPr>
        <w:t>Egypt</w:t>
      </w:r>
      <w:r>
        <w:rPr>
          <w:sz w:val="20"/>
          <w:szCs w:val="20"/>
          <w:color w:val="auto"/>
        </w:rPr>
        <w:tab/>
      </w:r>
      <w:r>
        <w:rPr>
          <w:rFonts w:ascii="Calibri" w:cs="Calibri" w:eastAsia="Calibri" w:hAnsi="Calibri"/>
          <w:sz w:val="14"/>
          <w:szCs w:val="14"/>
          <w:b w:val="1"/>
          <w:bCs w:val="1"/>
          <w:color w:val="auto"/>
        </w:rPr>
        <w:t>Foreign Exchange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-48895</wp:posOffset>
            </wp:positionV>
            <wp:extent cx="65817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6">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186" w:lineRule="exact"/>
        <w:rPr>
          <w:sz w:val="20"/>
          <w:szCs w:val="20"/>
          <w:color w:val="auto"/>
        </w:rPr>
      </w:pPr>
    </w:p>
    <w:p>
      <w:pPr>
        <w:jc w:val="both"/>
        <w:ind w:left="1440"/>
        <w:spacing w:after="0" w:line="206" w:lineRule="auto"/>
        <w:rPr>
          <w:sz w:val="20"/>
          <w:szCs w:val="20"/>
          <w:color w:val="auto"/>
        </w:rPr>
      </w:pPr>
      <w:r>
        <w:rPr>
          <w:rFonts w:ascii="Calibri" w:cs="Calibri" w:eastAsia="Calibri" w:hAnsi="Calibri"/>
          <w:sz w:val="19"/>
          <w:szCs w:val="19"/>
          <w:color w:val="auto"/>
        </w:rPr>
        <w:t>If Employee transfers funds into Egypt in connecton with the Restricted Stock Units (including proceeds from the sale of shares of Stock), the funds transfer must occur through a registered bank in Egypt. Employee is personally responsible for complying with applicable exchange control requirements in Egypt.</w:t>
      </w:r>
    </w:p>
    <w:p>
      <w:pPr>
        <w:spacing w:after="0" w:line="106" w:lineRule="exact"/>
        <w:rPr>
          <w:sz w:val="20"/>
          <w:szCs w:val="20"/>
          <w:color w:val="auto"/>
        </w:rPr>
      </w:pPr>
    </w:p>
    <w:p>
      <w:pPr>
        <w:ind w:left="1440"/>
        <w:spacing w:after="0"/>
        <w:rPr>
          <w:sz w:val="20"/>
          <w:szCs w:val="20"/>
          <w:color w:val="auto"/>
        </w:rPr>
      </w:pPr>
      <w:r>
        <w:rPr>
          <w:rFonts w:ascii="Calibri" w:cs="Calibri" w:eastAsia="Calibri" w:hAnsi="Calibri"/>
          <w:sz w:val="19"/>
          <w:szCs w:val="19"/>
          <w:b w:val="1"/>
          <w:bCs w:val="1"/>
          <w:color w:val="auto"/>
        </w:rPr>
        <w:t>Data Retenton</w:t>
      </w:r>
    </w:p>
    <w:p>
      <w:pPr>
        <w:spacing w:after="0" w:line="84" w:lineRule="exact"/>
        <w:rPr>
          <w:sz w:val="20"/>
          <w:szCs w:val="20"/>
          <w:color w:val="auto"/>
        </w:rPr>
      </w:pPr>
    </w:p>
    <w:p>
      <w:pPr>
        <w:jc w:val="both"/>
        <w:ind w:left="1440" w:right="20"/>
        <w:spacing w:after="0" w:line="216" w:lineRule="auto"/>
        <w:rPr>
          <w:sz w:val="20"/>
          <w:szCs w:val="20"/>
          <w:color w:val="auto"/>
        </w:rPr>
      </w:pPr>
      <w:r>
        <w:rPr>
          <w:rFonts w:ascii="Calibri" w:cs="Calibri" w:eastAsia="Calibri" w:hAnsi="Calibri"/>
          <w:sz w:val="19"/>
          <w:szCs w:val="19"/>
          <w:color w:val="auto"/>
        </w:rPr>
        <w:t>The Egyptan Labor Law (the “Labor Law”) requires employers to keep fles of all relevant employee informaton of their former employees for a period of one (1) year from the end of the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86360</wp:posOffset>
            </wp:positionV>
            <wp:extent cx="65817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7">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ectPr>
          <w:pgSz w:w="11900" w:h="16838" w:orient="portrait"/>
          <w:cols w:equalWidth="0" w:num="1">
            <w:col w:w="10220"/>
          </w:cols>
          <w:pgMar w:left="400" w:top="527" w:right="1279" w:bottom="1440" w:gutter="0" w:footer="0" w:header="0"/>
        </w:sectPr>
      </w:pPr>
    </w:p>
    <w:bookmarkStart w:id="108" w:name="page109"/>
    <w:bookmarkEnd w:id="108"/>
    <w:p>
      <w:pPr>
        <w:spacing w:after="0"/>
        <w:tabs>
          <w:tab w:leader="none" w:pos="1420" w:val="left"/>
        </w:tabs>
        <w:rPr>
          <w:sz w:val="20"/>
          <w:szCs w:val="20"/>
          <w:color w:val="auto"/>
        </w:rPr>
      </w:pPr>
      <w:r>
        <w:rPr>
          <w:rFonts w:ascii="Calibri" w:cs="Calibri" w:eastAsia="Calibri" w:hAnsi="Calibri"/>
          <w:sz w:val="38"/>
          <w:szCs w:val="38"/>
          <w:b w:val="1"/>
          <w:bCs w:val="1"/>
          <w:color w:val="auto"/>
          <w:vertAlign w:val="subscript"/>
        </w:rPr>
        <w:t>France</w:t>
      </w:r>
      <w:r>
        <w:rPr>
          <w:sz w:val="20"/>
          <w:szCs w:val="20"/>
          <w:color w:val="auto"/>
        </w:rPr>
        <w:tab/>
      </w:r>
      <w:r>
        <w:rPr>
          <w:rFonts w:ascii="Calibri" w:cs="Calibri" w:eastAsia="Calibri" w:hAnsi="Calibri"/>
          <w:sz w:val="19"/>
          <w:szCs w:val="19"/>
          <w:b w:val="1"/>
          <w:bCs w:val="1"/>
          <w:color w:val="auto"/>
        </w:rPr>
        <w:t>Nature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65817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225" w:lineRule="exact"/>
        <w:rPr>
          <w:sz w:val="20"/>
          <w:szCs w:val="20"/>
          <w:color w:val="auto"/>
        </w:rPr>
      </w:pPr>
    </w:p>
    <w:p>
      <w:pPr>
        <w:jc w:val="both"/>
        <w:ind w:left="1440" w:right="20"/>
        <w:spacing w:after="0" w:line="216" w:lineRule="auto"/>
        <w:rPr>
          <w:sz w:val="20"/>
          <w:szCs w:val="20"/>
          <w:color w:val="auto"/>
        </w:rPr>
      </w:pPr>
      <w:r>
        <w:rPr>
          <w:rFonts w:ascii="Calibri" w:cs="Calibri" w:eastAsia="Calibri" w:hAnsi="Calibri"/>
          <w:sz w:val="19"/>
          <w:szCs w:val="19"/>
          <w:color w:val="auto"/>
        </w:rPr>
        <w:t>The Restricted Stock Units are not granted under the French specifc regime provided by Sectons L. 225-197-1 to L. 225-197-5 and Sectons L. 22-10-59 to L. 22-10-60 of the French Commercial Code, as amended.</w:t>
      </w:r>
    </w:p>
    <w:p>
      <w:pPr>
        <w:spacing w:after="0" w:line="53" w:lineRule="exact"/>
        <w:rPr>
          <w:sz w:val="20"/>
          <w:szCs w:val="20"/>
          <w:color w:val="auto"/>
        </w:rPr>
      </w:pPr>
    </w:p>
    <w:p>
      <w:pPr>
        <w:ind w:left="1440"/>
        <w:spacing w:after="0"/>
        <w:rPr>
          <w:sz w:val="20"/>
          <w:szCs w:val="20"/>
          <w:color w:val="auto"/>
        </w:rPr>
      </w:pPr>
      <w:r>
        <w:rPr>
          <w:rFonts w:ascii="Calibri" w:cs="Calibri" w:eastAsia="Calibri" w:hAnsi="Calibri"/>
          <w:sz w:val="19"/>
          <w:szCs w:val="19"/>
          <w:b w:val="1"/>
          <w:bCs w:val="1"/>
          <w:color w:val="auto"/>
        </w:rPr>
        <w:t>Foreign Ownership Informaton</w:t>
      </w:r>
    </w:p>
    <w:p>
      <w:pPr>
        <w:spacing w:after="0" w:line="71" w:lineRule="exact"/>
        <w:rPr>
          <w:sz w:val="20"/>
          <w:szCs w:val="20"/>
          <w:color w:val="auto"/>
        </w:rPr>
      </w:pPr>
    </w:p>
    <w:p>
      <w:pPr>
        <w:jc w:val="both"/>
        <w:ind w:left="1440"/>
        <w:spacing w:after="0" w:line="216" w:lineRule="auto"/>
        <w:rPr>
          <w:sz w:val="20"/>
          <w:szCs w:val="20"/>
          <w:color w:val="auto"/>
        </w:rPr>
      </w:pPr>
      <w:r>
        <w:rPr>
          <w:rFonts w:ascii="Calibri" w:cs="Calibri" w:eastAsia="Calibri" w:hAnsi="Calibri"/>
          <w:sz w:val="19"/>
          <w:szCs w:val="19"/>
          <w:color w:val="auto"/>
        </w:rPr>
        <w:t>Employee must report shares of Stock held outside of France and foreign bank accounts to the French tax authorites when fling Employee’s annual tax return.</w:t>
      </w:r>
    </w:p>
    <w:p>
      <w:pPr>
        <w:spacing w:after="0" w:line="53" w:lineRule="exact"/>
        <w:rPr>
          <w:sz w:val="20"/>
          <w:szCs w:val="20"/>
          <w:color w:val="auto"/>
        </w:rPr>
      </w:pPr>
    </w:p>
    <w:p>
      <w:pPr>
        <w:ind w:left="1440"/>
        <w:spacing w:after="0"/>
        <w:rPr>
          <w:sz w:val="20"/>
          <w:szCs w:val="20"/>
          <w:color w:val="auto"/>
        </w:rPr>
      </w:pPr>
      <w:r>
        <w:rPr>
          <w:rFonts w:ascii="Calibri" w:cs="Calibri" w:eastAsia="Calibri" w:hAnsi="Calibri"/>
          <w:sz w:val="19"/>
          <w:szCs w:val="19"/>
          <w:b w:val="1"/>
          <w:bCs w:val="1"/>
          <w:color w:val="auto"/>
        </w:rPr>
        <w:t>Language Consent</w:t>
      </w:r>
    </w:p>
    <w:p>
      <w:pPr>
        <w:spacing w:after="0" w:line="71" w:lineRule="exact"/>
        <w:rPr>
          <w:sz w:val="20"/>
          <w:szCs w:val="20"/>
          <w:color w:val="auto"/>
        </w:rPr>
      </w:pPr>
    </w:p>
    <w:p>
      <w:pPr>
        <w:jc w:val="both"/>
        <w:ind w:left="1440"/>
        <w:spacing w:after="0" w:line="206" w:lineRule="auto"/>
        <w:rPr>
          <w:sz w:val="20"/>
          <w:szCs w:val="20"/>
          <w:color w:val="auto"/>
        </w:rPr>
      </w:pPr>
      <w:r>
        <w:rPr>
          <w:rFonts w:ascii="Calibri" w:cs="Calibri" w:eastAsia="Calibri" w:hAnsi="Calibri"/>
          <w:sz w:val="19"/>
          <w:szCs w:val="19"/>
          <w:color w:val="auto"/>
        </w:rPr>
        <w:t>By acceptng the Restricted Stock Units, Employee confrms having read and understood the Plan and the Agreement which were provided in the English language. Employee accepts the terms of those documents accordingly.</w:t>
      </w:r>
    </w:p>
    <w:p>
      <w:pPr>
        <w:spacing w:after="0" w:line="73" w:lineRule="exact"/>
        <w:rPr>
          <w:sz w:val="20"/>
          <w:szCs w:val="20"/>
          <w:color w:val="auto"/>
        </w:rPr>
      </w:pPr>
    </w:p>
    <w:p>
      <w:pPr>
        <w:jc w:val="both"/>
        <w:ind w:left="1440"/>
        <w:spacing w:after="0" w:line="206" w:lineRule="auto"/>
        <w:rPr>
          <w:sz w:val="20"/>
          <w:szCs w:val="20"/>
          <w:color w:val="auto"/>
        </w:rPr>
      </w:pPr>
      <w:r>
        <w:rPr>
          <w:rFonts w:ascii="Calibri" w:cs="Calibri" w:eastAsia="Calibri" w:hAnsi="Calibri"/>
          <w:sz w:val="19"/>
          <w:szCs w:val="19"/>
          <w:i w:val="1"/>
          <w:iCs w:val="1"/>
          <w:color w:val="auto"/>
        </w:rPr>
        <w:t>En acceptant les droits sur des actons assujets à des restrictons (« Restricted Stock Units »), le Salarié confrme avoir lu et compris le Plan et le Contrat qui ont été fournis en langue anglaise. Le Salarié accepte les termes de ces documents en connaissance de cause.</w:t>
      </w:r>
    </w:p>
    <w:p>
      <w:pPr>
        <w:spacing w:after="0" w:line="186" w:lineRule="auto"/>
        <w:tabs>
          <w:tab w:leader="none" w:pos="1420" w:val="left"/>
        </w:tabs>
        <w:rPr>
          <w:sz w:val="20"/>
          <w:szCs w:val="20"/>
          <w:color w:val="auto"/>
        </w:rPr>
      </w:pPr>
      <w:r>
        <w:rPr>
          <w:rFonts w:ascii="Calibri" w:cs="Calibri" w:eastAsia="Calibri" w:hAnsi="Calibri"/>
          <w:sz w:val="24"/>
          <w:szCs w:val="24"/>
          <w:b w:val="1"/>
          <w:bCs w:val="1"/>
          <w:color w:val="auto"/>
          <w:vertAlign w:val="subscript"/>
        </w:rPr>
        <w:t>Germany</w:t>
      </w:r>
      <w:r>
        <w:rPr>
          <w:sz w:val="20"/>
          <w:szCs w:val="20"/>
          <w:color w:val="auto"/>
        </w:rPr>
        <w:tab/>
      </w:r>
      <w:r>
        <w:rPr>
          <w:rFonts w:ascii="Calibri" w:cs="Calibri" w:eastAsia="Calibri" w:hAnsi="Calibri"/>
          <w:sz w:val="14"/>
          <w:szCs w:val="14"/>
          <w:b w:val="1"/>
          <w:bCs w:val="1"/>
          <w:color w:val="auto"/>
        </w:rPr>
        <w:t>Foreign Exchange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-113665</wp:posOffset>
            </wp:positionV>
            <wp:extent cx="65817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9">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84" w:lineRule="exact"/>
        <w:rPr>
          <w:sz w:val="20"/>
          <w:szCs w:val="20"/>
          <w:color w:val="auto"/>
        </w:rPr>
      </w:pPr>
    </w:p>
    <w:p>
      <w:pPr>
        <w:jc w:val="both"/>
        <w:ind w:left="1440"/>
        <w:spacing w:after="0" w:line="199" w:lineRule="auto"/>
        <w:rPr>
          <w:sz w:val="20"/>
          <w:szCs w:val="20"/>
          <w:color w:val="auto"/>
        </w:rPr>
      </w:pPr>
      <w:r>
        <w:rPr>
          <w:rFonts w:ascii="Calibri" w:cs="Calibri" w:eastAsia="Calibri" w:hAnsi="Calibri"/>
          <w:sz w:val="19"/>
          <w:szCs w:val="19"/>
          <w:color w:val="auto"/>
        </w:rPr>
        <w:t xml:space="preserve">Cross-border payments in excess of a specifed threshold (currently EUR 12,500) must be reported to the </w:t>
      </w:r>
      <w:r>
        <w:rPr>
          <w:rFonts w:ascii="Calibri" w:cs="Calibri" w:eastAsia="Calibri" w:hAnsi="Calibri"/>
          <w:sz w:val="19"/>
          <w:szCs w:val="19"/>
          <w:i w:val="1"/>
          <w:iCs w:val="1"/>
          <w:color w:val="auto"/>
        </w:rPr>
        <w:t>Servicezentrum Außenwirtschafsstatstk</w:t>
      </w:r>
      <w:r>
        <w:rPr>
          <w:rFonts w:ascii="Calibri" w:cs="Calibri" w:eastAsia="Calibri" w:hAnsi="Calibri"/>
          <w:sz w:val="19"/>
          <w:szCs w:val="19"/>
          <w:color w:val="auto"/>
        </w:rPr>
        <w:t>, which is the competent federal ofce of the German Federal Bank</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w:t>
      </w:r>
      <w:r>
        <w:rPr>
          <w:rFonts w:ascii="Calibri" w:cs="Calibri" w:eastAsia="Calibri" w:hAnsi="Calibri"/>
          <w:sz w:val="19"/>
          <w:szCs w:val="19"/>
          <w:i w:val="1"/>
          <w:iCs w:val="1"/>
          <w:color w:val="auto"/>
        </w:rPr>
        <w:t>Bundesbank</w:t>
      </w:r>
      <w:r>
        <w:rPr>
          <w:rFonts w:ascii="Calibri" w:cs="Calibri" w:eastAsia="Calibri" w:hAnsi="Calibri"/>
          <w:sz w:val="19"/>
          <w:szCs w:val="19"/>
          <w:color w:val="auto"/>
        </w:rPr>
        <w:t>). In case of payments in connecton with securites (including proceeds realized upon the sale of shares of Stock or the receipt of dividends), the report must be made by the 5th day of the month following the month in which the payment was received and must be fled electronically. The form of report (</w:t>
      </w:r>
      <w:r>
        <w:rPr>
          <w:rFonts w:ascii="Calibri" w:cs="Calibri" w:eastAsia="Calibri" w:hAnsi="Calibri"/>
          <w:sz w:val="19"/>
          <w:szCs w:val="19"/>
          <w:i w:val="1"/>
          <w:iCs w:val="1"/>
          <w:color w:val="auto"/>
        </w:rPr>
        <w:t>Allgemeine</w:t>
      </w:r>
      <w:r>
        <w:rPr>
          <w:rFonts w:ascii="Calibri" w:cs="Calibri" w:eastAsia="Calibri" w:hAnsi="Calibri"/>
          <w:sz w:val="19"/>
          <w:szCs w:val="19"/>
          <w:color w:val="auto"/>
        </w:rPr>
        <w:t xml:space="preserve"> </w:t>
      </w:r>
      <w:r>
        <w:rPr>
          <w:rFonts w:ascii="Calibri" w:cs="Calibri" w:eastAsia="Calibri" w:hAnsi="Calibri"/>
          <w:sz w:val="19"/>
          <w:szCs w:val="19"/>
          <w:i w:val="1"/>
          <w:iCs w:val="1"/>
          <w:color w:val="auto"/>
        </w:rPr>
        <w:t>Meldeportal Statstk</w:t>
      </w:r>
      <w:r>
        <w:rPr>
          <w:rFonts w:ascii="Calibri" w:cs="Calibri" w:eastAsia="Calibri" w:hAnsi="Calibri"/>
          <w:sz w:val="19"/>
          <w:szCs w:val="19"/>
          <w:color w:val="auto"/>
        </w:rPr>
        <w:t>) can be accessed via the Bundesbank’s website (www.bundesbank.de) and is available in</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both German and English. Employee is responsible for satsfying the applicable reportng obligaton. In additon, reportng may be required if the value of the shares of Stock acquired upon vestng exceeds the threshold. If the Employer does not handle the reportng in such case, Employee will be obligated to do so.</w:t>
      </w:r>
    </w:p>
    <w:p>
      <w:pPr>
        <w:spacing w:after="0" w:line="74" w:lineRule="exact"/>
        <w:rPr>
          <w:sz w:val="20"/>
          <w:szCs w:val="20"/>
          <w:color w:val="auto"/>
        </w:rPr>
      </w:pPr>
    </w:p>
    <w:p>
      <w:pPr>
        <w:jc w:val="both"/>
        <w:ind w:left="1440"/>
        <w:spacing w:after="0" w:line="204" w:lineRule="auto"/>
        <w:rPr>
          <w:sz w:val="20"/>
          <w:szCs w:val="20"/>
          <w:color w:val="auto"/>
        </w:rPr>
      </w:pPr>
      <w:r>
        <w:rPr>
          <w:rFonts w:ascii="Calibri" w:cs="Calibri" w:eastAsia="Calibri" w:hAnsi="Calibri"/>
          <w:sz w:val="19"/>
          <w:szCs w:val="19"/>
          <w:color w:val="auto"/>
        </w:rPr>
        <w:t>If Employee’s acquisiton of shares of Stock under the Plan leads to a so-called qualifed partcipaton at any point during the calendar year, Employee will need to report the acquisiton when fling his or her annual tax return for the relevant year. A qualifed partcipaton is atained only in the unlikely event (i) Employee owns at least 1% of the Company and the value of the shares of Stock acquired exceeds EUR 150,000 or (ii) Employee holds Company shares exceeding 10% of the Company’s total common stock.</w:t>
      </w:r>
    </w:p>
    <w:p>
      <w:pPr>
        <w:spacing w:after="0" w:line="185" w:lineRule="auto"/>
        <w:tabs>
          <w:tab w:leader="none" w:pos="1320" w:val="left"/>
        </w:tabs>
        <w:rPr>
          <w:sz w:val="20"/>
          <w:szCs w:val="20"/>
          <w:color w:val="auto"/>
        </w:rPr>
      </w:pPr>
      <w:r>
        <w:rPr>
          <w:rFonts w:ascii="Calibri" w:cs="Calibri" w:eastAsia="Calibri" w:hAnsi="Calibri"/>
          <w:sz w:val="24"/>
          <w:szCs w:val="24"/>
          <w:b w:val="1"/>
          <w:bCs w:val="1"/>
          <w:color w:val="auto"/>
          <w:vertAlign w:val="subscript"/>
        </w:rPr>
        <w:t>India</w:t>
      </w:r>
      <w:r>
        <w:rPr>
          <w:sz w:val="20"/>
          <w:szCs w:val="20"/>
          <w:color w:val="auto"/>
        </w:rPr>
        <w:tab/>
      </w:r>
      <w:r>
        <w:rPr>
          <w:rFonts w:ascii="Calibri" w:cs="Calibri" w:eastAsia="Calibri" w:hAnsi="Calibri"/>
          <w:sz w:val="14"/>
          <w:szCs w:val="14"/>
          <w:b w:val="1"/>
          <w:bCs w:val="1"/>
          <w:color w:val="auto"/>
        </w:rPr>
        <w:t>Repatriaton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-57150</wp:posOffset>
            </wp:positionV>
            <wp:extent cx="65817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0">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174" w:lineRule="exact"/>
        <w:rPr>
          <w:sz w:val="20"/>
          <w:szCs w:val="20"/>
          <w:color w:val="auto"/>
        </w:rPr>
      </w:pPr>
    </w:p>
    <w:p>
      <w:pPr>
        <w:jc w:val="both"/>
        <w:ind w:left="1340"/>
        <w:spacing w:after="0" w:line="205" w:lineRule="auto"/>
        <w:rPr>
          <w:sz w:val="20"/>
          <w:szCs w:val="20"/>
          <w:color w:val="auto"/>
        </w:rPr>
      </w:pPr>
      <w:r>
        <w:rPr>
          <w:rFonts w:ascii="Calibri" w:cs="Calibri" w:eastAsia="Calibri" w:hAnsi="Calibri"/>
          <w:sz w:val="19"/>
          <w:szCs w:val="19"/>
          <w:color w:val="auto"/>
        </w:rPr>
        <w:t>Employee expressly agrees to repatriate all sale proceeds and dividends atributable to shares of Stock acquired under the Plan in accordance with local foreign exchange rules and regulatons. Neither the Company nor any of its Subsidiaries or afliated companies shall be liable for any fnes or penaltes resultng from Employee’s failure to comply with applicable laws, rules or regulatons.</w:t>
      </w:r>
    </w:p>
    <w:p>
      <w:pPr>
        <w:spacing w:after="0" w:line="65" w:lineRule="exact"/>
        <w:rPr>
          <w:sz w:val="20"/>
          <w:szCs w:val="20"/>
          <w:color w:val="auto"/>
        </w:rPr>
      </w:pPr>
    </w:p>
    <w:p>
      <w:pPr>
        <w:ind w:left="1340"/>
        <w:spacing w:after="0"/>
        <w:rPr>
          <w:sz w:val="20"/>
          <w:szCs w:val="20"/>
          <w:color w:val="auto"/>
        </w:rPr>
      </w:pPr>
      <w:r>
        <w:rPr>
          <w:rFonts w:ascii="Calibri" w:cs="Calibri" w:eastAsia="Calibri" w:hAnsi="Calibri"/>
          <w:sz w:val="19"/>
          <w:szCs w:val="19"/>
          <w:b w:val="1"/>
          <w:bCs w:val="1"/>
          <w:color w:val="auto"/>
        </w:rPr>
        <w:t>Foreign Asset/Account Reportng Informaton</w:t>
      </w:r>
    </w:p>
    <w:p>
      <w:pPr>
        <w:spacing w:after="0" w:line="58" w:lineRule="exact"/>
        <w:rPr>
          <w:sz w:val="20"/>
          <w:szCs w:val="20"/>
          <w:color w:val="auto"/>
        </w:rPr>
      </w:pPr>
    </w:p>
    <w:p>
      <w:pPr>
        <w:jc w:val="both"/>
        <w:ind w:left="1340"/>
        <w:spacing w:after="0" w:line="205" w:lineRule="auto"/>
        <w:rPr>
          <w:sz w:val="20"/>
          <w:szCs w:val="20"/>
          <w:color w:val="auto"/>
        </w:rPr>
      </w:pPr>
      <w:r>
        <w:rPr>
          <w:rFonts w:ascii="Calibri" w:cs="Calibri" w:eastAsia="Calibri" w:hAnsi="Calibri"/>
          <w:sz w:val="19"/>
          <w:szCs w:val="19"/>
          <w:color w:val="auto"/>
        </w:rPr>
        <w:t>Employee is required to declare foreign bank accounts and any foreign fnancial assets (including shares of Stock held outside of India and, possibly, Restricted Stock Units) in Employee's annual tax return. It is Employee's responsibility to comply with this reportng obligaton. Employee should consult his/her personal tax advisor in this regard.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93980</wp:posOffset>
            </wp:positionV>
            <wp:extent cx="65817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1">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ectPr>
          <w:pgSz w:w="11900" w:h="16838" w:orient="portrait"/>
          <w:cols w:equalWidth="0" w:num="1">
            <w:col w:w="10220"/>
          </w:cols>
          <w:pgMar w:left="400" w:top="527" w:right="1279" w:bottom="1440" w:gutter="0" w:footer="0" w:header="0"/>
        </w:sectPr>
      </w:pPr>
    </w:p>
    <w:bookmarkStart w:id="109" w:name="page110"/>
    <w:bookmarkEnd w:id="109"/>
    <w:p>
      <w:pPr>
        <w:spacing w:after="0"/>
        <w:tabs>
          <w:tab w:leader="none" w:pos="1320" w:val="left"/>
        </w:tabs>
        <w:rPr>
          <w:sz w:val="20"/>
          <w:szCs w:val="20"/>
          <w:color w:val="auto"/>
        </w:rPr>
      </w:pPr>
      <w:r>
        <w:rPr>
          <w:rFonts w:ascii="Calibri" w:cs="Calibri" w:eastAsia="Calibri" w:hAnsi="Calibri"/>
          <w:sz w:val="38"/>
          <w:szCs w:val="38"/>
          <w:b w:val="1"/>
          <w:bCs w:val="1"/>
          <w:color w:val="auto"/>
          <w:vertAlign w:val="subscript"/>
        </w:rPr>
        <w:t>Indonesia</w:t>
      </w:r>
      <w:r>
        <w:rPr>
          <w:sz w:val="20"/>
          <w:szCs w:val="20"/>
          <w:color w:val="auto"/>
        </w:rPr>
        <w:tab/>
      </w:r>
      <w:r>
        <w:rPr>
          <w:rFonts w:ascii="Calibri" w:cs="Calibri" w:eastAsia="Calibri" w:hAnsi="Calibri"/>
          <w:sz w:val="19"/>
          <w:szCs w:val="19"/>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65817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225" w:lineRule="exact"/>
        <w:rPr>
          <w:sz w:val="20"/>
          <w:szCs w:val="20"/>
          <w:color w:val="auto"/>
        </w:rPr>
      </w:pPr>
    </w:p>
    <w:p>
      <w:pPr>
        <w:jc w:val="both"/>
        <w:ind w:left="1340"/>
        <w:spacing w:after="0" w:line="204" w:lineRule="auto"/>
        <w:rPr>
          <w:sz w:val="20"/>
          <w:szCs w:val="20"/>
          <w:color w:val="auto"/>
        </w:rPr>
      </w:pPr>
      <w:r>
        <w:rPr>
          <w:rFonts w:ascii="Calibri" w:cs="Calibri" w:eastAsia="Calibri" w:hAnsi="Calibri"/>
          <w:sz w:val="19"/>
          <w:szCs w:val="19"/>
          <w:color w:val="auto"/>
        </w:rPr>
        <w:t>The Restricted Stock Units and the underlying shares of Stock have not been ofered or sold and will not be ofered or sold in Indonesia or to any Indonesian natonals, corporatons or residents, including by way of invitaton, ofering or advertsement, and this document and any other ofering material relatng to the Restricted Stock Units have not been distributed, and will not be distributed, in Indonesia or to any Indonesian natonals, corporatons or residents in a manner which would consttute a public ofering in Indonesia.</w:t>
      </w:r>
    </w:p>
    <w:p>
      <w:pPr>
        <w:spacing w:after="0" w:line="52" w:lineRule="exact"/>
        <w:rPr>
          <w:sz w:val="20"/>
          <w:szCs w:val="20"/>
          <w:color w:val="auto"/>
        </w:rPr>
      </w:pPr>
    </w:p>
    <w:p>
      <w:pPr>
        <w:ind w:left="1340"/>
        <w:spacing w:after="0"/>
        <w:rPr>
          <w:sz w:val="20"/>
          <w:szCs w:val="20"/>
          <w:color w:val="auto"/>
        </w:rPr>
      </w:pPr>
      <w:r>
        <w:rPr>
          <w:rFonts w:ascii="Calibri" w:cs="Calibri" w:eastAsia="Calibri" w:hAnsi="Calibri"/>
          <w:sz w:val="19"/>
          <w:szCs w:val="19"/>
          <w:b w:val="1"/>
          <w:bCs w:val="1"/>
          <w:color w:val="auto"/>
        </w:rPr>
        <w:t>Foreign Exchange Informaton</w:t>
      </w:r>
    </w:p>
    <w:p>
      <w:pPr>
        <w:spacing w:after="0" w:line="71" w:lineRule="exact"/>
        <w:rPr>
          <w:sz w:val="20"/>
          <w:szCs w:val="20"/>
          <w:color w:val="auto"/>
        </w:rPr>
      </w:pPr>
    </w:p>
    <w:p>
      <w:pPr>
        <w:jc w:val="both"/>
        <w:ind w:left="1340"/>
        <w:spacing w:after="0" w:line="205" w:lineRule="auto"/>
        <w:rPr>
          <w:sz w:val="20"/>
          <w:szCs w:val="20"/>
          <w:color w:val="auto"/>
        </w:rPr>
      </w:pPr>
      <w:r>
        <w:rPr>
          <w:rFonts w:ascii="Calibri" w:cs="Calibri" w:eastAsia="Calibri" w:hAnsi="Calibri"/>
          <w:sz w:val="19"/>
          <w:szCs w:val="19"/>
          <w:color w:val="auto"/>
        </w:rPr>
        <w:t>If Employee is an Indonesian resident and remits funds in foreign currency (including dividends and proceeds from the sale of shares of Stock) into Indonesia, the Indonesian Bank through which the transacton is made will submit a transacton report to the Bank of Indonesia for reportng purposes. For transactons equal to or exceeding a certain threshold amount, the underlying document must be submited to the relevant local bank.</w:t>
      </w:r>
    </w:p>
    <w:p>
      <w:pPr>
        <w:spacing w:after="0" w:line="65" w:lineRule="exact"/>
        <w:rPr>
          <w:sz w:val="20"/>
          <w:szCs w:val="20"/>
          <w:color w:val="auto"/>
        </w:rPr>
      </w:pPr>
    </w:p>
    <w:p>
      <w:pPr>
        <w:ind w:left="1340"/>
        <w:spacing w:after="0"/>
        <w:rPr>
          <w:sz w:val="20"/>
          <w:szCs w:val="20"/>
          <w:color w:val="auto"/>
        </w:rPr>
      </w:pPr>
      <w:r>
        <w:rPr>
          <w:rFonts w:ascii="Calibri" w:cs="Calibri" w:eastAsia="Calibri" w:hAnsi="Calibri"/>
          <w:sz w:val="19"/>
          <w:szCs w:val="19"/>
          <w:b w:val="1"/>
          <w:bCs w:val="1"/>
          <w:color w:val="auto"/>
        </w:rPr>
        <w:t>Foreign Asset/Account Reportng Informaton</w:t>
      </w:r>
    </w:p>
    <w:p>
      <w:pPr>
        <w:spacing w:after="0" w:line="58" w:lineRule="exact"/>
        <w:rPr>
          <w:sz w:val="20"/>
          <w:szCs w:val="20"/>
          <w:color w:val="auto"/>
        </w:rPr>
      </w:pPr>
    </w:p>
    <w:p>
      <w:pPr>
        <w:jc w:val="both"/>
        <w:ind w:left="1340"/>
        <w:spacing w:after="0" w:line="234" w:lineRule="auto"/>
        <w:rPr>
          <w:sz w:val="20"/>
          <w:szCs w:val="20"/>
          <w:color w:val="auto"/>
        </w:rPr>
      </w:pPr>
      <w:r>
        <w:rPr>
          <w:rFonts w:ascii="Calibri" w:cs="Calibri" w:eastAsia="Calibri" w:hAnsi="Calibri"/>
          <w:sz w:val="19"/>
          <w:szCs w:val="19"/>
          <w:color w:val="auto"/>
        </w:rPr>
        <w:t>Employee has the obligaton to report his/her worldwide assets (including foreign accounts and shares of Stock acquired under the Plan) in Employee's annual individual income tax return. For foreign currency transactons exceeding a specifed threshold, the underlying document of that transacton will have to be submited to the relevant local bank. In additon, if there is a change of positon of any of the foreign assets Employee holds (including shares of Stock acquired under the Plan), Employee must report this change in positon (e.g., sale of shares of Stock) to the Bank of Indonesia no later than the 15th day of the month following the change in positon.</w:t>
      </w:r>
    </w:p>
    <w:p>
      <w:pPr>
        <w:spacing w:after="0" w:line="180" w:lineRule="auto"/>
        <w:tabs>
          <w:tab w:leader="none" w:pos="1320" w:val="left"/>
        </w:tabs>
        <w:rPr>
          <w:sz w:val="20"/>
          <w:szCs w:val="20"/>
          <w:color w:val="auto"/>
        </w:rPr>
      </w:pPr>
      <w:r>
        <w:rPr>
          <w:rFonts w:ascii="Calibri" w:cs="Calibri" w:eastAsia="Calibri" w:hAnsi="Calibri"/>
          <w:sz w:val="25"/>
          <w:szCs w:val="25"/>
          <w:b w:val="1"/>
          <w:bCs w:val="1"/>
          <w:color w:val="auto"/>
          <w:vertAlign w:val="subscript"/>
        </w:rPr>
        <w:t>Iraq</w:t>
      </w:r>
      <w:r>
        <w:rPr>
          <w:sz w:val="20"/>
          <w:szCs w:val="20"/>
          <w:color w:val="auto"/>
        </w:rPr>
        <w:tab/>
      </w:r>
      <w:r>
        <w:rPr>
          <w:rFonts w:ascii="Calibri" w:cs="Calibri" w:eastAsia="Calibri" w:hAnsi="Calibri"/>
          <w:sz w:val="14"/>
          <w:szCs w:val="14"/>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-57150</wp:posOffset>
            </wp:positionV>
            <wp:extent cx="65817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173" w:lineRule="exact"/>
        <w:rPr>
          <w:sz w:val="20"/>
          <w:szCs w:val="20"/>
          <w:color w:val="auto"/>
        </w:rPr>
      </w:pPr>
    </w:p>
    <w:p>
      <w:pPr>
        <w:ind w:left="1340" w:right="500"/>
        <w:spacing w:after="0" w:line="216" w:lineRule="auto"/>
        <w:rPr>
          <w:sz w:val="20"/>
          <w:szCs w:val="20"/>
          <w:color w:val="auto"/>
        </w:rPr>
      </w:pPr>
      <w:r>
        <w:rPr>
          <w:rFonts w:ascii="Calibri" w:cs="Calibri" w:eastAsia="Calibri" w:hAnsi="Calibri"/>
          <w:sz w:val="19"/>
          <w:szCs w:val="19"/>
          <w:color w:val="auto"/>
        </w:rPr>
        <w:t>The Restricted Stock Units and the underlying shares of Stock are not publicly ofered or listed on any stock exchange in Iraq.</w:t>
      </w:r>
    </w:p>
    <w:p>
      <w:pPr>
        <w:spacing w:after="0" w:line="131" w:lineRule="exact"/>
        <w:rPr>
          <w:sz w:val="20"/>
          <w:szCs w:val="20"/>
          <w:color w:val="auto"/>
        </w:rPr>
      </w:pPr>
    </w:p>
    <w:p>
      <w:pPr>
        <w:ind w:left="1340"/>
        <w:spacing w:after="0"/>
        <w:rPr>
          <w:sz w:val="20"/>
          <w:szCs w:val="20"/>
          <w:color w:val="auto"/>
        </w:rPr>
      </w:pPr>
      <w:r>
        <w:rPr>
          <w:rFonts w:ascii="Calibri" w:cs="Calibri" w:eastAsia="Calibri" w:hAnsi="Calibri"/>
          <w:sz w:val="19"/>
          <w:szCs w:val="19"/>
          <w:b w:val="1"/>
          <w:bCs w:val="1"/>
          <w:color w:val="auto"/>
        </w:rPr>
        <w:t>Labor Law Acknowledgement</w:t>
      </w:r>
    </w:p>
    <w:p>
      <w:pPr>
        <w:spacing w:after="0" w:line="122" w:lineRule="exact"/>
        <w:rPr>
          <w:sz w:val="20"/>
          <w:szCs w:val="20"/>
          <w:color w:val="auto"/>
        </w:rPr>
      </w:pPr>
    </w:p>
    <w:p>
      <w:pPr>
        <w:ind w:left="1340"/>
        <w:spacing w:after="0"/>
        <w:rPr>
          <w:sz w:val="20"/>
          <w:szCs w:val="20"/>
          <w:color w:val="auto"/>
        </w:rPr>
      </w:pPr>
      <w:r>
        <w:rPr>
          <w:rFonts w:ascii="Calibri" w:cs="Calibri" w:eastAsia="Calibri" w:hAnsi="Calibri"/>
          <w:sz w:val="19"/>
          <w:szCs w:val="19"/>
          <w:color w:val="auto"/>
        </w:rPr>
        <w:t>By acceptng the Restricted Stock Units, Employee expressly acknowledges and agrees that for all legal purposes,</w:t>
      </w:r>
    </w:p>
    <w:p>
      <w:pPr>
        <w:jc w:val="both"/>
        <w:ind w:left="1340" w:right="20" w:firstLine="7"/>
        <w:spacing w:after="0" w:line="195" w:lineRule="auto"/>
        <w:tabs>
          <w:tab w:leader="none" w:pos="1554" w:val="left"/>
        </w:tabs>
        <w:numPr>
          <w:ilvl w:val="0"/>
          <w:numId w:val="66"/>
        </w:numPr>
        <w:rPr>
          <w:rFonts w:ascii="Calibri" w:cs="Calibri" w:eastAsia="Calibri" w:hAnsi="Calibri"/>
          <w:sz w:val="19"/>
          <w:szCs w:val="19"/>
          <w:color w:val="auto"/>
        </w:rPr>
      </w:pPr>
      <w:r>
        <w:rPr>
          <w:rFonts w:ascii="Calibri" w:cs="Calibri" w:eastAsia="Calibri" w:hAnsi="Calibri"/>
          <w:sz w:val="19"/>
          <w:szCs w:val="19"/>
          <w:color w:val="auto"/>
        </w:rPr>
        <w:t>the benefts provided under the Agreement and the Plan are the result of commercial transactons unrelated to Employee’s employment; (ii) the Agreement and the Plan are not part of the terms and conditons of Employee’s employment; and (iii) the income from the Restricted Stock Units, if any, is not part of Employee’s remuneraton from employment.</w:t>
      </w:r>
    </w:p>
    <w:p>
      <w:pPr>
        <w:spacing w:after="0" w:line="66" w:lineRule="exact"/>
        <w:rPr>
          <w:sz w:val="20"/>
          <w:szCs w:val="20"/>
          <w:color w:val="auto"/>
        </w:rPr>
      </w:pPr>
    </w:p>
    <w:p>
      <w:pPr>
        <w:ind w:left="1340"/>
        <w:spacing w:after="0"/>
        <w:rPr>
          <w:sz w:val="20"/>
          <w:szCs w:val="20"/>
          <w:color w:val="auto"/>
        </w:rPr>
      </w:pPr>
      <w:r>
        <w:rPr>
          <w:rFonts w:ascii="Calibri" w:cs="Calibri" w:eastAsia="Calibri" w:hAnsi="Calibri"/>
          <w:sz w:val="19"/>
          <w:szCs w:val="19"/>
          <w:b w:val="1"/>
          <w:bCs w:val="1"/>
          <w:color w:val="auto"/>
        </w:rPr>
        <w:t>Compliance with Law</w:t>
      </w:r>
    </w:p>
    <w:p>
      <w:pPr>
        <w:spacing w:after="0" w:line="135" w:lineRule="exact"/>
        <w:rPr>
          <w:sz w:val="20"/>
          <w:szCs w:val="20"/>
          <w:color w:val="auto"/>
        </w:rPr>
      </w:pPr>
    </w:p>
    <w:p>
      <w:pPr>
        <w:jc w:val="both"/>
        <w:ind w:left="1340"/>
        <w:spacing w:after="0" w:line="206" w:lineRule="auto"/>
        <w:rPr>
          <w:sz w:val="20"/>
          <w:szCs w:val="20"/>
          <w:color w:val="auto"/>
        </w:rPr>
      </w:pPr>
      <w:r>
        <w:rPr>
          <w:rFonts w:ascii="Calibri" w:cs="Calibri" w:eastAsia="Calibri" w:hAnsi="Calibri"/>
          <w:sz w:val="19"/>
          <w:szCs w:val="19"/>
          <w:color w:val="auto"/>
        </w:rPr>
        <w:t>By acceptng the Restricted Stock Units, Employee expressly acknowledges and agrees to comply with applicable laws in Iraq and to pay any and all applicable Tax-Related Items associated with the vestng of the Restricted Stock Units, the receipt of any dividends, and the sale of any shares of Stock acquired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135890</wp:posOffset>
            </wp:positionV>
            <wp:extent cx="65817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ectPr>
          <w:pgSz w:w="11900" w:h="16838" w:orient="portrait"/>
          <w:cols w:equalWidth="0" w:num="1">
            <w:col w:w="10220"/>
          </w:cols>
          <w:pgMar w:left="400" w:top="527" w:right="1279" w:bottom="1440" w:gutter="0" w:footer="0" w:header="0"/>
        </w:sectPr>
      </w:pPr>
    </w:p>
    <w:bookmarkStart w:id="110" w:name="page111"/>
    <w:bookmarkEnd w:id="110"/>
    <w:p>
      <w:pPr>
        <w:spacing w:after="0"/>
        <w:tabs>
          <w:tab w:leader="none" w:pos="1320" w:val="left"/>
        </w:tabs>
        <w:rPr>
          <w:sz w:val="20"/>
          <w:szCs w:val="20"/>
          <w:color w:val="auto"/>
        </w:rPr>
      </w:pPr>
      <w:r>
        <w:rPr>
          <w:rFonts w:ascii="Calibri" w:cs="Calibri" w:eastAsia="Calibri" w:hAnsi="Calibri"/>
          <w:sz w:val="38"/>
          <w:szCs w:val="38"/>
          <w:b w:val="1"/>
          <w:bCs w:val="1"/>
          <w:color w:val="auto"/>
          <w:vertAlign w:val="subscript"/>
        </w:rPr>
        <w:t>Italy</w:t>
      </w:r>
      <w:r>
        <w:rPr>
          <w:sz w:val="20"/>
          <w:szCs w:val="20"/>
          <w:color w:val="auto"/>
        </w:rPr>
        <w:tab/>
      </w:r>
      <w:r>
        <w:rPr>
          <w:rFonts w:ascii="Calibri" w:cs="Calibri" w:eastAsia="Calibri" w:hAnsi="Calibri"/>
          <w:sz w:val="19"/>
          <w:szCs w:val="19"/>
          <w:b w:val="1"/>
          <w:bCs w:val="1"/>
          <w:color w:val="auto"/>
        </w:rPr>
        <w:t>Plan Document Acknowledgement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65817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225" w:lineRule="exact"/>
        <w:rPr>
          <w:sz w:val="20"/>
          <w:szCs w:val="20"/>
          <w:color w:val="auto"/>
        </w:rPr>
      </w:pPr>
    </w:p>
    <w:p>
      <w:pPr>
        <w:jc w:val="both"/>
        <w:ind w:left="1340"/>
        <w:spacing w:after="0" w:line="201" w:lineRule="auto"/>
        <w:rPr>
          <w:sz w:val="20"/>
          <w:szCs w:val="20"/>
          <w:color w:val="auto"/>
        </w:rPr>
      </w:pPr>
      <w:r>
        <w:rPr>
          <w:rFonts w:ascii="Calibri" w:cs="Calibri" w:eastAsia="Calibri" w:hAnsi="Calibri"/>
          <w:sz w:val="19"/>
          <w:szCs w:val="19"/>
          <w:color w:val="auto"/>
        </w:rPr>
        <w:t>By acceptng the Restricted Stock Units, Employee acknowledges that Employee has received a copy of the Plan and the Agreement, including this Addendum, in their entrety and fully understands and accepts all the provisions of the Plan and the Agreement. Employee further acknowledges having read and specifcally approves the following sectons of the Agreement: Vestng of Restricted Stock Units; Forfeiture of Restricted Stock Units, Setlement of Restricted Stock Units, Withholding of Tax, Nature of Grant, Impositon of Other Requirements, Governing Law and Forum and the Data Privacy provision for the EU/EEA in this Addendum.</w:t>
      </w:r>
    </w:p>
    <w:p>
      <w:pPr>
        <w:spacing w:after="0" w:line="66" w:lineRule="exact"/>
        <w:rPr>
          <w:sz w:val="20"/>
          <w:szCs w:val="20"/>
          <w:color w:val="auto"/>
        </w:rPr>
      </w:pPr>
    </w:p>
    <w:p>
      <w:pPr>
        <w:ind w:left="1340"/>
        <w:spacing w:after="0"/>
        <w:rPr>
          <w:sz w:val="20"/>
          <w:szCs w:val="20"/>
          <w:color w:val="auto"/>
        </w:rPr>
      </w:pPr>
      <w:r>
        <w:rPr>
          <w:rFonts w:ascii="Calibri" w:cs="Calibri" w:eastAsia="Calibri" w:hAnsi="Calibri"/>
          <w:sz w:val="19"/>
          <w:szCs w:val="19"/>
          <w:b w:val="1"/>
          <w:bCs w:val="1"/>
          <w:color w:val="auto"/>
        </w:rPr>
        <w:t>Foreign Ownership Informaton</w:t>
      </w:r>
    </w:p>
    <w:p>
      <w:pPr>
        <w:spacing w:after="0" w:line="71" w:lineRule="exact"/>
        <w:rPr>
          <w:sz w:val="20"/>
          <w:szCs w:val="20"/>
          <w:color w:val="auto"/>
        </w:rPr>
      </w:pPr>
    </w:p>
    <w:p>
      <w:pPr>
        <w:jc w:val="both"/>
        <w:ind w:left="1340"/>
        <w:spacing w:after="0" w:line="201" w:lineRule="auto"/>
        <w:rPr>
          <w:sz w:val="20"/>
          <w:szCs w:val="20"/>
          <w:color w:val="auto"/>
        </w:rPr>
      </w:pPr>
      <w:r>
        <w:rPr>
          <w:rFonts w:ascii="Calibri" w:cs="Calibri" w:eastAsia="Calibri" w:hAnsi="Calibri"/>
          <w:sz w:val="19"/>
          <w:szCs w:val="19"/>
          <w:color w:val="auto"/>
        </w:rPr>
        <w:t xml:space="preserve">If at any tme during the fscal year Employee holds foreign fnancial assets (including cash and shares of Stock) that may generate income taxable in Italy, Employee is required to report these assets on Employee’s annual tax return (UNICO Form, RW Schedule) for the year during which the assets are held, or on a special form if no tax return is due. These reportng obligatons also will apply to Italian residents who are the benefcial owners of foreign fnancial assets under Italian money laundering provisions. </w:t>
      </w:r>
      <w:r>
        <w:rPr>
          <w:rFonts w:ascii="Calibri" w:cs="Calibri" w:eastAsia="Calibri" w:hAnsi="Calibri"/>
          <w:sz w:val="19"/>
          <w:szCs w:val="19"/>
          <w:i w:val="1"/>
          <w:iCs w:val="1"/>
          <w:color w:val="auto"/>
        </w:rPr>
        <w:t>Employee should consult with Employee’s</w:t>
      </w:r>
    </w:p>
    <w:p>
      <w:pPr>
        <w:ind w:left="1340"/>
        <w:spacing w:after="0" w:line="202" w:lineRule="auto"/>
        <w:rPr>
          <w:sz w:val="20"/>
          <w:szCs w:val="20"/>
          <w:color w:val="auto"/>
        </w:rPr>
      </w:pPr>
      <w:r>
        <w:rPr>
          <w:rFonts w:ascii="Calibri" w:cs="Calibri" w:eastAsia="Calibri" w:hAnsi="Calibri"/>
          <w:sz w:val="19"/>
          <w:szCs w:val="19"/>
          <w:i w:val="1"/>
          <w:iCs w:val="1"/>
          <w:color w:val="auto"/>
        </w:rPr>
        <w:t>personal tax advisor to determine his/her personal reportng obligatons.</w:t>
      </w:r>
    </w:p>
    <w:p>
      <w:pPr>
        <w:spacing w:after="0" w:line="185" w:lineRule="auto"/>
        <w:tabs>
          <w:tab w:leader="none" w:pos="1320" w:val="left"/>
        </w:tabs>
        <w:rPr>
          <w:sz w:val="20"/>
          <w:szCs w:val="20"/>
          <w:color w:val="auto"/>
        </w:rPr>
      </w:pPr>
      <w:r>
        <w:rPr>
          <w:rFonts w:ascii="Calibri" w:cs="Calibri" w:eastAsia="Calibri" w:hAnsi="Calibri"/>
          <w:sz w:val="24"/>
          <w:szCs w:val="24"/>
          <w:b w:val="1"/>
          <w:bCs w:val="1"/>
          <w:color w:val="auto"/>
          <w:vertAlign w:val="subscript"/>
        </w:rPr>
        <w:t>Japan</w:t>
      </w:r>
      <w:r>
        <w:rPr>
          <w:sz w:val="20"/>
          <w:szCs w:val="20"/>
          <w:color w:val="auto"/>
        </w:rPr>
        <w:tab/>
      </w:r>
      <w:r>
        <w:rPr>
          <w:rFonts w:ascii="Calibri" w:cs="Calibri" w:eastAsia="Calibri" w:hAnsi="Calibri"/>
          <w:sz w:val="14"/>
          <w:szCs w:val="14"/>
          <w:b w:val="1"/>
          <w:bCs w:val="1"/>
          <w:color w:val="auto"/>
        </w:rPr>
        <w:t>Foreign Exchange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-57150</wp:posOffset>
            </wp:positionV>
            <wp:extent cx="65817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173" w:lineRule="exact"/>
        <w:rPr>
          <w:sz w:val="20"/>
          <w:szCs w:val="20"/>
          <w:color w:val="auto"/>
        </w:rPr>
      </w:pPr>
    </w:p>
    <w:p>
      <w:pPr>
        <w:jc w:val="both"/>
        <w:ind w:left="1340"/>
        <w:spacing w:after="0" w:line="206" w:lineRule="auto"/>
        <w:rPr>
          <w:sz w:val="20"/>
          <w:szCs w:val="20"/>
          <w:color w:val="auto"/>
        </w:rPr>
      </w:pPr>
      <w:r>
        <w:rPr>
          <w:rFonts w:ascii="Calibri" w:cs="Calibri" w:eastAsia="Calibri" w:hAnsi="Calibri"/>
          <w:sz w:val="19"/>
          <w:szCs w:val="19"/>
          <w:color w:val="auto"/>
        </w:rPr>
        <w:t>If Employee acquires shares of Stock valued at more than a specifed amount (currently JPY 100 million) in a single transacton, Employee must fle a Securites Acquisiton Report with the Ministry of Finance (“MOF”) through the Bank of Japan within 20 days of the receipt of the shares of Stock.</w:t>
      </w:r>
    </w:p>
    <w:p>
      <w:pPr>
        <w:spacing w:after="0" w:line="73" w:lineRule="exact"/>
        <w:rPr>
          <w:sz w:val="20"/>
          <w:szCs w:val="20"/>
          <w:color w:val="auto"/>
        </w:rPr>
      </w:pPr>
    </w:p>
    <w:p>
      <w:pPr>
        <w:jc w:val="both"/>
        <w:ind w:left="1340"/>
        <w:spacing w:after="0" w:line="206" w:lineRule="auto"/>
        <w:rPr>
          <w:sz w:val="20"/>
          <w:szCs w:val="20"/>
          <w:color w:val="auto"/>
        </w:rPr>
      </w:pPr>
      <w:r>
        <w:rPr>
          <w:rFonts w:ascii="Calibri" w:cs="Calibri" w:eastAsia="Calibri" w:hAnsi="Calibri"/>
          <w:sz w:val="19"/>
          <w:szCs w:val="19"/>
          <w:color w:val="auto"/>
        </w:rPr>
        <w:t xml:space="preserve">Further, if Employee is a Japanese resident, Employee will be required to report details of any assets (including shares of Stock acquired under the Plan) held outside of Japan as of December 31 of each year, to the extent such assets have a total net fair market value exceeding a specifed threshold (currently JPY 50 million). </w:t>
      </w:r>
      <w:r>
        <w:rPr>
          <w:rFonts w:ascii="Calibri" w:cs="Calibri" w:eastAsia="Calibri" w:hAnsi="Calibri"/>
          <w:sz w:val="19"/>
          <w:szCs w:val="19"/>
          <w:i w:val="1"/>
          <w:iCs w:val="1"/>
          <w:color w:val="auto"/>
        </w:rPr>
        <w:t>Employee</w:t>
      </w:r>
    </w:p>
    <w:p>
      <w:pPr>
        <w:ind w:left="1340"/>
        <w:spacing w:after="0" w:line="202" w:lineRule="auto"/>
        <w:rPr>
          <w:sz w:val="20"/>
          <w:szCs w:val="20"/>
          <w:color w:val="auto"/>
        </w:rPr>
      </w:pPr>
      <w:r>
        <w:rPr>
          <w:rFonts w:ascii="Calibri" w:cs="Calibri" w:eastAsia="Calibri" w:hAnsi="Calibri"/>
          <w:sz w:val="19"/>
          <w:szCs w:val="19"/>
          <w:i w:val="1"/>
          <w:iCs w:val="1"/>
          <w:color w:val="auto"/>
        </w:rPr>
        <w:t>should consult with his/her personal tax advisor to determine Employee’s personal reportng obligatons.</w:t>
      </w:r>
    </w:p>
    <w:p>
      <w:pPr>
        <w:spacing w:after="0" w:line="185" w:lineRule="auto"/>
        <w:tabs>
          <w:tab w:leader="none" w:pos="1320" w:val="left"/>
        </w:tabs>
        <w:rPr>
          <w:sz w:val="20"/>
          <w:szCs w:val="20"/>
          <w:color w:val="auto"/>
        </w:rPr>
      </w:pPr>
      <w:r>
        <w:rPr>
          <w:rFonts w:ascii="Calibri" w:cs="Calibri" w:eastAsia="Calibri" w:hAnsi="Calibri"/>
          <w:sz w:val="24"/>
          <w:szCs w:val="24"/>
          <w:b w:val="1"/>
          <w:bCs w:val="1"/>
          <w:color w:val="auto"/>
          <w:vertAlign w:val="subscript"/>
        </w:rPr>
        <w:t>Kazakhstan</w:t>
      </w:r>
      <w:r>
        <w:rPr>
          <w:sz w:val="20"/>
          <w:szCs w:val="20"/>
          <w:color w:val="auto"/>
        </w:rPr>
        <w:tab/>
      </w:r>
      <w:r>
        <w:rPr>
          <w:rFonts w:ascii="Calibri" w:cs="Calibri" w:eastAsia="Calibri" w:hAnsi="Calibri"/>
          <w:sz w:val="14"/>
          <w:szCs w:val="14"/>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-57150</wp:posOffset>
            </wp:positionV>
            <wp:extent cx="65817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174" w:lineRule="exact"/>
        <w:rPr>
          <w:sz w:val="20"/>
          <w:szCs w:val="20"/>
          <w:color w:val="auto"/>
        </w:rPr>
      </w:pPr>
    </w:p>
    <w:p>
      <w:pPr>
        <w:jc w:val="both"/>
        <w:ind w:left="1340"/>
        <w:spacing w:after="0" w:line="206" w:lineRule="auto"/>
        <w:rPr>
          <w:sz w:val="20"/>
          <w:szCs w:val="20"/>
          <w:color w:val="auto"/>
        </w:rPr>
      </w:pPr>
      <w:r>
        <w:rPr>
          <w:rFonts w:ascii="Calibri" w:cs="Calibri" w:eastAsia="Calibri" w:hAnsi="Calibri"/>
          <w:sz w:val="19"/>
          <w:szCs w:val="19"/>
          <w:color w:val="auto"/>
        </w:rPr>
        <w:t>Neither the Agreement nor the Plan has been approved, nor do they need to be approved, by the Natonal Bank of Kazakhstan. This ofer is intended only for the original recipient and is not for general circulaton in the Republic of Kazakhstan.</w:t>
      </w:r>
    </w:p>
    <w:p>
      <w:pPr>
        <w:spacing w:after="0" w:line="67" w:lineRule="exact"/>
        <w:rPr>
          <w:sz w:val="20"/>
          <w:szCs w:val="20"/>
          <w:color w:val="auto"/>
        </w:rPr>
      </w:pPr>
    </w:p>
    <w:p>
      <w:pPr>
        <w:ind w:left="1340"/>
        <w:spacing w:after="0"/>
        <w:rPr>
          <w:sz w:val="20"/>
          <w:szCs w:val="20"/>
          <w:color w:val="auto"/>
        </w:rPr>
      </w:pPr>
      <w:r>
        <w:rPr>
          <w:rFonts w:ascii="Calibri" w:cs="Calibri" w:eastAsia="Calibri" w:hAnsi="Calibri"/>
          <w:sz w:val="19"/>
          <w:szCs w:val="19"/>
          <w:b w:val="1"/>
          <w:bCs w:val="1"/>
          <w:color w:val="auto"/>
        </w:rPr>
        <w:t>Foreign Exchange Informaton</w:t>
      </w:r>
    </w:p>
    <w:p>
      <w:pPr>
        <w:spacing w:after="0" w:line="71" w:lineRule="exact"/>
        <w:rPr>
          <w:sz w:val="20"/>
          <w:szCs w:val="20"/>
          <w:color w:val="auto"/>
        </w:rPr>
      </w:pPr>
    </w:p>
    <w:p>
      <w:pPr>
        <w:jc w:val="both"/>
        <w:ind w:left="1340"/>
        <w:spacing w:after="0" w:line="206" w:lineRule="auto"/>
        <w:rPr>
          <w:sz w:val="20"/>
          <w:szCs w:val="20"/>
          <w:color w:val="auto"/>
        </w:rPr>
      </w:pPr>
      <w:r>
        <w:rPr>
          <w:rFonts w:ascii="Calibri" w:cs="Calibri" w:eastAsia="Calibri" w:hAnsi="Calibri"/>
          <w:sz w:val="19"/>
          <w:szCs w:val="19"/>
          <w:color w:val="auto"/>
        </w:rPr>
        <w:t>Please note that by choosing to partcipate in the Plan, Employee hereby consents to have the Employer and the Company be Employee’s agent to transfer and/or hold funds, shares of Stock, or sale proceeds for and on Employee’s behalf.</w:t>
      </w:r>
    </w:p>
    <w:p>
      <w:pPr>
        <w:spacing w:after="0" w:line="73" w:lineRule="exact"/>
        <w:rPr>
          <w:sz w:val="20"/>
          <w:szCs w:val="20"/>
          <w:color w:val="auto"/>
        </w:rPr>
      </w:pPr>
    </w:p>
    <w:p>
      <w:pPr>
        <w:jc w:val="both"/>
        <w:ind w:left="1340"/>
        <w:spacing w:after="0" w:line="206" w:lineRule="auto"/>
        <w:rPr>
          <w:sz w:val="20"/>
          <w:szCs w:val="20"/>
          <w:color w:val="auto"/>
        </w:rPr>
      </w:pPr>
      <w:r>
        <w:rPr>
          <w:rFonts w:ascii="Calibri" w:cs="Calibri" w:eastAsia="Calibri" w:hAnsi="Calibri"/>
          <w:sz w:val="19"/>
          <w:szCs w:val="19"/>
          <w:color w:val="auto"/>
        </w:rPr>
        <w:t>In additon, the Kazakhstani Law on Currency Regulaton and Currency Control requires currency repatriaton. Therefore, if Employee sells his/her securites or receives dividends, Employee must transfer the proceeds to an account(s) with a Kazakhstani authorized bank.</w:t>
      </w:r>
    </w:p>
    <w:p>
      <w:pPr>
        <w:spacing w:after="0" w:line="67" w:lineRule="exact"/>
        <w:rPr>
          <w:sz w:val="20"/>
          <w:szCs w:val="20"/>
          <w:color w:val="auto"/>
        </w:rPr>
      </w:pPr>
    </w:p>
    <w:p>
      <w:pPr>
        <w:ind w:left="1340"/>
        <w:spacing w:after="0"/>
        <w:rPr>
          <w:sz w:val="20"/>
          <w:szCs w:val="20"/>
          <w:color w:val="auto"/>
        </w:rPr>
      </w:pPr>
      <w:r>
        <w:rPr>
          <w:rFonts w:ascii="Calibri" w:cs="Calibri" w:eastAsia="Calibri" w:hAnsi="Calibri"/>
          <w:sz w:val="19"/>
          <w:szCs w:val="19"/>
          <w:b w:val="1"/>
          <w:bCs w:val="1"/>
          <w:color w:val="auto"/>
        </w:rPr>
        <w:t>Tax Disclosure</w:t>
      </w:r>
    </w:p>
    <w:p>
      <w:pPr>
        <w:spacing w:after="0" w:line="58" w:lineRule="exact"/>
        <w:rPr>
          <w:sz w:val="20"/>
          <w:szCs w:val="20"/>
          <w:color w:val="auto"/>
        </w:rPr>
      </w:pPr>
    </w:p>
    <w:p>
      <w:pPr>
        <w:jc w:val="both"/>
        <w:ind w:left="1340"/>
        <w:spacing w:after="0" w:line="211" w:lineRule="auto"/>
        <w:rPr>
          <w:sz w:val="20"/>
          <w:szCs w:val="20"/>
          <w:color w:val="auto"/>
        </w:rPr>
      </w:pPr>
      <w:r>
        <w:rPr>
          <w:rFonts w:ascii="Calibri" w:cs="Calibri" w:eastAsia="Calibri" w:hAnsi="Calibri"/>
          <w:sz w:val="19"/>
          <w:szCs w:val="19"/>
          <w:color w:val="auto"/>
        </w:rPr>
        <w:t>Employee may be required to disclose shares of Stock held and any foreign bank accounts (provided that the funds exceed a certain threshold) to the local tax authority by way of fling a tax return. Currently, the tax return must be fled not later than 31 March of the year following the reportng year.</w:t>
      </w:r>
    </w:p>
    <w:p>
      <w:pPr>
        <w:spacing w:after="0" w:line="185" w:lineRule="auto"/>
        <w:tabs>
          <w:tab w:leader="none" w:pos="1320" w:val="left"/>
        </w:tabs>
        <w:rPr>
          <w:sz w:val="20"/>
          <w:szCs w:val="20"/>
          <w:color w:val="auto"/>
        </w:rPr>
      </w:pPr>
      <w:r>
        <w:rPr>
          <w:rFonts w:ascii="Calibri" w:cs="Calibri" w:eastAsia="Calibri" w:hAnsi="Calibri"/>
          <w:sz w:val="24"/>
          <w:szCs w:val="24"/>
          <w:b w:val="1"/>
          <w:bCs w:val="1"/>
          <w:color w:val="auto"/>
          <w:vertAlign w:val="subscript"/>
        </w:rPr>
        <w:t>Kenya</w:t>
      </w:r>
      <w:r>
        <w:rPr>
          <w:sz w:val="20"/>
          <w:szCs w:val="20"/>
          <w:color w:val="auto"/>
        </w:rPr>
        <w:tab/>
      </w:r>
      <w:r>
        <w:rPr>
          <w:rFonts w:ascii="Calibri" w:cs="Calibri" w:eastAsia="Calibri" w:hAnsi="Calibri"/>
          <w:sz w:val="14"/>
          <w:szCs w:val="14"/>
          <w:b w:val="1"/>
          <w:bCs w:val="1"/>
          <w:color w:val="auto"/>
        </w:rPr>
        <w:t>Tax Registraton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-57150</wp:posOffset>
            </wp:positionV>
            <wp:extent cx="65817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174" w:lineRule="exact"/>
        <w:rPr>
          <w:sz w:val="20"/>
          <w:szCs w:val="20"/>
          <w:color w:val="auto"/>
        </w:rPr>
      </w:pPr>
    </w:p>
    <w:p>
      <w:pPr>
        <w:jc w:val="both"/>
        <w:ind w:left="1340"/>
        <w:spacing w:after="0" w:line="206" w:lineRule="auto"/>
        <w:rPr>
          <w:sz w:val="20"/>
          <w:szCs w:val="20"/>
          <w:color w:val="auto"/>
        </w:rPr>
      </w:pPr>
      <w:r>
        <w:rPr>
          <w:rFonts w:ascii="Calibri" w:cs="Calibri" w:eastAsia="Calibri" w:hAnsi="Calibri"/>
          <w:sz w:val="19"/>
          <w:szCs w:val="19"/>
          <w:color w:val="auto"/>
        </w:rPr>
        <w:t xml:space="preserve">Under Tax Procedure Act, 2015, Employee is required to complete and submit a tax registraton to the Commissioner of Income Tax within 30 days afer the vestng of the Restricted Stock Units. The registraton should be completed through the online portal “ITAX.” </w:t>
      </w:r>
      <w:r>
        <w:rPr>
          <w:rFonts w:ascii="Calibri" w:cs="Calibri" w:eastAsia="Calibri" w:hAnsi="Calibri"/>
          <w:sz w:val="19"/>
          <w:szCs w:val="19"/>
          <w:i w:val="1"/>
          <w:iCs w:val="1"/>
          <w:color w:val="auto"/>
        </w:rPr>
        <w:t>Employee should consult his/her personal legal advisor to</w:t>
      </w:r>
    </w:p>
    <w:p>
      <w:pPr>
        <w:spacing w:after="0" w:line="2" w:lineRule="exact"/>
        <w:rPr>
          <w:sz w:val="20"/>
          <w:szCs w:val="20"/>
          <w:color w:val="auto"/>
        </w:rPr>
      </w:pPr>
    </w:p>
    <w:p>
      <w:pPr>
        <w:jc w:val="both"/>
        <w:ind w:left="1340" w:right="20"/>
        <w:spacing w:after="0" w:line="200" w:lineRule="auto"/>
        <w:rPr>
          <w:sz w:val="20"/>
          <w:szCs w:val="20"/>
          <w:color w:val="auto"/>
        </w:rPr>
      </w:pPr>
      <w:r>
        <w:rPr>
          <w:rFonts w:ascii="Calibri" w:cs="Calibri" w:eastAsia="Calibri" w:hAnsi="Calibri"/>
          <w:sz w:val="19"/>
          <w:szCs w:val="19"/>
          <w:i w:val="1"/>
          <w:iCs w:val="1"/>
          <w:color w:val="auto"/>
        </w:rPr>
        <w:t>ensure compliance with the applicable requirements. Employee is personally responsible for ensuring compliance with all registraton requirements in Kenya.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85725</wp:posOffset>
            </wp:positionV>
            <wp:extent cx="65817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ectPr>
          <w:pgSz w:w="11900" w:h="16838" w:orient="portrait"/>
          <w:cols w:equalWidth="0" w:num="1">
            <w:col w:w="10220"/>
          </w:cols>
          <w:pgMar w:left="400" w:top="527" w:right="1279" w:bottom="1440" w:gutter="0" w:footer="0" w:header="0"/>
        </w:sectPr>
      </w:pPr>
    </w:p>
    <w:bookmarkStart w:id="111" w:name="page112"/>
    <w:bookmarkEnd w:id="111"/>
    <w:p>
      <w:pPr>
        <w:spacing w:after="0"/>
        <w:tabs>
          <w:tab w:leader="none" w:pos="1320" w:val="left"/>
        </w:tabs>
        <w:rPr>
          <w:sz w:val="20"/>
          <w:szCs w:val="20"/>
          <w:color w:val="auto"/>
        </w:rPr>
      </w:pPr>
      <w:r>
        <w:rPr>
          <w:rFonts w:ascii="Calibri" w:cs="Calibri" w:eastAsia="Calibri" w:hAnsi="Calibri"/>
          <w:sz w:val="38"/>
          <w:szCs w:val="38"/>
          <w:b w:val="1"/>
          <w:bCs w:val="1"/>
          <w:color w:val="auto"/>
          <w:vertAlign w:val="subscript"/>
        </w:rPr>
        <w:t>Korea</w:t>
      </w:r>
      <w:r>
        <w:rPr>
          <w:sz w:val="20"/>
          <w:szCs w:val="20"/>
          <w:color w:val="auto"/>
        </w:rPr>
        <w:tab/>
      </w:r>
      <w:r>
        <w:rPr>
          <w:rFonts w:ascii="Calibri" w:cs="Calibri" w:eastAsia="Calibri" w:hAnsi="Calibri"/>
          <w:sz w:val="19"/>
          <w:szCs w:val="19"/>
          <w:b w:val="1"/>
          <w:bCs w:val="1"/>
          <w:color w:val="auto"/>
        </w:rPr>
        <w:t>Data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65817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219" w:lineRule="exact"/>
        <w:rPr>
          <w:sz w:val="20"/>
          <w:szCs w:val="20"/>
          <w:color w:val="auto"/>
        </w:rPr>
      </w:pPr>
    </w:p>
    <w:p>
      <w:pPr>
        <w:ind w:left="1340"/>
        <w:spacing w:after="0"/>
        <w:rPr>
          <w:sz w:val="20"/>
          <w:szCs w:val="20"/>
          <w:color w:val="auto"/>
        </w:rPr>
      </w:pPr>
      <w:r>
        <w:rPr>
          <w:rFonts w:ascii="Calibri" w:cs="Calibri" w:eastAsia="Calibri" w:hAnsi="Calibri"/>
          <w:sz w:val="19"/>
          <w:szCs w:val="19"/>
          <w:color w:val="auto"/>
        </w:rPr>
        <w:t>By acceptng the Restricted Stock Units:</w:t>
      </w:r>
    </w:p>
    <w:p>
      <w:pPr>
        <w:spacing w:after="0" w:line="200" w:lineRule="exact"/>
        <w:rPr>
          <w:sz w:val="20"/>
          <w:szCs w:val="20"/>
          <w:color w:val="auto"/>
        </w:rPr>
      </w:pPr>
    </w:p>
    <w:p>
      <w:pPr>
        <w:ind w:left="1960" w:right="20" w:hanging="613"/>
        <w:spacing w:after="0" w:line="210" w:lineRule="auto"/>
        <w:tabs>
          <w:tab w:leader="none" w:pos="1949" w:val="left"/>
        </w:tabs>
        <w:numPr>
          <w:ilvl w:val="0"/>
          <w:numId w:val="67"/>
        </w:numPr>
        <w:rPr>
          <w:rFonts w:ascii="Times New Roman" w:cs="Times New Roman" w:eastAsia="Times New Roman" w:hAnsi="Times New Roman"/>
          <w:sz w:val="19"/>
          <w:szCs w:val="19"/>
          <w:color w:val="auto"/>
        </w:rPr>
      </w:pPr>
      <w:r>
        <w:rPr>
          <w:rFonts w:ascii="Calibri" w:cs="Calibri" w:eastAsia="Calibri" w:hAnsi="Calibri"/>
          <w:sz w:val="19"/>
          <w:szCs w:val="19"/>
          <w:color w:val="auto"/>
        </w:rPr>
        <w:t>Employee agrees to the collecton, use, processing and transfer of Data as described in Paragraph 10 of the Agreement; and</w:t>
      </w:r>
    </w:p>
    <w:p>
      <w:pPr>
        <w:spacing w:after="0" w:line="200" w:lineRule="exact"/>
        <w:rPr>
          <w:rFonts w:ascii="Times New Roman" w:cs="Times New Roman" w:eastAsia="Times New Roman" w:hAnsi="Times New Roman"/>
          <w:sz w:val="19"/>
          <w:szCs w:val="19"/>
          <w:color w:val="auto"/>
        </w:rPr>
      </w:pPr>
    </w:p>
    <w:p>
      <w:pPr>
        <w:ind w:left="1960" w:hanging="613"/>
        <w:spacing w:after="0" w:line="226" w:lineRule="auto"/>
        <w:tabs>
          <w:tab w:leader="none" w:pos="1949" w:val="left"/>
        </w:tabs>
        <w:numPr>
          <w:ilvl w:val="0"/>
          <w:numId w:val="67"/>
        </w:numPr>
        <w:rPr>
          <w:rFonts w:ascii="Times New Roman" w:cs="Times New Roman" w:eastAsia="Times New Roman" w:hAnsi="Times New Roman"/>
          <w:sz w:val="19"/>
          <w:szCs w:val="19"/>
          <w:color w:val="auto"/>
        </w:rPr>
      </w:pPr>
      <w:r>
        <w:rPr>
          <w:rFonts w:ascii="Calibri" w:cs="Calibri" w:eastAsia="Calibri" w:hAnsi="Calibri"/>
          <w:sz w:val="19"/>
          <w:szCs w:val="19"/>
          <w:color w:val="auto"/>
        </w:rPr>
        <w:t>Employee agrees to the processing of Employee’s unique identfying informaton as described in Paragraph 10 of the Agreement</w:t>
      </w:r>
      <w:r>
        <w:rPr>
          <w:rFonts w:ascii="Calibri" w:cs="Calibri" w:eastAsia="Calibri" w:hAnsi="Calibri"/>
          <w:sz w:val="20"/>
          <w:szCs w:val="20"/>
          <w:color w:val="auto"/>
        </w:rPr>
        <w:t>.</w:t>
      </w:r>
    </w:p>
    <w:p>
      <w:pPr>
        <w:spacing w:after="0" w:line="151" w:lineRule="exact"/>
        <w:rPr>
          <w:sz w:val="20"/>
          <w:szCs w:val="20"/>
          <w:color w:val="auto"/>
        </w:rPr>
      </w:pPr>
    </w:p>
    <w:p>
      <w:pPr>
        <w:ind w:left="1340"/>
        <w:spacing w:after="0"/>
        <w:rPr>
          <w:sz w:val="20"/>
          <w:szCs w:val="20"/>
          <w:color w:val="auto"/>
        </w:rPr>
      </w:pPr>
      <w:r>
        <w:rPr>
          <w:rFonts w:ascii="Calibri" w:cs="Calibri" w:eastAsia="Calibri" w:hAnsi="Calibri"/>
          <w:sz w:val="19"/>
          <w:szCs w:val="19"/>
          <w:b w:val="1"/>
          <w:bCs w:val="1"/>
          <w:color w:val="auto"/>
        </w:rPr>
        <w:t>Foreign Asset/Account Reportng Informaton</w:t>
      </w:r>
    </w:p>
    <w:p>
      <w:pPr>
        <w:spacing w:after="0" w:line="71" w:lineRule="exact"/>
        <w:rPr>
          <w:sz w:val="20"/>
          <w:szCs w:val="20"/>
          <w:color w:val="auto"/>
        </w:rPr>
      </w:pPr>
    </w:p>
    <w:p>
      <w:pPr>
        <w:jc w:val="both"/>
        <w:ind w:left="1340"/>
        <w:spacing w:after="0" w:line="201" w:lineRule="auto"/>
        <w:rPr>
          <w:sz w:val="20"/>
          <w:szCs w:val="20"/>
          <w:color w:val="auto"/>
        </w:rPr>
      </w:pPr>
      <w:r>
        <w:rPr>
          <w:rFonts w:ascii="Calibri" w:cs="Calibri" w:eastAsia="Calibri" w:hAnsi="Calibri"/>
          <w:sz w:val="19"/>
          <w:szCs w:val="19"/>
          <w:color w:val="auto"/>
        </w:rPr>
        <w:t>If Employee is a Korean resident, he/she is required to declare all foreign fnancial accounts (e.g., non-Korean bank accounts, brokerage accounts holding shares of Stock, etc.) to the Korean tax authority and fle a report regarding such accounts if the monthly balance of such accounts exceeds a specifed threshold (currently KRW 500 million, or an equivalent amount in foreign currency) on any month-end date during a calendar year. It is Employee's responsibility to comply with this reportng obligaton. Employee should consult his/her personal tax advisor to ensure compliance with this requirement.</w:t>
      </w:r>
    </w:p>
    <w:p>
      <w:pPr>
        <w:spacing w:after="0" w:line="184" w:lineRule="auto"/>
        <w:tabs>
          <w:tab w:leader="none" w:pos="1320" w:val="left"/>
        </w:tabs>
        <w:rPr>
          <w:sz w:val="20"/>
          <w:szCs w:val="20"/>
          <w:color w:val="auto"/>
        </w:rPr>
      </w:pPr>
      <w:r>
        <w:rPr>
          <w:rFonts w:ascii="Calibri" w:cs="Calibri" w:eastAsia="Calibri" w:hAnsi="Calibri"/>
          <w:sz w:val="31"/>
          <w:szCs w:val="31"/>
          <w:b w:val="1"/>
          <w:bCs w:val="1"/>
          <w:color w:val="auto"/>
          <w:vertAlign w:val="subscript"/>
        </w:rPr>
        <w:t>Kuwait</w:t>
      </w:r>
      <w:r>
        <w:rPr>
          <w:sz w:val="20"/>
          <w:szCs w:val="20"/>
          <w:color w:val="auto"/>
        </w:rPr>
        <w:tab/>
      </w:r>
      <w:r>
        <w:rPr>
          <w:rFonts w:ascii="Calibri" w:cs="Calibri" w:eastAsia="Calibri" w:hAnsi="Calibri"/>
          <w:sz w:val="17"/>
          <w:szCs w:val="17"/>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-23495</wp:posOffset>
            </wp:positionV>
            <wp:extent cx="65817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226" w:lineRule="exact"/>
        <w:rPr>
          <w:sz w:val="20"/>
          <w:szCs w:val="20"/>
          <w:color w:val="auto"/>
        </w:rPr>
      </w:pPr>
    </w:p>
    <w:p>
      <w:pPr>
        <w:jc w:val="both"/>
        <w:ind w:left="1340"/>
        <w:spacing w:after="0" w:line="201" w:lineRule="auto"/>
        <w:rPr>
          <w:sz w:val="20"/>
          <w:szCs w:val="20"/>
          <w:color w:val="auto"/>
        </w:rPr>
      </w:pPr>
      <w:r>
        <w:rPr>
          <w:rFonts w:ascii="Calibri" w:cs="Calibri" w:eastAsia="Calibri" w:hAnsi="Calibri"/>
          <w:sz w:val="19"/>
          <w:szCs w:val="19"/>
          <w:color w:val="auto"/>
        </w:rPr>
        <w:t>The Plan does not consttute the marketng or ofering of securites in Kuwait pursuant to Law No. 7 of 2010, as amended (establishing the Capital Markets Authority) and its implementng regulatons. The informaton contained herein is intended solely for Employee’s use; it is confdental and privileged and is not intended to be circulated to any other person or party other than eligible employees or published by any means. Employee may not rely on the informaton contained herein for any purpose other than in relaton to this ofer and any share purchase or award hereunder.</w:t>
      </w:r>
    </w:p>
    <w:p>
      <w:pPr>
        <w:spacing w:after="0" w:line="186" w:lineRule="auto"/>
        <w:tabs>
          <w:tab w:leader="none" w:pos="1320" w:val="left"/>
        </w:tabs>
        <w:rPr>
          <w:sz w:val="20"/>
          <w:szCs w:val="20"/>
          <w:color w:val="auto"/>
        </w:rPr>
      </w:pPr>
      <w:r>
        <w:rPr>
          <w:rFonts w:ascii="Calibri" w:cs="Calibri" w:eastAsia="Calibri" w:hAnsi="Calibri"/>
          <w:sz w:val="24"/>
          <w:szCs w:val="24"/>
          <w:b w:val="1"/>
          <w:bCs w:val="1"/>
          <w:color w:val="auto"/>
          <w:vertAlign w:val="subscript"/>
        </w:rPr>
        <w:t>Malaysia</w:t>
      </w:r>
      <w:r>
        <w:rPr>
          <w:sz w:val="20"/>
          <w:szCs w:val="20"/>
          <w:color w:val="auto"/>
        </w:rPr>
        <w:tab/>
      </w:r>
      <w:r>
        <w:rPr>
          <w:rFonts w:ascii="Calibri" w:cs="Calibri" w:eastAsia="Calibri" w:hAnsi="Calibri"/>
          <w:sz w:val="14"/>
          <w:szCs w:val="14"/>
          <w:b w:val="1"/>
          <w:bCs w:val="1"/>
          <w:color w:val="auto"/>
        </w:rPr>
        <w:t>Director Notfcaton Obligatons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-48895</wp:posOffset>
            </wp:positionV>
            <wp:extent cx="65817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186" w:lineRule="exact"/>
        <w:rPr>
          <w:sz w:val="20"/>
          <w:szCs w:val="20"/>
          <w:color w:val="auto"/>
        </w:rPr>
      </w:pPr>
    </w:p>
    <w:p>
      <w:pPr>
        <w:jc w:val="both"/>
        <w:ind w:left="1340"/>
        <w:spacing w:after="0" w:line="201" w:lineRule="auto"/>
        <w:rPr>
          <w:sz w:val="20"/>
          <w:szCs w:val="20"/>
          <w:color w:val="auto"/>
        </w:rPr>
      </w:pPr>
      <w:r>
        <w:rPr>
          <w:rFonts w:ascii="Calibri" w:cs="Calibri" w:eastAsia="Calibri" w:hAnsi="Calibri"/>
          <w:sz w:val="19"/>
          <w:szCs w:val="19"/>
          <w:color w:val="auto"/>
        </w:rPr>
        <w:t xml:space="preserve">If Employee is a director of the Company’s Malaysian Subsidiary, Employee is subject to certain notfcaton requirements under the Malaysian Companies Act 2016 with regards to the acquisiton or disposal of shares of Stock, or rights or optons in respect of the acquisiton or disposal of the shares of Stock or partcipatory interests made available by the Company’s Malaysian Subsidiary or any related company. Such notfcaton must be made within 14 days from the date of Employee’s acquisiton or disposal of any such shares of Stock, rights or optons. </w:t>
      </w:r>
      <w:r>
        <w:rPr>
          <w:rFonts w:ascii="Calibri" w:cs="Calibri" w:eastAsia="Calibri" w:hAnsi="Calibri"/>
          <w:sz w:val="19"/>
          <w:szCs w:val="19"/>
          <w:i w:val="1"/>
          <w:iCs w:val="1"/>
          <w:color w:val="auto"/>
        </w:rPr>
        <w:t>Employee should contact his/her personal legal advisor for further details if Employee is a director.</w:t>
      </w:r>
    </w:p>
    <w:p>
      <w:pPr>
        <w:spacing w:after="0" w:line="66" w:lineRule="exact"/>
        <w:rPr>
          <w:sz w:val="20"/>
          <w:szCs w:val="20"/>
          <w:color w:val="auto"/>
        </w:rPr>
      </w:pPr>
    </w:p>
    <w:p>
      <w:pPr>
        <w:ind w:left="1340"/>
        <w:spacing w:after="0"/>
        <w:rPr>
          <w:sz w:val="20"/>
          <w:szCs w:val="20"/>
          <w:color w:val="auto"/>
        </w:rPr>
      </w:pPr>
      <w:r>
        <w:rPr>
          <w:rFonts w:ascii="Calibri" w:cs="Calibri" w:eastAsia="Calibri" w:hAnsi="Calibri"/>
          <w:sz w:val="19"/>
          <w:szCs w:val="19"/>
          <w:b w:val="1"/>
          <w:bCs w:val="1"/>
          <w:color w:val="auto"/>
        </w:rPr>
        <w:t>Securites Law Notce</w:t>
      </w:r>
    </w:p>
    <w:p>
      <w:pPr>
        <w:spacing w:after="0" w:line="135" w:lineRule="exact"/>
        <w:rPr>
          <w:sz w:val="20"/>
          <w:szCs w:val="20"/>
          <w:color w:val="auto"/>
        </w:rPr>
      </w:pPr>
    </w:p>
    <w:p>
      <w:pPr>
        <w:jc w:val="both"/>
        <w:ind w:left="1340"/>
        <w:spacing w:after="0" w:line="201" w:lineRule="auto"/>
        <w:rPr>
          <w:sz w:val="20"/>
          <w:szCs w:val="20"/>
          <w:color w:val="auto"/>
        </w:rPr>
      </w:pPr>
      <w:r>
        <w:rPr>
          <w:rFonts w:ascii="Calibri" w:cs="Calibri" w:eastAsia="Calibri" w:hAnsi="Calibri"/>
          <w:sz w:val="19"/>
          <w:szCs w:val="19"/>
          <w:color w:val="auto"/>
        </w:rPr>
        <w:t>The ofer of the Restricted Stock Units in Malaysia consttutes or relates to an ‘excluded ofer,’ ‘excluded invitaton,’ or ‘excluded issue’ pursuant to Secton 229 and Secton 230 of the Capital Markets and Services Act 2007 (“CMSA”), and as a consequence no prospectus is required to be registered with the Securites Commission of Malaysia. The Restricted Stock Units documents do not consttute and may not be used for the purpose of a public ofering or an issue, ofer for subscripton or purchase, invitaton to subscribe for or purchase any securites requiring the registraton of a prospectus with the Securites Commission in Malaysia under the CMSA.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94615</wp:posOffset>
            </wp:positionV>
            <wp:extent cx="65817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ectPr>
          <w:pgSz w:w="11900" w:h="16838" w:orient="portrait"/>
          <w:cols w:equalWidth="0" w:num="1">
            <w:col w:w="10220"/>
          </w:cols>
          <w:pgMar w:left="400" w:top="527" w:right="1279" w:bottom="1440" w:gutter="0" w:footer="0" w:header="0"/>
        </w:sectPr>
      </w:pPr>
    </w:p>
    <w:bookmarkStart w:id="112" w:name="page113"/>
    <w:bookmarkEnd w:id="112"/>
    <w:p>
      <w:pPr>
        <w:spacing w:after="0"/>
        <w:tabs>
          <w:tab w:leader="none" w:pos="1320" w:val="left"/>
        </w:tabs>
        <w:rPr>
          <w:sz w:val="20"/>
          <w:szCs w:val="20"/>
          <w:color w:val="auto"/>
        </w:rPr>
      </w:pPr>
      <w:r>
        <w:rPr>
          <w:rFonts w:ascii="Calibri" w:cs="Calibri" w:eastAsia="Calibri" w:hAnsi="Calibri"/>
          <w:sz w:val="38"/>
          <w:szCs w:val="38"/>
          <w:b w:val="1"/>
          <w:bCs w:val="1"/>
          <w:color w:val="auto"/>
          <w:vertAlign w:val="subscript"/>
        </w:rPr>
        <w:t>Mexico</w:t>
      </w:r>
      <w:r>
        <w:rPr>
          <w:sz w:val="20"/>
          <w:szCs w:val="20"/>
          <w:color w:val="auto"/>
        </w:rPr>
        <w:tab/>
      </w:r>
      <w:r>
        <w:rPr>
          <w:rFonts w:ascii="Calibri" w:cs="Calibri" w:eastAsia="Calibri" w:hAnsi="Calibri"/>
          <w:sz w:val="19"/>
          <w:szCs w:val="19"/>
          <w:b w:val="1"/>
          <w:bCs w:val="1"/>
          <w:color w:val="auto"/>
        </w:rPr>
        <w:t>Labor Law Acknowledgment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65817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225" w:lineRule="exact"/>
        <w:rPr>
          <w:sz w:val="20"/>
          <w:szCs w:val="20"/>
          <w:color w:val="auto"/>
        </w:rPr>
      </w:pPr>
    </w:p>
    <w:p>
      <w:pPr>
        <w:jc w:val="both"/>
        <w:ind w:left="1340"/>
        <w:spacing w:after="0" w:line="201" w:lineRule="auto"/>
        <w:rPr>
          <w:sz w:val="20"/>
          <w:szCs w:val="20"/>
          <w:color w:val="auto"/>
        </w:rPr>
      </w:pPr>
      <w:r>
        <w:rPr>
          <w:rFonts w:ascii="Calibri" w:cs="Calibri" w:eastAsia="Calibri" w:hAnsi="Calibri"/>
          <w:sz w:val="19"/>
          <w:szCs w:val="19"/>
          <w:color w:val="auto"/>
        </w:rPr>
        <w:t>The invitaton the Company is making under the Plan is unilateral and discretonary and is not related to the salary and other contractual benefts granted to Employee by the Employer; therefore, benefts derived from the Plan will not under any circumstance be considered as an integral part of Employee’s salary. The Company reserves the absolute right to amend the Plan and discontnue it at any tme without incurring any liability whatsoever. This invitaton and, in Employee’s case, the acquisiton of shares of Stock does not, in any way, establish a labor relatonship between Employee and the Company, nor does it establish any rights between Employee and the Employer.</w:t>
      </w:r>
    </w:p>
    <w:p>
      <w:pPr>
        <w:spacing w:after="0" w:line="71" w:lineRule="exact"/>
        <w:rPr>
          <w:sz w:val="20"/>
          <w:szCs w:val="20"/>
          <w:color w:val="auto"/>
        </w:rPr>
      </w:pPr>
    </w:p>
    <w:p>
      <w:pPr>
        <w:jc w:val="both"/>
        <w:ind w:left="1340"/>
        <w:spacing w:after="0" w:line="201" w:lineRule="auto"/>
        <w:rPr>
          <w:sz w:val="20"/>
          <w:szCs w:val="20"/>
          <w:color w:val="auto"/>
        </w:rPr>
      </w:pPr>
      <w:r>
        <w:rPr>
          <w:rFonts w:ascii="Calibri" w:cs="Calibri" w:eastAsia="Calibri" w:hAnsi="Calibri"/>
          <w:sz w:val="19"/>
          <w:szCs w:val="19"/>
          <w:i w:val="1"/>
          <w:iCs w:val="1"/>
          <w:color w:val="auto"/>
        </w:rPr>
        <w:t>La invitación que la Empresa hace en relación con el Plan es unilateral, discrecional y no se relaciona con el salario ni con otros benefcios que recibe el Empleado del Patrón por lo que ningún benefcio derivado del Plan será considerado bajo ninguna circunstancia como parte integral del salario del Empleado. La Empresa se reserva el derecho absoluto para modifcar o terminar el Plan en cualquier momento, sin incurrir en responsabilidad alguna. Esta invitación y, en caso del Empleado, la adquisición de valores de acciones, de ninguna manera establecen relación laboral alguna entre el Empleado y la Empresa y tampoco genera derecho alguno entre el Empleado y el Patrón.</w:t>
      </w:r>
    </w:p>
    <w:p>
      <w:pPr>
        <w:spacing w:after="0" w:line="52" w:lineRule="exact"/>
        <w:rPr>
          <w:sz w:val="20"/>
          <w:szCs w:val="20"/>
          <w:color w:val="auto"/>
        </w:rPr>
      </w:pPr>
    </w:p>
    <w:p>
      <w:pPr>
        <w:ind w:left="1340"/>
        <w:spacing w:after="0"/>
        <w:rPr>
          <w:sz w:val="20"/>
          <w:szCs w:val="20"/>
          <w:color w:val="auto"/>
        </w:rPr>
      </w:pPr>
      <w:r>
        <w:rPr>
          <w:rFonts w:ascii="Calibri" w:cs="Calibri" w:eastAsia="Calibri" w:hAnsi="Calibri"/>
          <w:sz w:val="19"/>
          <w:szCs w:val="19"/>
          <w:b w:val="1"/>
          <w:bCs w:val="1"/>
          <w:color w:val="auto"/>
        </w:rPr>
        <w:t>Securites Law Notce</w:t>
      </w:r>
    </w:p>
    <w:p>
      <w:pPr>
        <w:spacing w:after="0" w:line="71" w:lineRule="exact"/>
        <w:rPr>
          <w:sz w:val="20"/>
          <w:szCs w:val="20"/>
          <w:color w:val="auto"/>
        </w:rPr>
      </w:pPr>
    </w:p>
    <w:p>
      <w:pPr>
        <w:jc w:val="both"/>
        <w:ind w:left="1340"/>
        <w:spacing w:after="0" w:line="199" w:lineRule="auto"/>
        <w:rPr>
          <w:sz w:val="20"/>
          <w:szCs w:val="20"/>
          <w:color w:val="auto"/>
        </w:rPr>
      </w:pPr>
      <w:r>
        <w:rPr>
          <w:rFonts w:ascii="Calibri" w:cs="Calibri" w:eastAsia="Calibri" w:hAnsi="Calibri"/>
          <w:sz w:val="19"/>
          <w:szCs w:val="19"/>
          <w:color w:val="auto"/>
        </w:rPr>
        <w:t>Any Restricted Stock Units ofered under the Plan and the shares of Stock underlying the Restricted Stock Units have not been registered with the Natonal Register of Securites maintained by the Mexican Natonal Banking and Securites Commission and cannot be ofered or sold publicly in Mexico. In additon, the Plan and any other document relatng to any Restricted Stock Units may not be publicly distributed in Mexico. These materials are addressed to Employee only because of his or her existng relatonship with the Company and its Subsidiaries and afliated companies and these materials should not be reproduced or copied in any form. The ofer contained in these materials does not consttute a public ofering of securites but rather consttutes a private placement of securites addressed specifcally to individuals who are present employees of the Company or one of its Subsidiaries and afliated companies, made in accordance with the provisions of the Mexican Securites Market Law, and any rights under such ofering shall not be assigned or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88265</wp:posOffset>
            </wp:positionV>
            <wp:extent cx="65817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ectPr>
          <w:pgSz w:w="11900" w:h="16838" w:orient="portrait"/>
          <w:cols w:equalWidth="0" w:num="1">
            <w:col w:w="10220"/>
          </w:cols>
          <w:pgMar w:left="400" w:top="527" w:right="1279" w:bottom="1440" w:gutter="0" w:footer="0" w:header="0"/>
        </w:sectPr>
      </w:pPr>
    </w:p>
    <w:bookmarkStart w:id="113" w:name="page114"/>
    <w:bookmarkEnd w:id="113"/>
    <w:p>
      <w:pPr>
        <w:spacing w:after="0"/>
        <w:tabs>
          <w:tab w:leader="none" w:pos="1320" w:val="left"/>
        </w:tabs>
        <w:rPr>
          <w:sz w:val="20"/>
          <w:szCs w:val="20"/>
          <w:color w:val="auto"/>
        </w:rPr>
      </w:pPr>
      <w:r>
        <w:rPr>
          <w:rFonts w:ascii="Calibri" w:cs="Calibri" w:eastAsia="Calibri" w:hAnsi="Calibri"/>
          <w:sz w:val="19"/>
          <w:szCs w:val="19"/>
          <w:b w:val="1"/>
          <w:bCs w:val="1"/>
          <w:color w:val="auto"/>
        </w:rPr>
        <w:drawing>
          <wp:anchor simplePos="0" relativeHeight="251657728" behindDoc="1" locked="0" layoutInCell="0" allowOverlap="1">
            <wp:simplePos x="0" y="0"/>
            <wp:positionH relativeFrom="page">
              <wp:posOffset>205105</wp:posOffset>
            </wp:positionH>
            <wp:positionV relativeFrom="page">
              <wp:posOffset>604520</wp:posOffset>
            </wp:positionV>
            <wp:extent cx="65817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6581775" cy="8255"/>
                    </a:xfrm>
                    <a:prstGeom prst="rect">
                      <a:avLst/>
                    </a:prstGeom>
                    <a:noFill/>
                  </pic:spPr>
                </pic:pic>
              </a:graphicData>
            </a:graphic>
          </wp:anchor>
        </w:drawing>
        <w:t>New Zealand</w:t>
      </w:r>
      <w:r>
        <w:rPr>
          <w:sz w:val="20"/>
          <w:szCs w:val="20"/>
          <w:color w:val="auto"/>
        </w:rPr>
        <w:tab/>
      </w:r>
      <w:r>
        <w:rPr>
          <w:rFonts w:ascii="Calibri" w:cs="Calibri" w:eastAsia="Calibri" w:hAnsi="Calibri"/>
          <w:sz w:val="19"/>
          <w:szCs w:val="19"/>
          <w:b w:val="1"/>
          <w:bCs w:val="1"/>
          <w:color w:val="auto"/>
        </w:rPr>
        <w:t>Securites Law Notce</w:t>
      </w:r>
    </w:p>
    <w:p>
      <w:pPr>
        <w:spacing w:after="0" w:line="135" w:lineRule="exact"/>
        <w:rPr>
          <w:sz w:val="20"/>
          <w:szCs w:val="20"/>
          <w:color w:val="auto"/>
        </w:rPr>
      </w:pPr>
    </w:p>
    <w:p>
      <w:pPr>
        <w:ind w:left="1340" w:right="220"/>
        <w:spacing w:after="0" w:line="256" w:lineRule="auto"/>
        <w:rPr>
          <w:sz w:val="20"/>
          <w:szCs w:val="20"/>
          <w:color w:val="auto"/>
        </w:rPr>
      </w:pPr>
      <w:r>
        <w:rPr>
          <w:rFonts w:ascii="Calibri" w:cs="Calibri" w:eastAsia="Calibri" w:hAnsi="Calibri"/>
          <w:sz w:val="19"/>
          <w:szCs w:val="19"/>
          <w:color w:val="auto"/>
        </w:rPr>
        <w:t>This is an ofer of Restricted Stock Units over shares of common stock of Halliburton Company (“Halliburton”). Halliburton shares give Employee a stake in the ownership of Halliburton. Employee may receive a return if dividends or dividend equivalents are paid.</w:t>
      </w:r>
    </w:p>
    <w:p>
      <w:pPr>
        <w:spacing w:after="0" w:line="109" w:lineRule="exact"/>
        <w:rPr>
          <w:sz w:val="20"/>
          <w:szCs w:val="20"/>
          <w:color w:val="auto"/>
        </w:rPr>
      </w:pPr>
    </w:p>
    <w:p>
      <w:pPr>
        <w:ind w:left="1300" w:firstLine="44"/>
        <w:spacing w:after="0" w:line="260" w:lineRule="auto"/>
        <w:rPr>
          <w:sz w:val="20"/>
          <w:szCs w:val="20"/>
          <w:color w:val="auto"/>
        </w:rPr>
      </w:pPr>
      <w:r>
        <w:rPr>
          <w:rFonts w:ascii="Calibri" w:cs="Calibri" w:eastAsia="Calibri" w:hAnsi="Calibri"/>
          <w:sz w:val="19"/>
          <w:szCs w:val="19"/>
          <w:color w:val="auto"/>
        </w:rPr>
        <w:t>If Halliburton runs into fnancial difcultes and is wound up, Employee will be paid only afer all creditors and holders of preference shares have been paid. Employee may lose some or all of Employee’s investment.New Zealand law normally requires people who ofer fnancial products to give informaton to investors before they invest. This informaton is designed to help investors make an informed decision.The usual rules do not apply to this ofer because it is made under an employee share purchase scheme. As a result, Employee may not be given all the informaton usually required. Employee will also have fewer other legal protectons for this investment.Employee should ask questons, read all documents carefully, and seek independent fnancial advice before commitng himself or herself.The shares of Stock are quoted on the New York Stock Exchange. This means that if Employee acquires shares of Stock under the Plan, Employee may be able to sell them on the New York Stock Exchange if there are interested buyers. The price will depend on the demand for the shares of Stock. Employee is enttled to receive, free of charge, a copy of Halliburton’s latest annual report, fnancial statements and auditor’s report if Employee makes a request to Halliburton to receive a copy of those documents. Employee may obtain such informaton by sending an email to the Halliburton Equity Compensaton Department at FHALEquityComp@halliburton.com.Employee is hereby notfed that the documents listed below are available for Employee’s review on Halliburton’s external (www.halliburton.com) and/or internal sites (HALWorld); as well as via Employee’s Stock Plan Account:</w:t>
      </w:r>
    </w:p>
    <w:p>
      <w:pPr>
        <w:spacing w:after="0" w:line="189" w:lineRule="exact"/>
        <w:rPr>
          <w:sz w:val="20"/>
          <w:szCs w:val="20"/>
          <w:color w:val="auto"/>
        </w:rPr>
      </w:pPr>
    </w:p>
    <w:p>
      <w:pPr>
        <w:ind w:left="1960" w:hanging="304"/>
        <w:spacing w:after="0"/>
        <w:tabs>
          <w:tab w:leader="none" w:pos="1960" w:val="left"/>
        </w:tabs>
        <w:numPr>
          <w:ilvl w:val="0"/>
          <w:numId w:val="68"/>
        </w:numPr>
        <w:rPr>
          <w:rFonts w:ascii="Times New Roman" w:cs="Times New Roman" w:eastAsia="Times New Roman" w:hAnsi="Times New Roman"/>
          <w:sz w:val="19"/>
          <w:szCs w:val="19"/>
          <w:color w:val="auto"/>
        </w:rPr>
      </w:pPr>
      <w:r>
        <w:rPr>
          <w:rFonts w:ascii="Calibri" w:cs="Calibri" w:eastAsia="Calibri" w:hAnsi="Calibri"/>
          <w:sz w:val="19"/>
          <w:szCs w:val="19"/>
          <w:color w:val="auto"/>
        </w:rPr>
        <w:t>Halliburton’s most recent Annual Report (Form 10-K)</w:t>
      </w:r>
    </w:p>
    <w:p>
      <w:pPr>
        <w:spacing w:after="0" w:line="25" w:lineRule="exact"/>
        <w:rPr>
          <w:rFonts w:ascii="Times New Roman" w:cs="Times New Roman" w:eastAsia="Times New Roman" w:hAnsi="Times New Roman"/>
          <w:sz w:val="19"/>
          <w:szCs w:val="19"/>
          <w:color w:val="auto"/>
        </w:rPr>
      </w:pPr>
    </w:p>
    <w:p>
      <w:pPr>
        <w:ind w:left="1960" w:hanging="304"/>
        <w:spacing w:after="0"/>
        <w:tabs>
          <w:tab w:leader="none" w:pos="1960" w:val="left"/>
        </w:tabs>
        <w:numPr>
          <w:ilvl w:val="0"/>
          <w:numId w:val="68"/>
        </w:numPr>
        <w:rPr>
          <w:rFonts w:ascii="Times New Roman" w:cs="Times New Roman" w:eastAsia="Times New Roman" w:hAnsi="Times New Roman"/>
          <w:sz w:val="19"/>
          <w:szCs w:val="19"/>
          <w:color w:val="auto"/>
        </w:rPr>
      </w:pPr>
      <w:r>
        <w:rPr>
          <w:rFonts w:ascii="Calibri" w:cs="Calibri" w:eastAsia="Calibri" w:hAnsi="Calibri"/>
          <w:sz w:val="19"/>
          <w:szCs w:val="19"/>
          <w:color w:val="auto"/>
        </w:rPr>
        <w:t>Halliburton’s most recent published fnancial statements</w:t>
      </w:r>
    </w:p>
    <w:p>
      <w:pPr>
        <w:spacing w:after="0" w:line="38" w:lineRule="exact"/>
        <w:rPr>
          <w:rFonts w:ascii="Times New Roman" w:cs="Times New Roman" w:eastAsia="Times New Roman" w:hAnsi="Times New Roman"/>
          <w:sz w:val="19"/>
          <w:szCs w:val="19"/>
          <w:color w:val="auto"/>
        </w:rPr>
      </w:pPr>
    </w:p>
    <w:p>
      <w:pPr>
        <w:ind w:left="1960" w:hanging="304"/>
        <w:spacing w:after="0"/>
        <w:tabs>
          <w:tab w:leader="none" w:pos="1960" w:val="left"/>
        </w:tabs>
        <w:numPr>
          <w:ilvl w:val="0"/>
          <w:numId w:val="68"/>
        </w:numPr>
        <w:rPr>
          <w:rFonts w:ascii="Times New Roman" w:cs="Times New Roman" w:eastAsia="Times New Roman" w:hAnsi="Times New Roman"/>
          <w:sz w:val="19"/>
          <w:szCs w:val="19"/>
          <w:color w:val="auto"/>
        </w:rPr>
      </w:pPr>
      <w:r>
        <w:rPr>
          <w:rFonts w:ascii="Calibri" w:cs="Calibri" w:eastAsia="Calibri" w:hAnsi="Calibri"/>
          <w:sz w:val="19"/>
          <w:szCs w:val="19"/>
          <w:color w:val="auto"/>
        </w:rPr>
        <w:t>The Plan Document</w:t>
      </w:r>
    </w:p>
    <w:p>
      <w:pPr>
        <w:spacing w:after="0" w:line="25" w:lineRule="exact"/>
        <w:rPr>
          <w:rFonts w:ascii="Times New Roman" w:cs="Times New Roman" w:eastAsia="Times New Roman" w:hAnsi="Times New Roman"/>
          <w:sz w:val="19"/>
          <w:szCs w:val="19"/>
          <w:color w:val="auto"/>
        </w:rPr>
      </w:pPr>
    </w:p>
    <w:p>
      <w:pPr>
        <w:ind w:left="1960" w:hanging="304"/>
        <w:spacing w:after="0"/>
        <w:tabs>
          <w:tab w:leader="none" w:pos="1960" w:val="left"/>
        </w:tabs>
        <w:numPr>
          <w:ilvl w:val="0"/>
          <w:numId w:val="68"/>
        </w:numPr>
        <w:rPr>
          <w:rFonts w:ascii="Times New Roman" w:cs="Times New Roman" w:eastAsia="Times New Roman" w:hAnsi="Times New Roman"/>
          <w:sz w:val="19"/>
          <w:szCs w:val="19"/>
          <w:color w:val="auto"/>
        </w:rPr>
      </w:pPr>
      <w:r>
        <w:rPr>
          <w:rFonts w:ascii="Calibri" w:cs="Calibri" w:eastAsia="Calibri" w:hAnsi="Calibri"/>
          <w:sz w:val="19"/>
          <w:szCs w:val="19"/>
          <w:color w:val="auto"/>
        </w:rPr>
        <w:t>The Prospectus</w:t>
      </w:r>
    </w:p>
    <w:p>
      <w:pPr>
        <w:spacing w:after="0" w:line="25" w:lineRule="exact"/>
        <w:rPr>
          <w:rFonts w:ascii="Times New Roman" w:cs="Times New Roman" w:eastAsia="Times New Roman" w:hAnsi="Times New Roman"/>
          <w:sz w:val="19"/>
          <w:szCs w:val="19"/>
          <w:color w:val="auto"/>
        </w:rPr>
      </w:pPr>
    </w:p>
    <w:p>
      <w:pPr>
        <w:ind w:left="1960" w:hanging="304"/>
        <w:spacing w:after="0"/>
        <w:tabs>
          <w:tab w:leader="none" w:pos="1960" w:val="left"/>
        </w:tabs>
        <w:numPr>
          <w:ilvl w:val="0"/>
          <w:numId w:val="68"/>
        </w:numPr>
        <w:rPr>
          <w:rFonts w:ascii="Calibri" w:cs="Calibri" w:eastAsia="Calibri" w:hAnsi="Calibri"/>
          <w:sz w:val="19"/>
          <w:szCs w:val="19"/>
          <w:color w:val="auto"/>
        </w:rPr>
      </w:pPr>
      <w:r>
        <w:rPr>
          <w:rFonts w:ascii="Calibri" w:cs="Calibri" w:eastAsia="Calibri" w:hAnsi="Calibri"/>
          <w:sz w:val="19"/>
          <w:szCs w:val="19"/>
          <w:color w:val="auto"/>
        </w:rPr>
        <w:t>The Agreement (of which this Addendum is a part) - available only via Employee's Stock Plan Account</w:t>
      </w:r>
    </w:p>
    <w:p>
      <w:pPr>
        <w:spacing w:after="0" w:line="185" w:lineRule="auto"/>
        <w:tabs>
          <w:tab w:leader="none" w:pos="1320" w:val="left"/>
        </w:tabs>
        <w:rPr>
          <w:sz w:val="20"/>
          <w:szCs w:val="20"/>
          <w:color w:val="auto"/>
        </w:rPr>
      </w:pPr>
      <w:r>
        <w:rPr>
          <w:rFonts w:ascii="Calibri" w:cs="Calibri" w:eastAsia="Calibri" w:hAnsi="Calibri"/>
          <w:sz w:val="28"/>
          <w:szCs w:val="28"/>
          <w:b w:val="1"/>
          <w:bCs w:val="1"/>
          <w:color w:val="auto"/>
          <w:vertAlign w:val="subscript"/>
        </w:rPr>
        <w:t>Oman</w:t>
      </w:r>
      <w:r>
        <w:rPr>
          <w:sz w:val="20"/>
          <w:szCs w:val="20"/>
          <w:color w:val="auto"/>
        </w:rPr>
        <w:tab/>
      </w:r>
      <w:r>
        <w:rPr>
          <w:rFonts w:ascii="Calibri" w:cs="Calibri" w:eastAsia="Calibri" w:hAnsi="Calibri"/>
          <w:sz w:val="16"/>
          <w:szCs w:val="16"/>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-24130</wp:posOffset>
            </wp:positionV>
            <wp:extent cx="65817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264" w:lineRule="exact"/>
        <w:rPr>
          <w:sz w:val="20"/>
          <w:szCs w:val="20"/>
          <w:color w:val="auto"/>
        </w:rPr>
      </w:pPr>
    </w:p>
    <w:p>
      <w:pPr>
        <w:ind w:left="1300" w:right="140"/>
        <w:spacing w:after="0" w:line="255" w:lineRule="auto"/>
        <w:rPr>
          <w:sz w:val="20"/>
          <w:szCs w:val="20"/>
          <w:color w:val="auto"/>
        </w:rPr>
      </w:pPr>
      <w:r>
        <w:rPr>
          <w:rFonts w:ascii="Calibri" w:cs="Calibri" w:eastAsia="Calibri" w:hAnsi="Calibri"/>
          <w:sz w:val="19"/>
          <w:szCs w:val="19"/>
          <w:color w:val="auto"/>
        </w:rPr>
        <w:t>The Plan does not consttute the marketng or ofering of securites in Oman and consequently has not been registered or approved by the Central Bank of Oman, the Omani Ministry of Commerce and Industry, the Omani Capital Market Authority or any other authority in the Sultanate of Oman. Oferings under the Plan are being made only to eligible employees of the Company and its Subsidiaries or afliated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142875</wp:posOffset>
            </wp:positionV>
            <wp:extent cx="65817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ectPr>
          <w:pgSz w:w="11900" w:h="16838" w:orient="portrait"/>
          <w:cols w:equalWidth="0" w:num="1">
            <w:col w:w="10180"/>
          </w:cols>
          <w:pgMar w:left="400" w:top="972" w:right="1319" w:bottom="1440" w:gutter="0" w:footer="0" w:header="0"/>
        </w:sectPr>
      </w:pPr>
    </w:p>
    <w:bookmarkStart w:id="114" w:name="page115"/>
    <w:bookmarkEnd w:id="114"/>
    <w:p>
      <w:pPr>
        <w:spacing w:after="0"/>
        <w:tabs>
          <w:tab w:leader="none" w:pos="1320" w:val="left"/>
        </w:tabs>
        <w:rPr>
          <w:sz w:val="20"/>
          <w:szCs w:val="20"/>
          <w:color w:val="auto"/>
        </w:rPr>
      </w:pPr>
      <w:r>
        <w:rPr>
          <w:rFonts w:ascii="Calibri" w:cs="Calibri" w:eastAsia="Calibri" w:hAnsi="Calibri"/>
          <w:sz w:val="38"/>
          <w:szCs w:val="38"/>
          <w:b w:val="1"/>
          <w:bCs w:val="1"/>
          <w:color w:val="auto"/>
          <w:vertAlign w:val="subscript"/>
        </w:rPr>
        <w:t>Pakistan</w:t>
      </w:r>
      <w:r>
        <w:rPr>
          <w:sz w:val="20"/>
          <w:szCs w:val="20"/>
          <w:color w:val="auto"/>
        </w:rPr>
        <w:tab/>
      </w:r>
      <w:r>
        <w:rPr>
          <w:rFonts w:ascii="Calibri" w:cs="Calibri" w:eastAsia="Calibri" w:hAnsi="Calibri"/>
          <w:sz w:val="19"/>
          <w:szCs w:val="19"/>
          <w:b w:val="1"/>
          <w:bCs w:val="1"/>
          <w:color w:val="auto"/>
        </w:rPr>
        <w:t>Exchange Control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65817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225" w:lineRule="exact"/>
        <w:rPr>
          <w:sz w:val="20"/>
          <w:szCs w:val="20"/>
          <w:color w:val="auto"/>
        </w:rPr>
      </w:pPr>
    </w:p>
    <w:p>
      <w:pPr>
        <w:jc w:val="both"/>
        <w:ind w:left="1340"/>
        <w:spacing w:after="0" w:line="206" w:lineRule="auto"/>
        <w:rPr>
          <w:sz w:val="20"/>
          <w:szCs w:val="20"/>
          <w:color w:val="auto"/>
        </w:rPr>
      </w:pPr>
      <w:r>
        <w:rPr>
          <w:rFonts w:ascii="Calibri" w:cs="Calibri" w:eastAsia="Calibri" w:hAnsi="Calibri"/>
          <w:sz w:val="19"/>
          <w:szCs w:val="19"/>
          <w:color w:val="auto"/>
        </w:rPr>
        <w:t>Employee’s partcipaton in the Plan may be subject to certain terms and conditons imposed by the State Bank of Pakistan. Employee is required to immediately repatriate to Pakistan the proceeds from any dividends or from the sale of shares of Stock. Employee may be required to register ownership of foreign shares with the State</w:t>
      </w:r>
    </w:p>
    <w:p>
      <w:pPr>
        <w:spacing w:after="0" w:line="2" w:lineRule="exact"/>
        <w:rPr>
          <w:sz w:val="20"/>
          <w:szCs w:val="20"/>
          <w:color w:val="auto"/>
        </w:rPr>
      </w:pPr>
    </w:p>
    <w:p>
      <w:pPr>
        <w:jc w:val="both"/>
        <w:ind w:left="1340" w:right="20"/>
        <w:spacing w:after="0" w:line="195" w:lineRule="auto"/>
        <w:rPr>
          <w:sz w:val="20"/>
          <w:szCs w:val="20"/>
          <w:color w:val="auto"/>
        </w:rPr>
      </w:pPr>
      <w:r>
        <w:rPr>
          <w:rFonts w:ascii="Calibri" w:cs="Calibri" w:eastAsia="Calibri" w:hAnsi="Calibri"/>
          <w:sz w:val="19"/>
          <w:szCs w:val="19"/>
          <w:color w:val="auto"/>
        </w:rPr>
        <w:t xml:space="preserve">Bank of Pakistan using the prescribed Form V-100. </w:t>
      </w:r>
      <w:r>
        <w:rPr>
          <w:rFonts w:ascii="Calibri" w:cs="Calibri" w:eastAsia="Calibri" w:hAnsi="Calibri"/>
          <w:sz w:val="19"/>
          <w:szCs w:val="19"/>
          <w:i w:val="1"/>
          <w:iCs w:val="1"/>
          <w:color w:val="auto"/>
        </w:rPr>
        <w:t>Employee should consult Employee’s personal advisor prior to</w:t>
      </w:r>
      <w:r>
        <w:rPr>
          <w:rFonts w:ascii="Calibri" w:cs="Calibri" w:eastAsia="Calibri" w:hAnsi="Calibri"/>
          <w:sz w:val="19"/>
          <w:szCs w:val="19"/>
          <w:color w:val="auto"/>
        </w:rPr>
        <w:t xml:space="preserve"> </w:t>
      </w:r>
      <w:r>
        <w:rPr>
          <w:rFonts w:ascii="Calibri" w:cs="Calibri" w:eastAsia="Calibri" w:hAnsi="Calibri"/>
          <w:sz w:val="19"/>
          <w:szCs w:val="19"/>
          <w:i w:val="1"/>
          <w:iCs w:val="1"/>
          <w:color w:val="auto"/>
        </w:rPr>
        <w:t>repatriaton of any proceeds from dividends or from the sale of shares of Stock to ensure compliance with applicable exchange control regulatons in Pakistan, as such regulatons are subject to change. Please note that Employee should keep copies of any documents, certfcates or invoices involving foreign currency transactons in connecton with Employee’s partcipaton in the Plan. Employee personally is responsible for ensuring compliance with all exchange control laws in Pakistan.</w:t>
      </w:r>
    </w:p>
    <w:p>
      <w:pPr>
        <w:spacing w:after="0" w:line="68" w:lineRule="exact"/>
        <w:rPr>
          <w:sz w:val="20"/>
          <w:szCs w:val="20"/>
          <w:color w:val="auto"/>
        </w:rPr>
      </w:pPr>
    </w:p>
    <w:p>
      <w:pPr>
        <w:ind w:left="1340"/>
        <w:spacing w:after="0"/>
        <w:rPr>
          <w:sz w:val="20"/>
          <w:szCs w:val="20"/>
          <w:color w:val="auto"/>
        </w:rPr>
      </w:pPr>
      <w:r>
        <w:rPr>
          <w:rFonts w:ascii="Calibri" w:cs="Calibri" w:eastAsia="Calibri" w:hAnsi="Calibri"/>
          <w:sz w:val="19"/>
          <w:szCs w:val="19"/>
          <w:b w:val="1"/>
          <w:bCs w:val="1"/>
          <w:color w:val="auto"/>
        </w:rPr>
        <w:t>Foreign Asset/Account Reportng Informaton</w:t>
      </w:r>
    </w:p>
    <w:p>
      <w:pPr>
        <w:spacing w:after="0" w:line="71" w:lineRule="exact"/>
        <w:rPr>
          <w:sz w:val="20"/>
          <w:szCs w:val="20"/>
          <w:color w:val="auto"/>
        </w:rPr>
      </w:pPr>
    </w:p>
    <w:p>
      <w:pPr>
        <w:jc w:val="both"/>
        <w:ind w:left="1340" w:right="20"/>
        <w:spacing w:after="0" w:line="206" w:lineRule="auto"/>
        <w:rPr>
          <w:sz w:val="20"/>
          <w:szCs w:val="20"/>
          <w:color w:val="auto"/>
        </w:rPr>
      </w:pPr>
      <w:r>
        <w:rPr>
          <w:rFonts w:ascii="Calibri" w:cs="Calibri" w:eastAsia="Calibri" w:hAnsi="Calibri"/>
          <w:sz w:val="19"/>
          <w:szCs w:val="19"/>
          <w:color w:val="auto"/>
        </w:rPr>
        <w:t>Residents are required to fle a wealth statement in additon to a tax return, by declaring all assets (local and foreign). In additon, a separate statement for assets held abroad may also be required to be fled. Employee is personally responsible to ensure any such declaratons are made, if applicable.</w:t>
      </w:r>
    </w:p>
    <w:p>
      <w:pPr>
        <w:spacing w:after="0" w:line="60" w:lineRule="exact"/>
        <w:rPr>
          <w:sz w:val="20"/>
          <w:szCs w:val="20"/>
          <w:color w:val="auto"/>
        </w:rPr>
      </w:pPr>
    </w:p>
    <w:p>
      <w:pPr>
        <w:ind w:left="1340"/>
        <w:spacing w:after="0"/>
        <w:rPr>
          <w:sz w:val="20"/>
          <w:szCs w:val="20"/>
          <w:color w:val="auto"/>
        </w:rPr>
      </w:pPr>
      <w:r>
        <w:rPr>
          <w:rFonts w:ascii="Calibri" w:cs="Calibri" w:eastAsia="Calibri" w:hAnsi="Calibri"/>
          <w:sz w:val="19"/>
          <w:szCs w:val="19"/>
          <w:color w:val="auto"/>
        </w:rPr>
        <w:t>If the total value of foreign assets on the last day of the tax year in aggregate exceeds a certain threshold,</w:t>
      </w:r>
    </w:p>
    <w:p>
      <w:pPr>
        <w:ind w:left="1340"/>
        <w:spacing w:after="0" w:line="194" w:lineRule="auto"/>
        <w:rPr>
          <w:sz w:val="20"/>
          <w:szCs w:val="20"/>
          <w:color w:val="auto"/>
        </w:rPr>
      </w:pPr>
      <w:r>
        <w:rPr>
          <w:rFonts w:ascii="Calibri" w:cs="Calibri" w:eastAsia="Calibri" w:hAnsi="Calibri"/>
          <w:sz w:val="19"/>
          <w:szCs w:val="19"/>
          <w:color w:val="auto"/>
        </w:rPr>
        <w:t>Pakistani residents may be subject to the capital value tax levied under Secton 8 of the Finance Act, 2022.</w:t>
      </w:r>
    </w:p>
    <w:p>
      <w:pPr>
        <w:ind w:left="1340"/>
        <w:spacing w:after="0" w:line="200" w:lineRule="auto"/>
        <w:rPr>
          <w:sz w:val="20"/>
          <w:szCs w:val="20"/>
          <w:color w:val="auto"/>
        </w:rPr>
      </w:pPr>
      <w:r>
        <w:rPr>
          <w:rFonts w:ascii="Calibri" w:cs="Calibri" w:eastAsia="Calibri" w:hAnsi="Calibri"/>
          <w:sz w:val="19"/>
          <w:szCs w:val="19"/>
          <w:color w:val="auto"/>
        </w:rPr>
        <w:t>Employee should consult with Employee's personal tax advisor regarding the applicability of the capital value tax.</w:t>
      </w:r>
    </w:p>
    <w:p>
      <w:pPr>
        <w:spacing w:after="0" w:line="185" w:lineRule="auto"/>
        <w:tabs>
          <w:tab w:leader="none" w:pos="1320" w:val="left"/>
        </w:tabs>
        <w:rPr>
          <w:sz w:val="20"/>
          <w:szCs w:val="20"/>
          <w:color w:val="auto"/>
        </w:rPr>
      </w:pPr>
      <w:r>
        <w:rPr>
          <w:rFonts w:ascii="Calibri" w:cs="Calibri" w:eastAsia="Calibri" w:hAnsi="Calibri"/>
          <w:sz w:val="24"/>
          <w:szCs w:val="24"/>
          <w:b w:val="1"/>
          <w:bCs w:val="1"/>
          <w:color w:val="auto"/>
          <w:vertAlign w:val="subscript"/>
        </w:rPr>
        <w:t>Panama</w:t>
      </w:r>
      <w:r>
        <w:rPr>
          <w:sz w:val="20"/>
          <w:szCs w:val="20"/>
          <w:color w:val="auto"/>
        </w:rPr>
        <w:tab/>
      </w:r>
      <w:r>
        <w:rPr>
          <w:rFonts w:ascii="Calibri" w:cs="Calibri" w:eastAsia="Calibri" w:hAnsi="Calibri"/>
          <w:sz w:val="14"/>
          <w:szCs w:val="14"/>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-57150</wp:posOffset>
            </wp:positionV>
            <wp:extent cx="65817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173" w:lineRule="exact"/>
        <w:rPr>
          <w:sz w:val="20"/>
          <w:szCs w:val="20"/>
          <w:color w:val="auto"/>
        </w:rPr>
      </w:pPr>
    </w:p>
    <w:p>
      <w:pPr>
        <w:jc w:val="both"/>
        <w:ind w:left="1340"/>
        <w:spacing w:after="0"/>
        <w:rPr>
          <w:sz w:val="20"/>
          <w:szCs w:val="20"/>
          <w:color w:val="auto"/>
        </w:rPr>
      </w:pPr>
      <w:r>
        <w:rPr>
          <w:rFonts w:ascii="Calibri" w:cs="Calibri" w:eastAsia="Calibri" w:hAnsi="Calibri"/>
          <w:sz w:val="19"/>
          <w:szCs w:val="19"/>
          <w:color w:val="auto"/>
        </w:rPr>
        <w:t>The Restricted Stock Units and the shares of Stock underlying the Restricted Stock Units do not consttute a public ofering of securites, as they are available only to employees of the Company and its Subsidiaries and afliated companies, and the ofer is not subject to the protectons established by the Panamanian securites laws.</w:t>
      </w:r>
    </w:p>
    <w:p>
      <w:pPr>
        <w:sectPr>
          <w:pgSz w:w="11900" w:h="16838" w:orient="portrait"/>
          <w:cols w:equalWidth="0" w:num="1">
            <w:col w:w="10220"/>
          </w:cols>
          <w:pgMar w:left="400" w:top="527" w:right="1279" w:bottom="1440" w:gutter="0" w:footer="0" w:header="0"/>
        </w:sectPr>
      </w:pPr>
    </w:p>
    <w:p>
      <w:pPr>
        <w:spacing w:after="0" w:line="258" w:lineRule="exact"/>
        <w:rPr>
          <w:sz w:val="20"/>
          <w:szCs w:val="20"/>
          <w:color w:val="auto"/>
        </w:rPr>
      </w:pPr>
    </w:p>
    <w:p>
      <w:pPr>
        <w:spacing w:after="0" w:line="260" w:lineRule="auto"/>
        <w:rPr>
          <w:sz w:val="20"/>
          <w:szCs w:val="20"/>
          <w:color w:val="auto"/>
        </w:rPr>
      </w:pPr>
      <w:r>
        <w:rPr>
          <w:rFonts w:ascii="Calibri" w:cs="Calibri" w:eastAsia="Calibri" w:hAnsi="Calibri"/>
          <w:sz w:val="19"/>
          <w:szCs w:val="19"/>
          <w:b w:val="1"/>
          <w:bCs w:val="1"/>
          <w:color w:val="auto"/>
        </w:rPr>
        <w:t>Papua New Guinea</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Foreign Exchange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-135255</wp:posOffset>
            </wp:positionV>
            <wp:extent cx="65817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51" w:lineRule="exact"/>
        <w:rPr>
          <w:sz w:val="20"/>
          <w:szCs w:val="20"/>
          <w:color w:val="auto"/>
        </w:rPr>
      </w:pPr>
    </w:p>
    <w:p>
      <w:pPr>
        <w:jc w:val="both"/>
        <w:spacing w:after="0" w:line="205" w:lineRule="auto"/>
        <w:rPr>
          <w:sz w:val="20"/>
          <w:szCs w:val="20"/>
          <w:color w:val="auto"/>
        </w:rPr>
      </w:pPr>
      <w:r>
        <w:rPr>
          <w:rFonts w:ascii="Calibri" w:cs="Calibri" w:eastAsia="Calibri" w:hAnsi="Calibri"/>
          <w:sz w:val="19"/>
          <w:szCs w:val="19"/>
          <w:color w:val="auto"/>
        </w:rPr>
        <w:t>Before receiving funds from the sale of any securites abroad, Employee will need to apply for and receive an Income Tax Clearance Certfcate from the taxaton authorites in Papua New Guinea, which Employee must then lodge with the appropriate Bank of Papua New Guinea notfcaton form with the commercial bank in which the transacton takes place.</w:t>
      </w:r>
    </w:p>
    <w:p>
      <w:pPr>
        <w:spacing w:after="0" w:line="1" w:lineRule="exact"/>
        <w:rPr>
          <w:sz w:val="20"/>
          <w:szCs w:val="20"/>
          <w:color w:val="auto"/>
        </w:rPr>
      </w:pPr>
    </w:p>
    <w:p>
      <w:pPr>
        <w:sectPr>
          <w:pgSz w:w="11900" w:h="16838" w:orient="portrait"/>
          <w:cols w:equalWidth="0" w:num="2">
            <w:col w:w="900" w:space="440"/>
            <w:col w:w="8880"/>
          </w:cols>
          <w:pgMar w:left="400" w:top="527" w:right="1279" w:bottom="1440" w:gutter="0" w:footer="0" w:header="0"/>
          <w:type w:val="continuous"/>
        </w:sectPr>
      </w:pPr>
    </w:p>
    <w:p>
      <w:pPr>
        <w:spacing w:after="0" w:line="185" w:lineRule="auto"/>
        <w:tabs>
          <w:tab w:leader="none" w:pos="1320" w:val="left"/>
        </w:tabs>
        <w:rPr>
          <w:sz w:val="20"/>
          <w:szCs w:val="20"/>
          <w:color w:val="auto"/>
        </w:rPr>
      </w:pPr>
      <w:r>
        <w:rPr>
          <w:rFonts w:ascii="Calibri" w:cs="Calibri" w:eastAsia="Calibri" w:hAnsi="Calibri"/>
          <w:sz w:val="24"/>
          <w:szCs w:val="24"/>
          <w:b w:val="1"/>
          <w:bCs w:val="1"/>
          <w:color w:val="auto"/>
          <w:vertAlign w:val="subscript"/>
        </w:rPr>
        <w:t>Peru</w:t>
      </w:r>
      <w:r>
        <w:rPr>
          <w:sz w:val="20"/>
          <w:szCs w:val="20"/>
          <w:color w:val="auto"/>
        </w:rPr>
        <w:tab/>
      </w:r>
      <w:r>
        <w:rPr>
          <w:rFonts w:ascii="Calibri" w:cs="Calibri" w:eastAsia="Calibri" w:hAnsi="Calibri"/>
          <w:sz w:val="14"/>
          <w:szCs w:val="14"/>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-57150</wp:posOffset>
            </wp:positionV>
            <wp:extent cx="65817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174" w:lineRule="exact"/>
        <w:rPr>
          <w:sz w:val="20"/>
          <w:szCs w:val="20"/>
          <w:color w:val="auto"/>
        </w:rPr>
      </w:pPr>
    </w:p>
    <w:p>
      <w:pPr>
        <w:jc w:val="both"/>
        <w:ind w:left="1340"/>
        <w:spacing w:after="0"/>
        <w:rPr>
          <w:sz w:val="20"/>
          <w:szCs w:val="20"/>
          <w:color w:val="auto"/>
        </w:rPr>
      </w:pPr>
      <w:r>
        <w:rPr>
          <w:rFonts w:ascii="Calibri" w:cs="Calibri" w:eastAsia="Calibri" w:hAnsi="Calibri"/>
          <w:sz w:val="19"/>
          <w:szCs w:val="19"/>
          <w:color w:val="auto"/>
        </w:rPr>
        <w:t>The ofer of Restricted Stock Units is considered a private ofering in Peru and therefore is not subject to registraton. For more informaton concerning this ofer, please refer to the Plan, the Agreement and any other grant documents made available by the Company. For more informaton regarding the Company, please refer to the Company’s most recent annual report on Form 10-K and quarterly report on Form 10-Q available at www.sec.gov.</w:t>
      </w:r>
    </w:p>
    <w:p>
      <w:pPr>
        <w:spacing w:after="0" w:line="180" w:lineRule="auto"/>
        <w:tabs>
          <w:tab w:leader="none" w:pos="1320" w:val="left"/>
        </w:tabs>
        <w:rPr>
          <w:sz w:val="20"/>
          <w:szCs w:val="20"/>
          <w:color w:val="auto"/>
        </w:rPr>
      </w:pPr>
      <w:r>
        <w:rPr>
          <w:rFonts w:ascii="Calibri" w:cs="Calibri" w:eastAsia="Calibri" w:hAnsi="Calibri"/>
          <w:sz w:val="31"/>
          <w:szCs w:val="31"/>
          <w:b w:val="1"/>
          <w:bCs w:val="1"/>
          <w:color w:val="auto"/>
          <w:vertAlign w:val="subscript"/>
        </w:rPr>
        <w:t>Poland</w:t>
      </w:r>
      <w:r>
        <w:rPr>
          <w:sz w:val="20"/>
          <w:szCs w:val="20"/>
          <w:color w:val="auto"/>
        </w:rPr>
        <w:tab/>
      </w:r>
      <w:r>
        <w:rPr>
          <w:rFonts w:ascii="Calibri" w:cs="Calibri" w:eastAsia="Calibri" w:hAnsi="Calibri"/>
          <w:sz w:val="17"/>
          <w:szCs w:val="17"/>
          <w:b w:val="1"/>
          <w:bCs w:val="1"/>
          <w:color w:val="auto"/>
        </w:rPr>
        <w:t>Foreign Ownership Reportng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-57150</wp:posOffset>
            </wp:positionV>
            <wp:extent cx="65817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174" w:lineRule="exact"/>
        <w:rPr>
          <w:sz w:val="20"/>
          <w:szCs w:val="20"/>
          <w:color w:val="auto"/>
        </w:rPr>
      </w:pPr>
    </w:p>
    <w:p>
      <w:pPr>
        <w:jc w:val="both"/>
        <w:ind w:left="1340" w:right="20"/>
        <w:spacing w:after="0" w:line="205" w:lineRule="auto"/>
        <w:rPr>
          <w:sz w:val="20"/>
          <w:szCs w:val="20"/>
          <w:color w:val="auto"/>
        </w:rPr>
      </w:pPr>
      <w:r>
        <w:rPr>
          <w:rFonts w:ascii="Calibri" w:cs="Calibri" w:eastAsia="Calibri" w:hAnsi="Calibri"/>
          <w:sz w:val="19"/>
          <w:szCs w:val="19"/>
          <w:color w:val="auto"/>
        </w:rPr>
        <w:t>If Employee is a Polish resident, Employee is required to fle quarterly reports with the Natonal Bank of Poland that include informaton on transactons and balances regarding Employee’s rights to shares of Stock (such as Restricted Stock Units) and shares of Stock if the total value (calculated individually or together with other assets and liabilites possessed abroad) exceeds a specifed threshold (currently PLN seven (7) million).</w:t>
      </w:r>
    </w:p>
    <w:p>
      <w:pPr>
        <w:spacing w:after="0" w:line="65" w:lineRule="exact"/>
        <w:rPr>
          <w:sz w:val="20"/>
          <w:szCs w:val="20"/>
          <w:color w:val="auto"/>
        </w:rPr>
      </w:pPr>
    </w:p>
    <w:p>
      <w:pPr>
        <w:ind w:left="1340"/>
        <w:spacing w:after="0"/>
        <w:rPr>
          <w:sz w:val="20"/>
          <w:szCs w:val="20"/>
          <w:color w:val="auto"/>
        </w:rPr>
      </w:pPr>
      <w:r>
        <w:rPr>
          <w:rFonts w:ascii="Calibri" w:cs="Calibri" w:eastAsia="Calibri" w:hAnsi="Calibri"/>
          <w:sz w:val="19"/>
          <w:szCs w:val="19"/>
          <w:b w:val="1"/>
          <w:bCs w:val="1"/>
          <w:color w:val="auto"/>
        </w:rPr>
        <w:t>Foreign Exchange Informaton</w:t>
      </w:r>
    </w:p>
    <w:p>
      <w:pPr>
        <w:spacing w:after="0" w:line="58" w:lineRule="exact"/>
        <w:rPr>
          <w:sz w:val="20"/>
          <w:szCs w:val="20"/>
          <w:color w:val="auto"/>
        </w:rPr>
      </w:pPr>
    </w:p>
    <w:p>
      <w:pPr>
        <w:jc w:val="both"/>
        <w:ind w:left="1340"/>
        <w:spacing w:after="0" w:line="204" w:lineRule="auto"/>
        <w:rPr>
          <w:sz w:val="20"/>
          <w:szCs w:val="20"/>
          <w:color w:val="auto"/>
        </w:rPr>
      </w:pPr>
      <w:r>
        <w:rPr>
          <w:rFonts w:ascii="Calibri" w:cs="Calibri" w:eastAsia="Calibri" w:hAnsi="Calibri"/>
          <w:sz w:val="19"/>
          <w:szCs w:val="19"/>
          <w:color w:val="auto"/>
        </w:rPr>
        <w:t>Employee is required to transfer funds through a bank account in Poland if the transferred amount in any single transacton exceeds a specifed threshold (currently EUR 15,000). Employee also is required to retain documents connected with foreign exchange transactons for a period of fve (5) years, calculated from the end of the year in which the exchange transacton was made. Employee is personally responsible for complying with applicable exchange control requirements in Poland.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85725</wp:posOffset>
            </wp:positionV>
            <wp:extent cx="65817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4">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ectPr>
          <w:pgSz w:w="11900" w:h="16838" w:orient="portrait"/>
          <w:cols w:equalWidth="0" w:num="1">
            <w:col w:w="10220"/>
          </w:cols>
          <w:pgMar w:left="400" w:top="527" w:right="127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52"/>
        </w:trPr>
        <w:tc>
          <w:tcPr>
            <w:tcW w:w="1100" w:type="dxa"/>
            <w:vAlign w:val="bottom"/>
            <w:tcBorders>
              <w:top w:val="single" w:sz="8" w:color="auto"/>
            </w:tcBorders>
          </w:tcPr>
          <w:p>
            <w:pPr>
              <w:ind w:left="80"/>
              <w:spacing w:after="0"/>
              <w:rPr>
                <w:sz w:val="20"/>
                <w:szCs w:val="20"/>
                <w:color w:val="auto"/>
              </w:rPr>
            </w:pPr>
            <w:r>
              <w:rPr>
                <w:rFonts w:ascii="Calibri" w:cs="Calibri" w:eastAsia="Calibri" w:hAnsi="Calibri"/>
                <w:sz w:val="19"/>
                <w:szCs w:val="19"/>
                <w:b w:val="1"/>
                <w:bCs w:val="1"/>
                <w:color w:val="auto"/>
              </w:rPr>
              <w:t>Romania</w:t>
            </w:r>
          </w:p>
        </w:tc>
        <w:tc>
          <w:tcPr>
            <w:tcW w:w="9260" w:type="dxa"/>
            <w:vAlign w:val="bottom"/>
            <w:tcBorders>
              <w:top w:val="single" w:sz="8" w:color="auto"/>
            </w:tcBorders>
          </w:tcPr>
          <w:p>
            <w:pPr>
              <w:ind w:left="320"/>
              <w:spacing w:after="0"/>
              <w:rPr>
                <w:sz w:val="20"/>
                <w:szCs w:val="20"/>
                <w:color w:val="auto"/>
              </w:rPr>
            </w:pPr>
            <w:r>
              <w:rPr>
                <w:rFonts w:ascii="Calibri" w:cs="Calibri" w:eastAsia="Calibri" w:hAnsi="Calibri"/>
                <w:sz w:val="19"/>
                <w:szCs w:val="19"/>
                <w:b w:val="1"/>
                <w:bCs w:val="1"/>
                <w:color w:val="auto"/>
              </w:rPr>
              <w:t>Foreign Exchange Informaton</w:t>
            </w:r>
          </w:p>
        </w:tc>
      </w:tr>
      <w:tr>
        <w:trPr>
          <w:trHeight w:val="225"/>
        </w:trPr>
        <w:tc>
          <w:tcPr>
            <w:tcW w:w="1100" w:type="dxa"/>
            <w:vAlign w:val="bottom"/>
          </w:tcPr>
          <w:p>
            <w:pPr>
              <w:spacing w:after="0"/>
              <w:rPr>
                <w:sz w:val="19"/>
                <w:szCs w:val="19"/>
                <w:color w:val="auto"/>
              </w:rPr>
            </w:pPr>
          </w:p>
        </w:tc>
        <w:tc>
          <w:tcPr>
            <w:tcW w:w="9260" w:type="dxa"/>
            <w:vAlign w:val="bottom"/>
          </w:tcPr>
          <w:p>
            <w:pPr>
              <w:ind w:left="320"/>
              <w:spacing w:after="0" w:line="226" w:lineRule="exact"/>
              <w:rPr>
                <w:sz w:val="20"/>
                <w:szCs w:val="20"/>
                <w:color w:val="auto"/>
              </w:rPr>
            </w:pPr>
            <w:r>
              <w:rPr>
                <w:rFonts w:ascii="Calibri" w:cs="Calibri" w:eastAsia="Calibri" w:hAnsi="Calibri"/>
                <w:sz w:val="19"/>
                <w:szCs w:val="19"/>
                <w:color w:val="auto"/>
              </w:rPr>
              <w:t>If Employee deposits the proceeds from the sale of shares of Stock in a bank account in Romania, Employee may</w:t>
            </w:r>
          </w:p>
        </w:tc>
      </w:tr>
      <w:tr>
        <w:trPr>
          <w:trHeight w:val="180"/>
        </w:trPr>
        <w:tc>
          <w:tcPr>
            <w:tcW w:w="1100" w:type="dxa"/>
            <w:vAlign w:val="bottom"/>
          </w:tcPr>
          <w:p>
            <w:pPr>
              <w:spacing w:after="0"/>
              <w:rPr>
                <w:sz w:val="15"/>
                <w:szCs w:val="15"/>
                <w:color w:val="auto"/>
              </w:rPr>
            </w:pPr>
          </w:p>
        </w:tc>
        <w:tc>
          <w:tcPr>
            <w:tcW w:w="9260" w:type="dxa"/>
            <w:vAlign w:val="bottom"/>
          </w:tcPr>
          <w:p>
            <w:pPr>
              <w:ind w:left="320"/>
              <w:spacing w:after="0" w:line="180" w:lineRule="exact"/>
              <w:rPr>
                <w:sz w:val="20"/>
                <w:szCs w:val="20"/>
                <w:color w:val="auto"/>
              </w:rPr>
            </w:pPr>
            <w:r>
              <w:rPr>
                <w:rFonts w:ascii="Calibri" w:cs="Calibri" w:eastAsia="Calibri" w:hAnsi="Calibri"/>
                <w:sz w:val="19"/>
                <w:szCs w:val="19"/>
                <w:color w:val="auto"/>
              </w:rPr>
              <w:t>be required to provide the Romanian bank with appropriate documentaton explaining the source of the funds.</w:t>
            </w:r>
          </w:p>
        </w:tc>
      </w:tr>
      <w:tr>
        <w:trPr>
          <w:trHeight w:val="226"/>
        </w:trPr>
        <w:tc>
          <w:tcPr>
            <w:tcW w:w="1100" w:type="dxa"/>
            <w:vAlign w:val="bottom"/>
          </w:tcPr>
          <w:p>
            <w:pPr>
              <w:spacing w:after="0"/>
              <w:rPr>
                <w:sz w:val="19"/>
                <w:szCs w:val="19"/>
                <w:color w:val="auto"/>
              </w:rPr>
            </w:pPr>
          </w:p>
        </w:tc>
        <w:tc>
          <w:tcPr>
            <w:tcW w:w="9260" w:type="dxa"/>
            <w:vAlign w:val="bottom"/>
          </w:tcPr>
          <w:p>
            <w:pPr>
              <w:ind w:left="320"/>
              <w:spacing w:after="0" w:line="226" w:lineRule="exact"/>
              <w:rPr>
                <w:sz w:val="20"/>
                <w:szCs w:val="20"/>
                <w:color w:val="auto"/>
              </w:rPr>
            </w:pPr>
            <w:r>
              <w:rPr>
                <w:rFonts w:ascii="Calibri" w:cs="Calibri" w:eastAsia="Calibri" w:hAnsi="Calibri"/>
                <w:sz w:val="19"/>
                <w:szCs w:val="19"/>
                <w:color w:val="auto"/>
              </w:rPr>
              <w:t>Employee is personally responsible for complying with applicable exchange control requirements in Romania.</w:t>
            </w: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60" w:type="dxa"/>
            <w:vAlign w:val="bottom"/>
            <w:tcBorders>
              <w:top w:val="single" w:sz="8" w:color="auto"/>
            </w:tcBorders>
          </w:tcPr>
          <w:p>
            <w:pPr>
              <w:ind w:left="80"/>
              <w:spacing w:after="0"/>
              <w:rPr>
                <w:sz w:val="20"/>
                <w:szCs w:val="20"/>
                <w:color w:val="auto"/>
              </w:rPr>
            </w:pPr>
            <w:r>
              <w:rPr>
                <w:rFonts w:ascii="Calibri" w:cs="Calibri" w:eastAsia="Calibri" w:hAnsi="Calibri"/>
                <w:sz w:val="19"/>
                <w:szCs w:val="19"/>
                <w:b w:val="1"/>
                <w:bCs w:val="1"/>
                <w:color w:val="auto"/>
              </w:rPr>
              <w:t>Russia</w:t>
            </w:r>
          </w:p>
        </w:tc>
        <w:tc>
          <w:tcPr>
            <w:tcW w:w="9300" w:type="dxa"/>
            <w:vAlign w:val="bottom"/>
            <w:tcBorders>
              <w:top w:val="single" w:sz="8" w:color="auto"/>
            </w:tcBorders>
          </w:tcPr>
          <w:p>
            <w:pPr>
              <w:ind w:left="360"/>
              <w:spacing w:after="0"/>
              <w:rPr>
                <w:sz w:val="20"/>
                <w:szCs w:val="20"/>
                <w:color w:val="auto"/>
              </w:rPr>
            </w:pPr>
            <w:r>
              <w:rPr>
                <w:rFonts w:ascii="Calibri" w:cs="Calibri" w:eastAsia="Calibri" w:hAnsi="Calibri"/>
                <w:sz w:val="19"/>
                <w:szCs w:val="19"/>
                <w:b w:val="1"/>
                <w:bCs w:val="1"/>
                <w:color w:val="auto"/>
              </w:rPr>
              <w:t>Securites Law Notce</w:t>
            </w:r>
          </w:p>
        </w:tc>
      </w:tr>
      <w:tr>
        <w:trPr>
          <w:trHeight w:val="225"/>
        </w:trPr>
        <w:tc>
          <w:tcPr>
            <w:tcW w:w="1060" w:type="dxa"/>
            <w:vAlign w:val="bottom"/>
          </w:tcPr>
          <w:p>
            <w:pPr>
              <w:spacing w:after="0"/>
              <w:rPr>
                <w:sz w:val="19"/>
                <w:szCs w:val="19"/>
                <w:color w:val="auto"/>
              </w:rPr>
            </w:pPr>
          </w:p>
        </w:tc>
        <w:tc>
          <w:tcPr>
            <w:tcW w:w="9300" w:type="dxa"/>
            <w:vAlign w:val="bottom"/>
          </w:tcPr>
          <w:p>
            <w:pPr>
              <w:ind w:left="360"/>
              <w:spacing w:after="0" w:line="226" w:lineRule="exact"/>
              <w:rPr>
                <w:sz w:val="20"/>
                <w:szCs w:val="20"/>
                <w:color w:val="auto"/>
              </w:rPr>
            </w:pPr>
            <w:r>
              <w:rPr>
                <w:rFonts w:ascii="Calibri" w:cs="Calibri" w:eastAsia="Calibri" w:hAnsi="Calibri"/>
                <w:sz w:val="19"/>
                <w:szCs w:val="19"/>
                <w:color w:val="auto"/>
              </w:rPr>
              <w:t>Neither this ofer nor the distributon of related documentaton consttutes the public circulaton of securites in</w:t>
            </w:r>
          </w:p>
        </w:tc>
      </w:tr>
      <w:tr>
        <w:trPr>
          <w:trHeight w:val="180"/>
        </w:trPr>
        <w:tc>
          <w:tcPr>
            <w:tcW w:w="1060" w:type="dxa"/>
            <w:vAlign w:val="bottom"/>
          </w:tcPr>
          <w:p>
            <w:pPr>
              <w:spacing w:after="0"/>
              <w:rPr>
                <w:sz w:val="15"/>
                <w:szCs w:val="15"/>
                <w:color w:val="auto"/>
              </w:rPr>
            </w:pPr>
          </w:p>
        </w:tc>
        <w:tc>
          <w:tcPr>
            <w:tcW w:w="9300" w:type="dxa"/>
            <w:vAlign w:val="bottom"/>
          </w:tcPr>
          <w:p>
            <w:pPr>
              <w:ind w:left="360"/>
              <w:spacing w:after="0" w:line="180" w:lineRule="exact"/>
              <w:rPr>
                <w:sz w:val="20"/>
                <w:szCs w:val="20"/>
                <w:color w:val="auto"/>
              </w:rPr>
            </w:pPr>
            <w:r>
              <w:rPr>
                <w:rFonts w:ascii="Calibri" w:cs="Calibri" w:eastAsia="Calibri" w:hAnsi="Calibri"/>
                <w:sz w:val="19"/>
                <w:szCs w:val="19"/>
                <w:color w:val="auto"/>
              </w:rPr>
              <w:t>Russia. Employee will receive shares of Stock in a brokerage account held in Employee’s name outside of Russia,</w:t>
            </w:r>
          </w:p>
        </w:tc>
      </w:tr>
      <w:tr>
        <w:trPr>
          <w:trHeight w:val="193"/>
        </w:trPr>
        <w:tc>
          <w:tcPr>
            <w:tcW w:w="1060" w:type="dxa"/>
            <w:vAlign w:val="bottom"/>
          </w:tcPr>
          <w:p>
            <w:pPr>
              <w:spacing w:after="0"/>
              <w:rPr>
                <w:sz w:val="16"/>
                <w:szCs w:val="16"/>
                <w:color w:val="auto"/>
              </w:rPr>
            </w:pPr>
          </w:p>
        </w:tc>
        <w:tc>
          <w:tcPr>
            <w:tcW w:w="9300" w:type="dxa"/>
            <w:vAlign w:val="bottom"/>
          </w:tcPr>
          <w:p>
            <w:pPr>
              <w:ind w:left="360"/>
              <w:spacing w:after="0" w:line="194" w:lineRule="exact"/>
              <w:rPr>
                <w:sz w:val="20"/>
                <w:szCs w:val="20"/>
                <w:color w:val="auto"/>
              </w:rPr>
            </w:pPr>
            <w:r>
              <w:rPr>
                <w:rFonts w:ascii="Calibri" w:cs="Calibri" w:eastAsia="Calibri" w:hAnsi="Calibri"/>
                <w:sz w:val="19"/>
                <w:szCs w:val="19"/>
                <w:color w:val="auto"/>
              </w:rPr>
              <w:t>but a stock certfcate will not be issued to Employee. Employee agrees to keep the shares of Stock with a foreign</w:t>
            </w:r>
          </w:p>
        </w:tc>
      </w:tr>
      <w:tr>
        <w:trPr>
          <w:trHeight w:val="193"/>
        </w:trPr>
        <w:tc>
          <w:tcPr>
            <w:tcW w:w="1060" w:type="dxa"/>
            <w:vAlign w:val="bottom"/>
          </w:tcPr>
          <w:p>
            <w:pPr>
              <w:spacing w:after="0"/>
              <w:rPr>
                <w:sz w:val="16"/>
                <w:szCs w:val="16"/>
                <w:color w:val="auto"/>
              </w:rPr>
            </w:pPr>
          </w:p>
        </w:tc>
        <w:tc>
          <w:tcPr>
            <w:tcW w:w="9300" w:type="dxa"/>
            <w:vAlign w:val="bottom"/>
          </w:tcPr>
          <w:p>
            <w:pPr>
              <w:ind w:left="360"/>
              <w:spacing w:after="0" w:line="194" w:lineRule="exact"/>
              <w:rPr>
                <w:sz w:val="20"/>
                <w:szCs w:val="20"/>
                <w:color w:val="auto"/>
              </w:rPr>
            </w:pPr>
            <w:r>
              <w:rPr>
                <w:rFonts w:ascii="Calibri" w:cs="Calibri" w:eastAsia="Calibri" w:hAnsi="Calibri"/>
                <w:sz w:val="19"/>
                <w:szCs w:val="19"/>
                <w:color w:val="auto"/>
              </w:rPr>
              <w:t>broker or custodian outside Russia and perform any transactons with the shares of Stock on the foreign stock</w:t>
            </w:r>
          </w:p>
        </w:tc>
      </w:tr>
      <w:tr>
        <w:trPr>
          <w:trHeight w:val="180"/>
        </w:trPr>
        <w:tc>
          <w:tcPr>
            <w:tcW w:w="1060" w:type="dxa"/>
            <w:vAlign w:val="bottom"/>
          </w:tcPr>
          <w:p>
            <w:pPr>
              <w:spacing w:after="0"/>
              <w:rPr>
                <w:sz w:val="15"/>
                <w:szCs w:val="15"/>
                <w:color w:val="auto"/>
              </w:rPr>
            </w:pPr>
          </w:p>
        </w:tc>
        <w:tc>
          <w:tcPr>
            <w:tcW w:w="9300" w:type="dxa"/>
            <w:vAlign w:val="bottom"/>
          </w:tcPr>
          <w:p>
            <w:pPr>
              <w:ind w:left="360"/>
              <w:spacing w:after="0" w:line="180" w:lineRule="exact"/>
              <w:rPr>
                <w:sz w:val="20"/>
                <w:szCs w:val="20"/>
                <w:color w:val="auto"/>
              </w:rPr>
            </w:pPr>
            <w:r>
              <w:rPr>
                <w:rFonts w:ascii="Calibri" w:cs="Calibri" w:eastAsia="Calibri" w:hAnsi="Calibri"/>
                <w:sz w:val="19"/>
                <w:szCs w:val="19"/>
                <w:color w:val="auto"/>
              </w:rPr>
              <w:t>exchange. Employee is not permited to transfer any shares of Stock received under any Company employee</w:t>
            </w:r>
          </w:p>
        </w:tc>
      </w:tr>
      <w:tr>
        <w:trPr>
          <w:trHeight w:val="226"/>
        </w:trPr>
        <w:tc>
          <w:tcPr>
            <w:tcW w:w="1060" w:type="dxa"/>
            <w:vAlign w:val="bottom"/>
          </w:tcPr>
          <w:p>
            <w:pPr>
              <w:spacing w:after="0"/>
              <w:rPr>
                <w:sz w:val="19"/>
                <w:szCs w:val="19"/>
                <w:color w:val="auto"/>
              </w:rPr>
            </w:pPr>
          </w:p>
        </w:tc>
        <w:tc>
          <w:tcPr>
            <w:tcW w:w="9300" w:type="dxa"/>
            <w:vAlign w:val="bottom"/>
          </w:tcPr>
          <w:p>
            <w:pPr>
              <w:ind w:left="360"/>
              <w:spacing w:after="0" w:line="226" w:lineRule="exact"/>
              <w:rPr>
                <w:sz w:val="20"/>
                <w:szCs w:val="20"/>
                <w:color w:val="auto"/>
              </w:rPr>
            </w:pPr>
            <w:r>
              <w:rPr>
                <w:rFonts w:ascii="Calibri" w:cs="Calibri" w:eastAsia="Calibri" w:hAnsi="Calibri"/>
                <w:sz w:val="19"/>
                <w:szCs w:val="19"/>
                <w:color w:val="auto"/>
              </w:rPr>
              <w:t>equity program into Russia.</w:t>
            </w:r>
          </w:p>
        </w:tc>
      </w:tr>
      <w:tr>
        <w:trPr>
          <w:trHeight w:val="297"/>
        </w:trPr>
        <w:tc>
          <w:tcPr>
            <w:tcW w:w="1060" w:type="dxa"/>
            <w:vAlign w:val="bottom"/>
          </w:tcPr>
          <w:p>
            <w:pPr>
              <w:spacing w:after="0"/>
              <w:rPr>
                <w:sz w:val="24"/>
                <w:szCs w:val="24"/>
                <w:color w:val="auto"/>
              </w:rPr>
            </w:pPr>
          </w:p>
        </w:tc>
        <w:tc>
          <w:tcPr>
            <w:tcW w:w="9300" w:type="dxa"/>
            <w:vAlign w:val="bottom"/>
          </w:tcPr>
          <w:p>
            <w:pPr>
              <w:ind w:left="360"/>
              <w:spacing w:after="0"/>
              <w:rPr>
                <w:sz w:val="20"/>
                <w:szCs w:val="20"/>
                <w:color w:val="auto"/>
              </w:rPr>
            </w:pPr>
            <w:r>
              <w:rPr>
                <w:rFonts w:ascii="Calibri" w:cs="Calibri" w:eastAsia="Calibri" w:hAnsi="Calibri"/>
                <w:sz w:val="19"/>
                <w:szCs w:val="19"/>
                <w:b w:val="1"/>
                <w:bCs w:val="1"/>
                <w:color w:val="auto"/>
              </w:rPr>
              <w:t>Setlement of Restricted Stock Units</w:t>
            </w:r>
          </w:p>
        </w:tc>
      </w:tr>
      <w:tr>
        <w:trPr>
          <w:trHeight w:val="251"/>
        </w:trPr>
        <w:tc>
          <w:tcPr>
            <w:tcW w:w="1060" w:type="dxa"/>
            <w:vAlign w:val="bottom"/>
          </w:tcPr>
          <w:p>
            <w:pPr>
              <w:spacing w:after="0"/>
              <w:rPr>
                <w:sz w:val="21"/>
                <w:szCs w:val="21"/>
                <w:color w:val="auto"/>
              </w:rPr>
            </w:pPr>
          </w:p>
        </w:tc>
        <w:tc>
          <w:tcPr>
            <w:tcW w:w="9300" w:type="dxa"/>
            <w:vAlign w:val="bottom"/>
          </w:tcPr>
          <w:p>
            <w:pPr>
              <w:ind w:left="360"/>
              <w:spacing w:after="0"/>
              <w:rPr>
                <w:sz w:val="20"/>
                <w:szCs w:val="20"/>
                <w:color w:val="auto"/>
              </w:rPr>
            </w:pPr>
            <w:r>
              <w:rPr>
                <w:rFonts w:ascii="Calibri" w:cs="Calibri" w:eastAsia="Calibri" w:hAnsi="Calibri"/>
                <w:sz w:val="19"/>
                <w:szCs w:val="19"/>
                <w:color w:val="auto"/>
              </w:rPr>
              <w:t>Depending upon applicable regulatory restrictons then in efect, the Company has the sole discreton to</w:t>
            </w:r>
          </w:p>
        </w:tc>
      </w:tr>
      <w:tr>
        <w:trPr>
          <w:trHeight w:val="193"/>
        </w:trPr>
        <w:tc>
          <w:tcPr>
            <w:tcW w:w="1060" w:type="dxa"/>
            <w:vAlign w:val="bottom"/>
          </w:tcPr>
          <w:p>
            <w:pPr>
              <w:spacing w:after="0"/>
              <w:rPr>
                <w:sz w:val="16"/>
                <w:szCs w:val="16"/>
                <w:color w:val="auto"/>
              </w:rPr>
            </w:pPr>
          </w:p>
        </w:tc>
        <w:tc>
          <w:tcPr>
            <w:tcW w:w="9300" w:type="dxa"/>
            <w:vAlign w:val="bottom"/>
          </w:tcPr>
          <w:p>
            <w:pPr>
              <w:ind w:left="360"/>
              <w:spacing w:after="0" w:line="194" w:lineRule="exact"/>
              <w:rPr>
                <w:sz w:val="20"/>
                <w:szCs w:val="20"/>
                <w:color w:val="auto"/>
              </w:rPr>
            </w:pPr>
            <w:r>
              <w:rPr>
                <w:rFonts w:ascii="Calibri" w:cs="Calibri" w:eastAsia="Calibri" w:hAnsi="Calibri"/>
                <w:sz w:val="19"/>
                <w:szCs w:val="19"/>
                <w:color w:val="auto"/>
              </w:rPr>
              <w:t>postpone setlement of the Restricted Stock Units, to determine whether to setle Restricted Stock Units in</w:t>
            </w:r>
          </w:p>
        </w:tc>
      </w:tr>
      <w:tr>
        <w:trPr>
          <w:trHeight w:val="226"/>
        </w:trPr>
        <w:tc>
          <w:tcPr>
            <w:tcW w:w="1060" w:type="dxa"/>
            <w:vAlign w:val="bottom"/>
          </w:tcPr>
          <w:p>
            <w:pPr>
              <w:spacing w:after="0"/>
              <w:rPr>
                <w:sz w:val="19"/>
                <w:szCs w:val="19"/>
                <w:color w:val="auto"/>
              </w:rPr>
            </w:pPr>
          </w:p>
        </w:tc>
        <w:tc>
          <w:tcPr>
            <w:tcW w:w="9300" w:type="dxa"/>
            <w:vAlign w:val="bottom"/>
          </w:tcPr>
          <w:p>
            <w:pPr>
              <w:ind w:left="360"/>
              <w:spacing w:after="0" w:line="226" w:lineRule="exact"/>
              <w:rPr>
                <w:sz w:val="20"/>
                <w:szCs w:val="20"/>
                <w:color w:val="auto"/>
              </w:rPr>
            </w:pPr>
            <w:r>
              <w:rPr>
                <w:rFonts w:ascii="Calibri" w:cs="Calibri" w:eastAsia="Calibri" w:hAnsi="Calibri"/>
                <w:sz w:val="19"/>
                <w:szCs w:val="19"/>
                <w:color w:val="auto"/>
              </w:rPr>
              <w:t>shares of Stock or cash, or to cancel the Restricted Stock Units for no consideraton.</w:t>
            </w:r>
          </w:p>
        </w:tc>
      </w:tr>
      <w:tr>
        <w:trPr>
          <w:trHeight w:val="297"/>
        </w:trPr>
        <w:tc>
          <w:tcPr>
            <w:tcW w:w="1060" w:type="dxa"/>
            <w:vAlign w:val="bottom"/>
          </w:tcPr>
          <w:p>
            <w:pPr>
              <w:spacing w:after="0"/>
              <w:rPr>
                <w:sz w:val="24"/>
                <w:szCs w:val="24"/>
                <w:color w:val="auto"/>
              </w:rPr>
            </w:pPr>
          </w:p>
        </w:tc>
        <w:tc>
          <w:tcPr>
            <w:tcW w:w="9300" w:type="dxa"/>
            <w:vAlign w:val="bottom"/>
          </w:tcPr>
          <w:p>
            <w:pPr>
              <w:ind w:left="360"/>
              <w:spacing w:after="0"/>
              <w:rPr>
                <w:sz w:val="20"/>
                <w:szCs w:val="20"/>
                <w:color w:val="auto"/>
              </w:rPr>
            </w:pPr>
            <w:r>
              <w:rPr>
                <w:rFonts w:ascii="Calibri" w:cs="Calibri" w:eastAsia="Calibri" w:hAnsi="Calibri"/>
                <w:sz w:val="19"/>
                <w:szCs w:val="19"/>
                <w:b w:val="1"/>
                <w:bCs w:val="1"/>
                <w:color w:val="auto"/>
              </w:rPr>
              <w:t>Exchange Control Obligatons</w:t>
            </w:r>
          </w:p>
        </w:tc>
      </w:tr>
      <w:tr>
        <w:trPr>
          <w:trHeight w:val="251"/>
        </w:trPr>
        <w:tc>
          <w:tcPr>
            <w:tcW w:w="1060" w:type="dxa"/>
            <w:vAlign w:val="bottom"/>
          </w:tcPr>
          <w:p>
            <w:pPr>
              <w:spacing w:after="0"/>
              <w:rPr>
                <w:sz w:val="21"/>
                <w:szCs w:val="21"/>
                <w:color w:val="auto"/>
              </w:rPr>
            </w:pPr>
          </w:p>
        </w:tc>
        <w:tc>
          <w:tcPr>
            <w:tcW w:w="9300" w:type="dxa"/>
            <w:vAlign w:val="bottom"/>
          </w:tcPr>
          <w:p>
            <w:pPr>
              <w:ind w:left="360"/>
              <w:spacing w:after="0"/>
              <w:rPr>
                <w:sz w:val="20"/>
                <w:szCs w:val="20"/>
                <w:color w:val="auto"/>
              </w:rPr>
            </w:pPr>
            <w:r>
              <w:rPr>
                <w:rFonts w:ascii="Calibri" w:cs="Calibri" w:eastAsia="Calibri" w:hAnsi="Calibri"/>
                <w:sz w:val="19"/>
                <w:szCs w:val="19"/>
                <w:color w:val="auto"/>
              </w:rPr>
              <w:t>Due to the current politcal and economic situaton in Russia, startng from March 1, 2022, Russian residents are</w:t>
            </w:r>
          </w:p>
        </w:tc>
      </w:tr>
      <w:tr>
        <w:trPr>
          <w:trHeight w:val="193"/>
        </w:trPr>
        <w:tc>
          <w:tcPr>
            <w:tcW w:w="1060" w:type="dxa"/>
            <w:vAlign w:val="bottom"/>
          </w:tcPr>
          <w:p>
            <w:pPr>
              <w:spacing w:after="0"/>
              <w:rPr>
                <w:sz w:val="16"/>
                <w:szCs w:val="16"/>
                <w:color w:val="auto"/>
              </w:rPr>
            </w:pPr>
          </w:p>
        </w:tc>
        <w:tc>
          <w:tcPr>
            <w:tcW w:w="9300" w:type="dxa"/>
            <w:vAlign w:val="bottom"/>
          </w:tcPr>
          <w:p>
            <w:pPr>
              <w:ind w:left="360"/>
              <w:spacing w:after="0" w:line="194" w:lineRule="exact"/>
              <w:rPr>
                <w:sz w:val="20"/>
                <w:szCs w:val="20"/>
                <w:color w:val="auto"/>
              </w:rPr>
            </w:pPr>
            <w:r>
              <w:rPr>
                <w:rFonts w:ascii="Calibri" w:cs="Calibri" w:eastAsia="Calibri" w:hAnsi="Calibri"/>
                <w:sz w:val="19"/>
                <w:szCs w:val="19"/>
                <w:color w:val="auto"/>
              </w:rPr>
              <w:t>permited to receive in their foreign brokerage account the following income: shares upon vestng of Restricted</w:t>
            </w:r>
          </w:p>
        </w:tc>
      </w:tr>
      <w:tr>
        <w:trPr>
          <w:trHeight w:val="180"/>
        </w:trPr>
        <w:tc>
          <w:tcPr>
            <w:tcW w:w="1060" w:type="dxa"/>
            <w:vAlign w:val="bottom"/>
          </w:tcPr>
          <w:p>
            <w:pPr>
              <w:spacing w:after="0"/>
              <w:rPr>
                <w:sz w:val="15"/>
                <w:szCs w:val="15"/>
                <w:color w:val="auto"/>
              </w:rPr>
            </w:pPr>
          </w:p>
        </w:tc>
        <w:tc>
          <w:tcPr>
            <w:tcW w:w="9300" w:type="dxa"/>
            <w:vAlign w:val="bottom"/>
          </w:tcPr>
          <w:p>
            <w:pPr>
              <w:ind w:left="360"/>
              <w:spacing w:after="0" w:line="180" w:lineRule="exact"/>
              <w:rPr>
                <w:sz w:val="20"/>
                <w:szCs w:val="20"/>
                <w:color w:val="auto"/>
              </w:rPr>
            </w:pPr>
            <w:r>
              <w:rPr>
                <w:rFonts w:ascii="Calibri" w:cs="Calibri" w:eastAsia="Calibri" w:hAnsi="Calibri"/>
                <w:sz w:val="19"/>
                <w:szCs w:val="19"/>
                <w:color w:val="auto"/>
              </w:rPr>
              <w:t>Stock Units, cash dividends and sale proceeds, provided that informaton about such an account is duly disclosed</w:t>
            </w:r>
          </w:p>
        </w:tc>
      </w:tr>
      <w:tr>
        <w:trPr>
          <w:trHeight w:val="193"/>
        </w:trPr>
        <w:tc>
          <w:tcPr>
            <w:tcW w:w="1060" w:type="dxa"/>
            <w:vAlign w:val="bottom"/>
          </w:tcPr>
          <w:p>
            <w:pPr>
              <w:spacing w:after="0"/>
              <w:rPr>
                <w:sz w:val="16"/>
                <w:szCs w:val="16"/>
                <w:color w:val="auto"/>
              </w:rPr>
            </w:pPr>
          </w:p>
        </w:tc>
        <w:tc>
          <w:tcPr>
            <w:tcW w:w="9300" w:type="dxa"/>
            <w:vAlign w:val="bottom"/>
          </w:tcPr>
          <w:p>
            <w:pPr>
              <w:ind w:left="360"/>
              <w:spacing w:after="0" w:line="194" w:lineRule="exact"/>
              <w:rPr>
                <w:sz w:val="20"/>
                <w:szCs w:val="20"/>
                <w:color w:val="auto"/>
              </w:rPr>
            </w:pPr>
            <w:r>
              <w:rPr>
                <w:rFonts w:ascii="Calibri" w:cs="Calibri" w:eastAsia="Calibri" w:hAnsi="Calibri"/>
                <w:sz w:val="19"/>
                <w:szCs w:val="19"/>
                <w:color w:val="auto"/>
              </w:rPr>
              <w:t xml:space="preserve">to the Russian tax authorites. Other income must be repatriated to Russia. </w:t>
            </w:r>
            <w:r>
              <w:rPr>
                <w:rFonts w:ascii="Calibri" w:cs="Calibri" w:eastAsia="Calibri" w:hAnsi="Calibri"/>
                <w:sz w:val="19"/>
                <w:szCs w:val="19"/>
                <w:i w:val="1"/>
                <w:iCs w:val="1"/>
                <w:color w:val="auto"/>
              </w:rPr>
              <w:t>Employee should contact Employee's</w:t>
            </w:r>
          </w:p>
        </w:tc>
      </w:tr>
      <w:tr>
        <w:trPr>
          <w:trHeight w:val="180"/>
        </w:trPr>
        <w:tc>
          <w:tcPr>
            <w:tcW w:w="1060" w:type="dxa"/>
            <w:vAlign w:val="bottom"/>
          </w:tcPr>
          <w:p>
            <w:pPr>
              <w:spacing w:after="0"/>
              <w:rPr>
                <w:sz w:val="15"/>
                <w:szCs w:val="15"/>
                <w:color w:val="auto"/>
              </w:rPr>
            </w:pPr>
          </w:p>
        </w:tc>
        <w:tc>
          <w:tcPr>
            <w:tcW w:w="9300" w:type="dxa"/>
            <w:vAlign w:val="bottom"/>
          </w:tcPr>
          <w:p>
            <w:pPr>
              <w:ind w:left="360"/>
              <w:spacing w:after="0" w:line="180" w:lineRule="exact"/>
              <w:rPr>
                <w:sz w:val="20"/>
                <w:szCs w:val="20"/>
                <w:color w:val="auto"/>
              </w:rPr>
            </w:pPr>
            <w:r>
              <w:rPr>
                <w:rFonts w:ascii="Calibri" w:cs="Calibri" w:eastAsia="Calibri" w:hAnsi="Calibri"/>
                <w:sz w:val="19"/>
                <w:szCs w:val="19"/>
                <w:i w:val="1"/>
                <w:iCs w:val="1"/>
                <w:color w:val="auto"/>
              </w:rPr>
              <w:t>personal advisor to ensure compliance with the applicable exchange control requirements prior to the acquisiton</w:t>
            </w:r>
          </w:p>
        </w:tc>
      </w:tr>
      <w:tr>
        <w:trPr>
          <w:trHeight w:val="226"/>
        </w:trPr>
        <w:tc>
          <w:tcPr>
            <w:tcW w:w="1060" w:type="dxa"/>
            <w:vAlign w:val="bottom"/>
          </w:tcPr>
          <w:p>
            <w:pPr>
              <w:spacing w:after="0"/>
              <w:rPr>
                <w:sz w:val="19"/>
                <w:szCs w:val="19"/>
                <w:color w:val="auto"/>
              </w:rPr>
            </w:pPr>
          </w:p>
        </w:tc>
        <w:tc>
          <w:tcPr>
            <w:tcW w:w="9300" w:type="dxa"/>
            <w:vAlign w:val="bottom"/>
          </w:tcPr>
          <w:p>
            <w:pPr>
              <w:ind w:left="360"/>
              <w:spacing w:after="0" w:line="226" w:lineRule="exact"/>
              <w:rPr>
                <w:sz w:val="20"/>
                <w:szCs w:val="20"/>
                <w:color w:val="auto"/>
              </w:rPr>
            </w:pPr>
            <w:r>
              <w:rPr>
                <w:rFonts w:ascii="Calibri" w:cs="Calibri" w:eastAsia="Calibri" w:hAnsi="Calibri"/>
                <w:sz w:val="19"/>
                <w:szCs w:val="19"/>
                <w:i w:val="1"/>
                <w:iCs w:val="1"/>
                <w:color w:val="auto"/>
              </w:rPr>
              <w:t>and subsequent selling of shares of Stock.</w:t>
            </w:r>
          </w:p>
        </w:tc>
      </w:tr>
      <w:tr>
        <w:trPr>
          <w:trHeight w:val="297"/>
        </w:trPr>
        <w:tc>
          <w:tcPr>
            <w:tcW w:w="1060" w:type="dxa"/>
            <w:vAlign w:val="bottom"/>
          </w:tcPr>
          <w:p>
            <w:pPr>
              <w:spacing w:after="0"/>
              <w:rPr>
                <w:sz w:val="24"/>
                <w:szCs w:val="24"/>
                <w:color w:val="auto"/>
              </w:rPr>
            </w:pPr>
          </w:p>
        </w:tc>
        <w:tc>
          <w:tcPr>
            <w:tcW w:w="9300" w:type="dxa"/>
            <w:vAlign w:val="bottom"/>
          </w:tcPr>
          <w:p>
            <w:pPr>
              <w:ind w:left="360"/>
              <w:spacing w:after="0"/>
              <w:rPr>
                <w:sz w:val="20"/>
                <w:szCs w:val="20"/>
                <w:color w:val="auto"/>
              </w:rPr>
            </w:pPr>
            <w:r>
              <w:rPr>
                <w:rFonts w:ascii="Calibri" w:cs="Calibri" w:eastAsia="Calibri" w:hAnsi="Calibri"/>
                <w:sz w:val="19"/>
                <w:szCs w:val="19"/>
                <w:b w:val="1"/>
                <w:bCs w:val="1"/>
                <w:color w:val="auto"/>
              </w:rPr>
              <w:t>Foreign Accounts and Transactons Reportng</w:t>
            </w:r>
          </w:p>
        </w:tc>
      </w:tr>
      <w:tr>
        <w:trPr>
          <w:trHeight w:val="251"/>
        </w:trPr>
        <w:tc>
          <w:tcPr>
            <w:tcW w:w="1060" w:type="dxa"/>
            <w:vAlign w:val="bottom"/>
          </w:tcPr>
          <w:p>
            <w:pPr>
              <w:spacing w:after="0"/>
              <w:rPr>
                <w:sz w:val="21"/>
                <w:szCs w:val="21"/>
                <w:color w:val="auto"/>
              </w:rPr>
            </w:pPr>
          </w:p>
        </w:tc>
        <w:tc>
          <w:tcPr>
            <w:tcW w:w="9300" w:type="dxa"/>
            <w:vAlign w:val="bottom"/>
          </w:tcPr>
          <w:p>
            <w:pPr>
              <w:ind w:left="360"/>
              <w:spacing w:after="0"/>
              <w:rPr>
                <w:sz w:val="20"/>
                <w:szCs w:val="20"/>
                <w:color w:val="auto"/>
              </w:rPr>
            </w:pPr>
            <w:r>
              <w:rPr>
                <w:rFonts w:ascii="Calibri" w:cs="Calibri" w:eastAsia="Calibri" w:hAnsi="Calibri"/>
                <w:sz w:val="19"/>
                <w:szCs w:val="19"/>
                <w:color w:val="auto"/>
              </w:rPr>
              <w:t>If Employee is a Russian citzen, Employee is required to fle the following reports or notfcatons with the</w:t>
            </w:r>
          </w:p>
        </w:tc>
      </w:tr>
      <w:tr>
        <w:trPr>
          <w:trHeight w:val="193"/>
        </w:trPr>
        <w:tc>
          <w:tcPr>
            <w:tcW w:w="1060" w:type="dxa"/>
            <w:vAlign w:val="bottom"/>
          </w:tcPr>
          <w:p>
            <w:pPr>
              <w:spacing w:after="0"/>
              <w:rPr>
                <w:sz w:val="16"/>
                <w:szCs w:val="16"/>
                <w:color w:val="auto"/>
              </w:rPr>
            </w:pPr>
          </w:p>
        </w:tc>
        <w:tc>
          <w:tcPr>
            <w:tcW w:w="9300" w:type="dxa"/>
            <w:vAlign w:val="bottom"/>
          </w:tcPr>
          <w:p>
            <w:pPr>
              <w:ind w:left="360"/>
              <w:spacing w:after="0" w:line="194" w:lineRule="exact"/>
              <w:rPr>
                <w:sz w:val="20"/>
                <w:szCs w:val="20"/>
                <w:color w:val="auto"/>
              </w:rPr>
            </w:pPr>
            <w:r>
              <w:rPr>
                <w:rFonts w:ascii="Calibri" w:cs="Calibri" w:eastAsia="Calibri" w:hAnsi="Calibri"/>
                <w:sz w:val="19"/>
                <w:szCs w:val="19"/>
                <w:color w:val="auto"/>
              </w:rPr>
              <w:t>Russian tax authorites, if applicable: (i) annual cash fow reportng for an ofshore brokerage account (due by</w:t>
            </w:r>
          </w:p>
        </w:tc>
      </w:tr>
      <w:tr>
        <w:trPr>
          <w:trHeight w:val="193"/>
        </w:trPr>
        <w:tc>
          <w:tcPr>
            <w:tcW w:w="1060" w:type="dxa"/>
            <w:vAlign w:val="bottom"/>
          </w:tcPr>
          <w:p>
            <w:pPr>
              <w:spacing w:after="0"/>
              <w:rPr>
                <w:sz w:val="16"/>
                <w:szCs w:val="16"/>
                <w:color w:val="auto"/>
              </w:rPr>
            </w:pPr>
          </w:p>
        </w:tc>
        <w:tc>
          <w:tcPr>
            <w:tcW w:w="9300" w:type="dxa"/>
            <w:vAlign w:val="bottom"/>
          </w:tcPr>
          <w:p>
            <w:pPr>
              <w:ind w:left="360"/>
              <w:spacing w:after="0" w:line="194" w:lineRule="exact"/>
              <w:rPr>
                <w:sz w:val="20"/>
                <w:szCs w:val="20"/>
                <w:color w:val="auto"/>
              </w:rPr>
            </w:pPr>
            <w:r>
              <w:rPr>
                <w:rFonts w:ascii="Calibri" w:cs="Calibri" w:eastAsia="Calibri" w:hAnsi="Calibri"/>
                <w:sz w:val="19"/>
                <w:szCs w:val="19"/>
                <w:color w:val="auto"/>
              </w:rPr>
              <w:t>June 1 each year for the previous year); (ii) fnancial asset (including shares of Stock) reportng for an ofshore</w:t>
            </w:r>
          </w:p>
        </w:tc>
      </w:tr>
      <w:tr>
        <w:trPr>
          <w:trHeight w:val="180"/>
        </w:trPr>
        <w:tc>
          <w:tcPr>
            <w:tcW w:w="1060" w:type="dxa"/>
            <w:vAlign w:val="bottom"/>
          </w:tcPr>
          <w:p>
            <w:pPr>
              <w:spacing w:after="0"/>
              <w:rPr>
                <w:sz w:val="15"/>
                <w:szCs w:val="15"/>
                <w:color w:val="auto"/>
              </w:rPr>
            </w:pPr>
          </w:p>
        </w:tc>
        <w:tc>
          <w:tcPr>
            <w:tcW w:w="9300" w:type="dxa"/>
            <w:vAlign w:val="bottom"/>
          </w:tcPr>
          <w:p>
            <w:pPr>
              <w:ind w:left="360"/>
              <w:spacing w:after="0" w:line="180" w:lineRule="exact"/>
              <w:rPr>
                <w:sz w:val="20"/>
                <w:szCs w:val="20"/>
                <w:color w:val="auto"/>
              </w:rPr>
            </w:pPr>
            <w:r>
              <w:rPr>
                <w:rFonts w:ascii="Calibri" w:cs="Calibri" w:eastAsia="Calibri" w:hAnsi="Calibri"/>
                <w:sz w:val="19"/>
                <w:szCs w:val="19"/>
                <w:color w:val="auto"/>
              </w:rPr>
              <w:t>brokerage account (due by June 1 each year for the previous year, with the frst reportng due by June 1, 2022 for</w:t>
            </w:r>
          </w:p>
        </w:tc>
      </w:tr>
      <w:tr>
        <w:trPr>
          <w:trHeight w:val="193"/>
        </w:trPr>
        <w:tc>
          <w:tcPr>
            <w:tcW w:w="1060" w:type="dxa"/>
            <w:vAlign w:val="bottom"/>
          </w:tcPr>
          <w:p>
            <w:pPr>
              <w:spacing w:after="0"/>
              <w:rPr>
                <w:sz w:val="16"/>
                <w:szCs w:val="16"/>
                <w:color w:val="auto"/>
              </w:rPr>
            </w:pPr>
          </w:p>
        </w:tc>
        <w:tc>
          <w:tcPr>
            <w:tcW w:w="9300" w:type="dxa"/>
            <w:vAlign w:val="bottom"/>
          </w:tcPr>
          <w:p>
            <w:pPr>
              <w:ind w:left="360"/>
              <w:spacing w:after="0" w:line="194" w:lineRule="exact"/>
              <w:rPr>
                <w:sz w:val="20"/>
                <w:szCs w:val="20"/>
                <w:color w:val="auto"/>
              </w:rPr>
            </w:pPr>
            <w:r>
              <w:rPr>
                <w:rFonts w:ascii="Calibri" w:cs="Calibri" w:eastAsia="Calibri" w:hAnsi="Calibri"/>
                <w:sz w:val="19"/>
                <w:szCs w:val="19"/>
                <w:color w:val="auto"/>
              </w:rPr>
              <w:t>calendar year 2021); and (ii) a one-tme notfcaton within one month of opening, closing, or changing details of</w:t>
            </w:r>
          </w:p>
        </w:tc>
      </w:tr>
      <w:tr>
        <w:trPr>
          <w:trHeight w:val="193"/>
        </w:trPr>
        <w:tc>
          <w:tcPr>
            <w:tcW w:w="1060" w:type="dxa"/>
            <w:vAlign w:val="bottom"/>
          </w:tcPr>
          <w:p>
            <w:pPr>
              <w:spacing w:after="0"/>
              <w:rPr>
                <w:sz w:val="16"/>
                <w:szCs w:val="16"/>
                <w:color w:val="auto"/>
              </w:rPr>
            </w:pPr>
          </w:p>
        </w:tc>
        <w:tc>
          <w:tcPr>
            <w:tcW w:w="9300" w:type="dxa"/>
            <w:vAlign w:val="bottom"/>
          </w:tcPr>
          <w:p>
            <w:pPr>
              <w:ind w:left="360"/>
              <w:spacing w:after="0" w:line="194" w:lineRule="exact"/>
              <w:rPr>
                <w:sz w:val="20"/>
                <w:szCs w:val="20"/>
                <w:color w:val="auto"/>
              </w:rPr>
            </w:pPr>
            <w:r>
              <w:rPr>
                <w:rFonts w:ascii="Calibri" w:cs="Calibri" w:eastAsia="Calibri" w:hAnsi="Calibri"/>
                <w:sz w:val="19"/>
                <w:szCs w:val="19"/>
                <w:color w:val="auto"/>
              </w:rPr>
              <w:t xml:space="preserve">an ofshore brokerage account. </w:t>
            </w:r>
            <w:r>
              <w:rPr>
                <w:rFonts w:ascii="Calibri" w:cs="Calibri" w:eastAsia="Calibri" w:hAnsi="Calibri"/>
                <w:sz w:val="19"/>
                <w:szCs w:val="19"/>
                <w:i w:val="1"/>
                <w:iCs w:val="1"/>
                <w:color w:val="auto"/>
              </w:rPr>
              <w:t>Employee should consult his or her personal tax advisor to ensure compliance</w:t>
            </w:r>
          </w:p>
        </w:tc>
      </w:tr>
      <w:tr>
        <w:trPr>
          <w:trHeight w:val="226"/>
        </w:trPr>
        <w:tc>
          <w:tcPr>
            <w:tcW w:w="1060" w:type="dxa"/>
            <w:vAlign w:val="bottom"/>
          </w:tcPr>
          <w:p>
            <w:pPr>
              <w:spacing w:after="0"/>
              <w:rPr>
                <w:sz w:val="19"/>
                <w:szCs w:val="19"/>
                <w:color w:val="auto"/>
              </w:rPr>
            </w:pPr>
          </w:p>
        </w:tc>
        <w:tc>
          <w:tcPr>
            <w:tcW w:w="9300" w:type="dxa"/>
            <w:vAlign w:val="bottom"/>
          </w:tcPr>
          <w:p>
            <w:pPr>
              <w:ind w:left="360"/>
              <w:spacing w:after="0" w:line="226" w:lineRule="exact"/>
              <w:rPr>
                <w:sz w:val="20"/>
                <w:szCs w:val="20"/>
                <w:color w:val="auto"/>
              </w:rPr>
            </w:pPr>
            <w:r>
              <w:rPr>
                <w:rFonts w:ascii="Calibri" w:cs="Calibri" w:eastAsia="Calibri" w:hAnsi="Calibri"/>
                <w:sz w:val="19"/>
                <w:szCs w:val="19"/>
                <w:i w:val="1"/>
                <w:iCs w:val="1"/>
                <w:color w:val="auto"/>
              </w:rPr>
              <w:t>with applicable requirements</w:t>
            </w:r>
            <w:r>
              <w:rPr>
                <w:rFonts w:ascii="Calibri" w:cs="Calibri" w:eastAsia="Calibri" w:hAnsi="Calibri"/>
                <w:sz w:val="19"/>
                <w:szCs w:val="19"/>
                <w:color w:val="auto"/>
              </w:rPr>
              <w:t>.</w:t>
            </w:r>
          </w:p>
        </w:tc>
      </w:tr>
      <w:tr>
        <w:trPr>
          <w:trHeight w:val="284"/>
        </w:trPr>
        <w:tc>
          <w:tcPr>
            <w:tcW w:w="1060" w:type="dxa"/>
            <w:vAlign w:val="bottom"/>
          </w:tcPr>
          <w:p>
            <w:pPr>
              <w:spacing w:after="0"/>
              <w:rPr>
                <w:sz w:val="24"/>
                <w:szCs w:val="24"/>
                <w:color w:val="auto"/>
              </w:rPr>
            </w:pPr>
          </w:p>
        </w:tc>
        <w:tc>
          <w:tcPr>
            <w:tcW w:w="9300" w:type="dxa"/>
            <w:vAlign w:val="bottom"/>
          </w:tcPr>
          <w:p>
            <w:pPr>
              <w:ind w:left="360"/>
              <w:spacing w:after="0"/>
              <w:rPr>
                <w:sz w:val="20"/>
                <w:szCs w:val="20"/>
                <w:color w:val="auto"/>
              </w:rPr>
            </w:pPr>
            <w:r>
              <w:rPr>
                <w:rFonts w:ascii="Calibri" w:cs="Calibri" w:eastAsia="Calibri" w:hAnsi="Calibri"/>
                <w:sz w:val="19"/>
                <w:szCs w:val="19"/>
                <w:b w:val="1"/>
                <w:bCs w:val="1"/>
                <w:color w:val="auto"/>
              </w:rPr>
              <w:t>Ant-Corrupton Legislaton Informaton</w:t>
            </w:r>
          </w:p>
        </w:tc>
      </w:tr>
      <w:tr>
        <w:trPr>
          <w:trHeight w:val="264"/>
        </w:trPr>
        <w:tc>
          <w:tcPr>
            <w:tcW w:w="1060" w:type="dxa"/>
            <w:vAlign w:val="bottom"/>
          </w:tcPr>
          <w:p>
            <w:pPr>
              <w:spacing w:after="0"/>
              <w:rPr>
                <w:sz w:val="22"/>
                <w:szCs w:val="22"/>
                <w:color w:val="auto"/>
              </w:rPr>
            </w:pPr>
          </w:p>
        </w:tc>
        <w:tc>
          <w:tcPr>
            <w:tcW w:w="9300" w:type="dxa"/>
            <w:vAlign w:val="bottom"/>
          </w:tcPr>
          <w:p>
            <w:pPr>
              <w:ind w:left="360"/>
              <w:spacing w:after="0"/>
              <w:rPr>
                <w:sz w:val="20"/>
                <w:szCs w:val="20"/>
                <w:color w:val="auto"/>
              </w:rPr>
            </w:pPr>
            <w:r>
              <w:rPr>
                <w:rFonts w:ascii="Calibri" w:cs="Calibri" w:eastAsia="Calibri" w:hAnsi="Calibri"/>
                <w:sz w:val="19"/>
                <w:szCs w:val="19"/>
                <w:color w:val="auto"/>
              </w:rPr>
              <w:t>Individuals holding public ofce in Russia, as well as their spouses and dependent children, may be prohibited</w:t>
            </w:r>
          </w:p>
        </w:tc>
      </w:tr>
      <w:tr>
        <w:trPr>
          <w:trHeight w:val="180"/>
        </w:trPr>
        <w:tc>
          <w:tcPr>
            <w:tcW w:w="1060" w:type="dxa"/>
            <w:vAlign w:val="bottom"/>
          </w:tcPr>
          <w:p>
            <w:pPr>
              <w:spacing w:after="0"/>
              <w:rPr>
                <w:sz w:val="15"/>
                <w:szCs w:val="15"/>
                <w:color w:val="auto"/>
              </w:rPr>
            </w:pPr>
          </w:p>
        </w:tc>
        <w:tc>
          <w:tcPr>
            <w:tcW w:w="9300" w:type="dxa"/>
            <w:vAlign w:val="bottom"/>
          </w:tcPr>
          <w:p>
            <w:pPr>
              <w:ind w:left="360"/>
              <w:spacing w:after="0" w:line="180" w:lineRule="exact"/>
              <w:rPr>
                <w:sz w:val="20"/>
                <w:szCs w:val="20"/>
                <w:color w:val="auto"/>
              </w:rPr>
            </w:pPr>
            <w:r>
              <w:rPr>
                <w:rFonts w:ascii="Calibri" w:cs="Calibri" w:eastAsia="Calibri" w:hAnsi="Calibri"/>
                <w:sz w:val="19"/>
                <w:szCs w:val="19"/>
                <w:color w:val="auto"/>
              </w:rPr>
              <w:t>from opening or maintaining a foreign brokerage or bank account and holding any securites, whether acquired</w:t>
            </w:r>
          </w:p>
        </w:tc>
      </w:tr>
      <w:tr>
        <w:trPr>
          <w:trHeight w:val="193"/>
        </w:trPr>
        <w:tc>
          <w:tcPr>
            <w:tcW w:w="1060" w:type="dxa"/>
            <w:vAlign w:val="bottom"/>
          </w:tcPr>
          <w:p>
            <w:pPr>
              <w:spacing w:after="0"/>
              <w:rPr>
                <w:sz w:val="16"/>
                <w:szCs w:val="16"/>
                <w:color w:val="auto"/>
              </w:rPr>
            </w:pPr>
          </w:p>
        </w:tc>
        <w:tc>
          <w:tcPr>
            <w:tcW w:w="9300" w:type="dxa"/>
            <w:vAlign w:val="bottom"/>
          </w:tcPr>
          <w:p>
            <w:pPr>
              <w:ind w:left="360"/>
              <w:spacing w:after="0" w:line="194" w:lineRule="exact"/>
              <w:rPr>
                <w:sz w:val="20"/>
                <w:szCs w:val="20"/>
                <w:color w:val="auto"/>
              </w:rPr>
            </w:pPr>
            <w:r>
              <w:rPr>
                <w:rFonts w:ascii="Calibri" w:cs="Calibri" w:eastAsia="Calibri" w:hAnsi="Calibri"/>
                <w:sz w:val="19"/>
                <w:szCs w:val="19"/>
                <w:color w:val="auto"/>
              </w:rPr>
              <w:t>directly or indirectly, in a foreign company (including shares of Stock acquired under the Plan). Employee should</w:t>
            </w:r>
          </w:p>
        </w:tc>
      </w:tr>
      <w:tr>
        <w:trPr>
          <w:trHeight w:val="193"/>
        </w:trPr>
        <w:tc>
          <w:tcPr>
            <w:tcW w:w="1060" w:type="dxa"/>
            <w:vAlign w:val="bottom"/>
          </w:tcPr>
          <w:p>
            <w:pPr>
              <w:spacing w:after="0"/>
              <w:rPr>
                <w:sz w:val="16"/>
                <w:szCs w:val="16"/>
                <w:color w:val="auto"/>
              </w:rPr>
            </w:pPr>
          </w:p>
        </w:tc>
        <w:tc>
          <w:tcPr>
            <w:tcW w:w="9300" w:type="dxa"/>
            <w:vAlign w:val="bottom"/>
          </w:tcPr>
          <w:p>
            <w:pPr>
              <w:ind w:left="360"/>
              <w:spacing w:after="0" w:line="194" w:lineRule="exact"/>
              <w:rPr>
                <w:sz w:val="20"/>
                <w:szCs w:val="20"/>
                <w:color w:val="auto"/>
              </w:rPr>
            </w:pPr>
            <w:r>
              <w:rPr>
                <w:rFonts w:ascii="Calibri" w:cs="Calibri" w:eastAsia="Calibri" w:hAnsi="Calibri"/>
                <w:sz w:val="19"/>
                <w:szCs w:val="19"/>
                <w:color w:val="auto"/>
              </w:rPr>
              <w:t>consult  with  his/her  personal  legal  advisor  to  determine  whether  this  restricton  applies  to  his/her</w:t>
            </w:r>
          </w:p>
        </w:tc>
      </w:tr>
      <w:tr>
        <w:trPr>
          <w:trHeight w:val="226"/>
        </w:trPr>
        <w:tc>
          <w:tcPr>
            <w:tcW w:w="1060" w:type="dxa"/>
            <w:vAlign w:val="bottom"/>
          </w:tcPr>
          <w:p>
            <w:pPr>
              <w:spacing w:after="0"/>
              <w:rPr>
                <w:sz w:val="19"/>
                <w:szCs w:val="19"/>
                <w:color w:val="auto"/>
              </w:rPr>
            </w:pPr>
          </w:p>
        </w:tc>
        <w:tc>
          <w:tcPr>
            <w:tcW w:w="9300" w:type="dxa"/>
            <w:vAlign w:val="bottom"/>
          </w:tcPr>
          <w:p>
            <w:pPr>
              <w:ind w:left="360"/>
              <w:spacing w:after="0" w:line="226" w:lineRule="exact"/>
              <w:rPr>
                <w:sz w:val="20"/>
                <w:szCs w:val="20"/>
                <w:color w:val="auto"/>
              </w:rPr>
            </w:pPr>
            <w:r>
              <w:rPr>
                <w:rFonts w:ascii="Calibri" w:cs="Calibri" w:eastAsia="Calibri" w:hAnsi="Calibri"/>
                <w:sz w:val="19"/>
                <w:szCs w:val="19"/>
                <w:color w:val="auto"/>
              </w:rPr>
              <w:t>circumstances.</w:t>
            </w:r>
          </w:p>
        </w:tc>
      </w:tr>
      <w:tr>
        <w:trPr>
          <w:trHeight w:val="134"/>
        </w:trPr>
        <w:tc>
          <w:tcPr>
            <w:tcW w:w="1060" w:type="dxa"/>
            <w:vAlign w:val="bottom"/>
            <w:tcBorders>
              <w:bottom w:val="single" w:sz="8" w:color="auto"/>
            </w:tcBorders>
          </w:tcPr>
          <w:p>
            <w:pPr>
              <w:spacing w:after="0"/>
              <w:rPr>
                <w:sz w:val="11"/>
                <w:szCs w:val="11"/>
                <w:color w:val="auto"/>
              </w:rPr>
            </w:pPr>
          </w:p>
        </w:tc>
        <w:tc>
          <w:tcPr>
            <w:tcW w:w="9300" w:type="dxa"/>
            <w:vAlign w:val="bottom"/>
            <w:tcBorders>
              <w:bottom w:val="single" w:sz="8" w:color="auto"/>
            </w:tcBorders>
          </w:tcPr>
          <w:p>
            <w:pPr>
              <w:spacing w:after="0"/>
              <w:rPr>
                <w:sz w:val="11"/>
                <w:szCs w:val="11"/>
                <w:color w:val="auto"/>
              </w:rPr>
            </w:pPr>
          </w:p>
        </w:tc>
      </w:tr>
      <w:tr>
        <w:trPr>
          <w:trHeight w:val="232"/>
        </w:trPr>
        <w:tc>
          <w:tcPr>
            <w:tcW w:w="1060" w:type="dxa"/>
            <w:vAlign w:val="bottom"/>
          </w:tcPr>
          <w:p>
            <w:pPr>
              <w:ind w:left="80"/>
              <w:spacing w:after="0"/>
              <w:rPr>
                <w:sz w:val="20"/>
                <w:szCs w:val="20"/>
                <w:color w:val="auto"/>
              </w:rPr>
            </w:pPr>
            <w:r>
              <w:rPr>
                <w:rFonts w:ascii="Calibri" w:cs="Calibri" w:eastAsia="Calibri" w:hAnsi="Calibri"/>
                <w:sz w:val="19"/>
                <w:szCs w:val="19"/>
                <w:b w:val="1"/>
                <w:bCs w:val="1"/>
                <w:color w:val="auto"/>
              </w:rPr>
              <w:t>Senegal</w:t>
            </w:r>
          </w:p>
        </w:tc>
        <w:tc>
          <w:tcPr>
            <w:tcW w:w="9300" w:type="dxa"/>
            <w:vAlign w:val="bottom"/>
          </w:tcPr>
          <w:p>
            <w:pPr>
              <w:ind w:left="360"/>
              <w:spacing w:after="0" w:line="226" w:lineRule="exact"/>
              <w:rPr>
                <w:sz w:val="20"/>
                <w:szCs w:val="20"/>
                <w:color w:val="auto"/>
              </w:rPr>
            </w:pPr>
            <w:r>
              <w:rPr>
                <w:rFonts w:ascii="Calibri" w:cs="Calibri" w:eastAsia="Calibri" w:hAnsi="Calibri"/>
                <w:sz w:val="19"/>
                <w:szCs w:val="19"/>
                <w:b w:val="1"/>
                <w:bCs w:val="1"/>
                <w:color w:val="auto"/>
              </w:rPr>
              <w:t>Tax Registraton Notce</w:t>
            </w:r>
          </w:p>
        </w:tc>
      </w:tr>
      <w:tr>
        <w:trPr>
          <w:trHeight w:val="225"/>
        </w:trPr>
        <w:tc>
          <w:tcPr>
            <w:tcW w:w="1060" w:type="dxa"/>
            <w:vAlign w:val="bottom"/>
          </w:tcPr>
          <w:p>
            <w:pPr>
              <w:spacing w:after="0"/>
              <w:rPr>
                <w:sz w:val="19"/>
                <w:szCs w:val="19"/>
                <w:color w:val="auto"/>
              </w:rPr>
            </w:pPr>
          </w:p>
        </w:tc>
        <w:tc>
          <w:tcPr>
            <w:tcW w:w="9300" w:type="dxa"/>
            <w:vAlign w:val="bottom"/>
          </w:tcPr>
          <w:p>
            <w:pPr>
              <w:ind w:left="360"/>
              <w:spacing w:after="0" w:line="226" w:lineRule="exact"/>
              <w:rPr>
                <w:sz w:val="20"/>
                <w:szCs w:val="20"/>
                <w:color w:val="auto"/>
              </w:rPr>
            </w:pPr>
            <w:r>
              <w:rPr>
                <w:rFonts w:ascii="Calibri" w:cs="Calibri" w:eastAsia="Calibri" w:hAnsi="Calibri"/>
                <w:sz w:val="19"/>
                <w:szCs w:val="19"/>
                <w:color w:val="auto"/>
              </w:rPr>
              <w:t>Employee may be required to submit a copy of the Agreement to the tax authorites within one (1) month afer</w:t>
            </w:r>
          </w:p>
        </w:tc>
      </w:tr>
      <w:tr>
        <w:trPr>
          <w:trHeight w:val="180"/>
        </w:trPr>
        <w:tc>
          <w:tcPr>
            <w:tcW w:w="1060" w:type="dxa"/>
            <w:vAlign w:val="bottom"/>
          </w:tcPr>
          <w:p>
            <w:pPr>
              <w:spacing w:after="0"/>
              <w:rPr>
                <w:sz w:val="15"/>
                <w:szCs w:val="15"/>
                <w:color w:val="auto"/>
              </w:rPr>
            </w:pPr>
          </w:p>
        </w:tc>
        <w:tc>
          <w:tcPr>
            <w:tcW w:w="9300" w:type="dxa"/>
            <w:vAlign w:val="bottom"/>
          </w:tcPr>
          <w:p>
            <w:pPr>
              <w:ind w:left="360"/>
              <w:spacing w:after="0" w:line="180" w:lineRule="exact"/>
              <w:rPr>
                <w:sz w:val="20"/>
                <w:szCs w:val="20"/>
                <w:color w:val="auto"/>
              </w:rPr>
            </w:pPr>
            <w:r>
              <w:rPr>
                <w:rFonts w:ascii="Calibri" w:cs="Calibri" w:eastAsia="Calibri" w:hAnsi="Calibri"/>
                <w:sz w:val="19"/>
                <w:szCs w:val="19"/>
                <w:color w:val="auto"/>
              </w:rPr>
              <w:t>the date the Restricted Stock Units are granted and to pay any applicable registraton fee. It is Employee’s</w:t>
            </w:r>
          </w:p>
        </w:tc>
      </w:tr>
      <w:tr>
        <w:trPr>
          <w:trHeight w:val="226"/>
        </w:trPr>
        <w:tc>
          <w:tcPr>
            <w:tcW w:w="1060" w:type="dxa"/>
            <w:vAlign w:val="bottom"/>
          </w:tcPr>
          <w:p>
            <w:pPr>
              <w:spacing w:after="0"/>
              <w:rPr>
                <w:sz w:val="19"/>
                <w:szCs w:val="19"/>
                <w:color w:val="auto"/>
              </w:rPr>
            </w:pPr>
          </w:p>
        </w:tc>
        <w:tc>
          <w:tcPr>
            <w:tcW w:w="9300" w:type="dxa"/>
            <w:vAlign w:val="bottom"/>
          </w:tcPr>
          <w:p>
            <w:pPr>
              <w:ind w:left="360"/>
              <w:spacing w:after="0" w:line="226" w:lineRule="exact"/>
              <w:rPr>
                <w:sz w:val="20"/>
                <w:szCs w:val="20"/>
                <w:color w:val="auto"/>
              </w:rPr>
            </w:pPr>
            <w:r>
              <w:rPr>
                <w:rFonts w:ascii="Calibri" w:cs="Calibri" w:eastAsia="Calibri" w:hAnsi="Calibri"/>
                <w:sz w:val="19"/>
                <w:szCs w:val="19"/>
                <w:color w:val="auto"/>
              </w:rPr>
              <w:t>responsibility to submit the registraton and pay the fee.</w:t>
            </w:r>
          </w:p>
        </w:tc>
      </w:tr>
      <w:tr>
        <w:trPr>
          <w:trHeight w:val="147"/>
        </w:trPr>
        <w:tc>
          <w:tcPr>
            <w:tcW w:w="1060" w:type="dxa"/>
            <w:vAlign w:val="bottom"/>
            <w:tcBorders>
              <w:bottom w:val="single" w:sz="8" w:color="auto"/>
            </w:tcBorders>
          </w:tcPr>
          <w:p>
            <w:pPr>
              <w:spacing w:after="0"/>
              <w:rPr>
                <w:sz w:val="12"/>
                <w:szCs w:val="12"/>
                <w:color w:val="auto"/>
              </w:rPr>
            </w:pPr>
          </w:p>
        </w:tc>
        <w:tc>
          <w:tcPr>
            <w:tcW w:w="9300" w:type="dxa"/>
            <w:vAlign w:val="bottom"/>
            <w:tcBorders>
              <w:bottom w:val="single" w:sz="8" w:color="auto"/>
            </w:tcBorders>
          </w:tcPr>
          <w:p>
            <w:pPr>
              <w:spacing w:after="0"/>
              <w:rPr>
                <w:sz w:val="12"/>
                <w:szCs w:val="12"/>
                <w:color w:val="auto"/>
              </w:rPr>
            </w:pPr>
          </w:p>
        </w:tc>
      </w:tr>
    </w:tbl>
    <w:p>
      <w:pPr>
        <w:sectPr>
          <w:pgSz w:w="11900" w:h="16838" w:orient="portrait"/>
          <w:cols w:equalWidth="0" w:num="1">
            <w:col w:w="10360"/>
          </w:cols>
          <w:pgMar w:left="320" w:top="932" w:right="1219" w:bottom="1440" w:gutter="0" w:footer="0" w:header="0"/>
        </w:sectPr>
      </w:pPr>
    </w:p>
    <w:bookmarkStart w:id="116" w:name="page117"/>
    <w:bookmarkEnd w:id="116"/>
    <w:p>
      <w:pPr>
        <w:spacing w:after="0"/>
        <w:tabs>
          <w:tab w:leader="none" w:pos="1320" w:val="left"/>
        </w:tabs>
        <w:rPr>
          <w:sz w:val="20"/>
          <w:szCs w:val="20"/>
          <w:color w:val="auto"/>
        </w:rPr>
      </w:pPr>
      <w:r>
        <w:rPr>
          <w:rFonts w:ascii="Calibri" w:cs="Calibri" w:eastAsia="Calibri" w:hAnsi="Calibri"/>
          <w:sz w:val="38"/>
          <w:szCs w:val="38"/>
          <w:b w:val="1"/>
          <w:bCs w:val="1"/>
          <w:color w:val="auto"/>
          <w:vertAlign w:val="subscript"/>
        </w:rPr>
        <w:t>Singapore</w:t>
      </w:r>
      <w:r>
        <w:rPr>
          <w:sz w:val="20"/>
          <w:szCs w:val="20"/>
          <w:color w:val="auto"/>
        </w:rPr>
        <w:tab/>
      </w:r>
      <w:r>
        <w:rPr>
          <w:rFonts w:ascii="Calibri" w:cs="Calibri" w:eastAsia="Calibri" w:hAnsi="Calibri"/>
          <w:sz w:val="19"/>
          <w:szCs w:val="19"/>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65817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5">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225" w:lineRule="exact"/>
        <w:rPr>
          <w:sz w:val="20"/>
          <w:szCs w:val="20"/>
          <w:color w:val="auto"/>
        </w:rPr>
      </w:pPr>
    </w:p>
    <w:p>
      <w:pPr>
        <w:jc w:val="both"/>
        <w:ind w:left="1340"/>
        <w:spacing w:after="0" w:line="201" w:lineRule="auto"/>
        <w:rPr>
          <w:sz w:val="20"/>
          <w:szCs w:val="20"/>
          <w:color w:val="auto"/>
        </w:rPr>
      </w:pPr>
      <w:r>
        <w:rPr>
          <w:rFonts w:ascii="Calibri" w:cs="Calibri" w:eastAsia="Calibri" w:hAnsi="Calibri"/>
          <w:sz w:val="19"/>
          <w:szCs w:val="19"/>
          <w:color w:val="auto"/>
        </w:rPr>
        <w:t>This grant of Restricted Stock Units and the shares of Stock to be issued upon the vestng of such Restricted Stock Units shall be made available only to employees of the Company or its Subsidiaries and afliated companies, in reliance of the prospectus exempton set out in Secton 273(1)(f) of the Securites and Futures Act (Chapter 289) of Singapore. In additon, Employee agrees, by Employee’s acceptance of this grant, not to sell any shares of Stock within six (6) months afer the date of grant. Please note that neither this Agreement nor any other document or material in connecton with this ofer of the Restricted Stock Units and the shares of Stock thereunder has been or will be lodged, registered or reviewed by any regulatory authority in Singapore.</w:t>
      </w:r>
    </w:p>
    <w:p>
      <w:pPr>
        <w:spacing w:after="0" w:line="58" w:lineRule="exact"/>
        <w:rPr>
          <w:sz w:val="20"/>
          <w:szCs w:val="20"/>
          <w:color w:val="auto"/>
        </w:rPr>
      </w:pPr>
    </w:p>
    <w:p>
      <w:pPr>
        <w:ind w:left="1340"/>
        <w:spacing w:after="0"/>
        <w:rPr>
          <w:sz w:val="20"/>
          <w:szCs w:val="20"/>
          <w:color w:val="auto"/>
        </w:rPr>
      </w:pPr>
      <w:r>
        <w:rPr>
          <w:rFonts w:ascii="Calibri" w:cs="Calibri" w:eastAsia="Calibri" w:hAnsi="Calibri"/>
          <w:sz w:val="19"/>
          <w:szCs w:val="19"/>
          <w:b w:val="1"/>
          <w:bCs w:val="1"/>
          <w:color w:val="auto"/>
        </w:rPr>
        <w:t>Director Notfcaton Obligaton</w:t>
      </w:r>
    </w:p>
    <w:p>
      <w:pPr>
        <w:jc w:val="both"/>
        <w:ind w:left="1340" w:right="20"/>
        <w:spacing w:after="0" w:line="196" w:lineRule="auto"/>
        <w:rPr>
          <w:sz w:val="20"/>
          <w:szCs w:val="20"/>
          <w:color w:val="auto"/>
        </w:rPr>
      </w:pPr>
      <w:r>
        <w:rPr>
          <w:rFonts w:ascii="Calibri" w:cs="Calibri" w:eastAsia="Calibri" w:hAnsi="Calibri"/>
          <w:sz w:val="19"/>
          <w:szCs w:val="19"/>
          <w:color w:val="auto"/>
        </w:rPr>
        <w:t>If Employee is a director or shadow director of the Company or related company, Employee may be subject to special reportng requirements with regard to the acquisiton of shares of Stock or rights over shares of Stock. If Employee is the Chief Executve Ofcer (“CEO”) of the Company or related company and the above notfcaton requirements are determined to apply to the CEO of the Company or related company, the above notfcaton requirements also may apply to Employee. Employee should contact his/her personal legal advisor for further details if Employee is a director, shadow director or CEO of the Company or related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88900</wp:posOffset>
            </wp:positionV>
            <wp:extent cx="65817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6">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ectPr>
          <w:pgSz w:w="11900" w:h="16838" w:orient="portrait"/>
          <w:cols w:equalWidth="0" w:num="1">
            <w:col w:w="10220"/>
          </w:cols>
          <w:pgMar w:left="400" w:top="527" w:right="1279" w:bottom="1440" w:gutter="0" w:footer="0" w:header="0"/>
        </w:sectPr>
      </w:pPr>
    </w:p>
    <w:bookmarkStart w:id="117" w:name="page118"/>
    <w:bookmarkEnd w:id="117"/>
    <w:p>
      <w:pPr>
        <w:spacing w:after="0"/>
        <w:tabs>
          <w:tab w:leader="none" w:pos="1320" w:val="left"/>
        </w:tabs>
        <w:rPr>
          <w:sz w:val="20"/>
          <w:szCs w:val="20"/>
          <w:color w:val="auto"/>
        </w:rPr>
      </w:pPr>
      <w:r>
        <w:rPr>
          <w:rFonts w:ascii="Calibri" w:cs="Calibri" w:eastAsia="Calibri" w:hAnsi="Calibri"/>
          <w:sz w:val="38"/>
          <w:szCs w:val="38"/>
          <w:b w:val="1"/>
          <w:bCs w:val="1"/>
          <w:color w:val="auto"/>
          <w:vertAlign w:val="subscript"/>
        </w:rPr>
        <w:t>Spain</w:t>
      </w:r>
      <w:r>
        <w:rPr>
          <w:sz w:val="20"/>
          <w:szCs w:val="20"/>
          <w:color w:val="auto"/>
        </w:rPr>
        <w:tab/>
      </w:r>
      <w:r>
        <w:rPr>
          <w:rFonts w:ascii="Calibri" w:cs="Calibri" w:eastAsia="Calibri" w:hAnsi="Calibri"/>
          <w:sz w:val="15"/>
          <w:szCs w:val="15"/>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wp:posOffset>
            </wp:positionV>
            <wp:extent cx="65817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7">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249" w:lineRule="exact"/>
        <w:rPr>
          <w:sz w:val="20"/>
          <w:szCs w:val="20"/>
          <w:color w:val="auto"/>
        </w:rPr>
      </w:pPr>
    </w:p>
    <w:p>
      <w:pPr>
        <w:jc w:val="both"/>
        <w:ind w:left="1340" w:right="20"/>
        <w:spacing w:after="0" w:line="215" w:lineRule="auto"/>
        <w:rPr>
          <w:sz w:val="20"/>
          <w:szCs w:val="20"/>
          <w:color w:val="auto"/>
        </w:rPr>
      </w:pPr>
      <w:r>
        <w:rPr>
          <w:rFonts w:ascii="Calibri" w:cs="Calibri" w:eastAsia="Calibri" w:hAnsi="Calibri"/>
          <w:sz w:val="15"/>
          <w:szCs w:val="15"/>
          <w:color w:val="auto"/>
        </w:rPr>
        <w:t>No “ofer of securites to the public,” as defned under Spanish law, has taken place or will take place in the Spanish territory in connecton with the grant of the Restricted Stock Units under the Plan. Neither the Plan nor this Agreement have been nor will they be registered with the Comisión Nacional del Mercado de Valores (Spanish securites regulator), and they do not consttute a public ofering prospectus.</w:t>
      </w:r>
    </w:p>
    <w:p>
      <w:pPr>
        <w:spacing w:after="0" w:line="75" w:lineRule="exact"/>
        <w:rPr>
          <w:sz w:val="20"/>
          <w:szCs w:val="20"/>
          <w:color w:val="auto"/>
        </w:rPr>
      </w:pPr>
    </w:p>
    <w:p>
      <w:pPr>
        <w:ind w:left="1340"/>
        <w:spacing w:after="0"/>
        <w:rPr>
          <w:sz w:val="20"/>
          <w:szCs w:val="20"/>
          <w:color w:val="auto"/>
        </w:rPr>
      </w:pPr>
      <w:r>
        <w:rPr>
          <w:rFonts w:ascii="Calibri" w:cs="Calibri" w:eastAsia="Calibri" w:hAnsi="Calibri"/>
          <w:sz w:val="15"/>
          <w:szCs w:val="15"/>
          <w:b w:val="1"/>
          <w:bCs w:val="1"/>
          <w:color w:val="auto"/>
        </w:rPr>
        <w:t>Labor Law Acknowledgment</w:t>
      </w:r>
    </w:p>
    <w:p>
      <w:pPr>
        <w:spacing w:after="0" w:line="75" w:lineRule="exact"/>
        <w:rPr>
          <w:sz w:val="20"/>
          <w:szCs w:val="20"/>
          <w:color w:val="auto"/>
        </w:rPr>
      </w:pPr>
    </w:p>
    <w:p>
      <w:pPr>
        <w:jc w:val="both"/>
        <w:ind w:left="1340" w:right="20"/>
        <w:spacing w:after="0" w:line="221" w:lineRule="auto"/>
        <w:rPr>
          <w:sz w:val="20"/>
          <w:szCs w:val="20"/>
          <w:color w:val="auto"/>
        </w:rPr>
      </w:pPr>
      <w:r>
        <w:rPr>
          <w:rFonts w:ascii="Calibri" w:cs="Calibri" w:eastAsia="Calibri" w:hAnsi="Calibri"/>
          <w:sz w:val="15"/>
          <w:szCs w:val="15"/>
          <w:color w:val="auto"/>
        </w:rPr>
        <w:t>By acceptng the Restricted Stock Units granted hereunder, Employee consents to partcipaton in the Plan and acknowledges that Employee has received a copy of the Plan.</w:t>
      </w:r>
    </w:p>
    <w:p>
      <w:pPr>
        <w:spacing w:after="0" w:line="75" w:lineRule="exact"/>
        <w:rPr>
          <w:sz w:val="20"/>
          <w:szCs w:val="20"/>
          <w:color w:val="auto"/>
        </w:rPr>
      </w:pPr>
    </w:p>
    <w:p>
      <w:pPr>
        <w:jc w:val="both"/>
        <w:ind w:left="1340"/>
        <w:spacing w:after="0" w:line="205" w:lineRule="auto"/>
        <w:rPr>
          <w:sz w:val="20"/>
          <w:szCs w:val="20"/>
          <w:color w:val="auto"/>
        </w:rPr>
      </w:pPr>
      <w:r>
        <w:rPr>
          <w:rFonts w:ascii="Calibri" w:cs="Calibri" w:eastAsia="Calibri" w:hAnsi="Calibri"/>
          <w:sz w:val="15"/>
          <w:szCs w:val="15"/>
          <w:color w:val="auto"/>
        </w:rPr>
        <w:t>Employee understands that the Company has unilaterally, gratuitously and in its sole discreton decided to grant any Restricted Stock Units under the Plan to certain individuals who may be employees of the Company or its Subsidiaries and afliated companies throughout the world. The decision is a limited decision, which is entered into upon the express assumpton and conditon that any Restricted Stock Units granted will not economically or otherwise bind the Company or any of its Subsidiaries or any afliated companies on an ongoing basis, other than as expressly set forth in the Agreement. Consequently, Employee understands that the Restricted Stock Units granted hereunder are given on the assumpton and conditon that they shall not become a part of any employment contract (either with the Company or any of its Subsidiaries and afliated companies) and shall not be considered a mandatory beneft, salary for any purposes (including severance compensaton) or any other right whatsoever. Further, Employee understands and freely accepts that the future value of the Restricted Stock Units and the underlying shares of Stock is unknown and unpredictable. In additon, Employee understands that any Restricted Stock Units granted hereunder would not be made but for the assumptons and conditons referred to above; thus, Employee understands, acknowledges and freely accepts that, should any or all of the assumptons be mistaken or should any of the conditons not be met for any reason, then any grant of Restricted Stock Units or right to Restricted Stock Units shall be null and void.</w:t>
      </w:r>
    </w:p>
    <w:p>
      <w:pPr>
        <w:spacing w:after="0" w:line="83" w:lineRule="exact"/>
        <w:rPr>
          <w:sz w:val="20"/>
          <w:szCs w:val="20"/>
          <w:color w:val="auto"/>
        </w:rPr>
      </w:pPr>
    </w:p>
    <w:p>
      <w:pPr>
        <w:jc w:val="both"/>
        <w:ind w:left="1340"/>
        <w:spacing w:after="0" w:line="207" w:lineRule="auto"/>
        <w:rPr>
          <w:sz w:val="20"/>
          <w:szCs w:val="20"/>
          <w:color w:val="auto"/>
        </w:rPr>
      </w:pPr>
      <w:r>
        <w:rPr>
          <w:rFonts w:ascii="Calibri" w:cs="Calibri" w:eastAsia="Calibri" w:hAnsi="Calibri"/>
          <w:sz w:val="15"/>
          <w:szCs w:val="15"/>
          <w:color w:val="auto"/>
        </w:rPr>
        <w:t>Further, the grant of the Restricted Stock Units is expressly conditoned on Employee’s contnued and actve employment, such that if Employee’s employment terminates for any reason whatsoever, the Restricted Stock Units may cease vestng immediately, in whole or in part, efectve on the Terminaton Date (unless otherwise specifcally provided in the Agreement). This will be the case, for example, even if (i) Employee is considered to be unfairly dismissed without good cause (i.e., subject to a “despido improcedente”); (ii) Employee is dismissed for disciplinary or objectve reasons or due to a collectve dismissal; (iii) Employee terminates employment due to a change of work locaton, dutes or any other employment or contractual conditon; (iv) Employee terminates employment due to a unilateral breach of contract by the Company or the Employer; or (v) Employee’s employment terminates for any other reason whatsoever. Consequently, upon terminaton of Employee’s employment for any of the above reasons, Employee may automatcally lose any rights to the Restricted Stock Units that were not vested on the Employee’s Terminaton Date, as described in the Agreement and the Plan.</w:t>
      </w:r>
    </w:p>
    <w:p>
      <w:pPr>
        <w:spacing w:after="0" w:line="74" w:lineRule="exact"/>
        <w:rPr>
          <w:sz w:val="20"/>
          <w:szCs w:val="20"/>
          <w:color w:val="auto"/>
        </w:rPr>
      </w:pPr>
    </w:p>
    <w:p>
      <w:pPr>
        <w:ind w:left="1340"/>
        <w:spacing w:after="0"/>
        <w:rPr>
          <w:sz w:val="20"/>
          <w:szCs w:val="20"/>
          <w:color w:val="auto"/>
        </w:rPr>
      </w:pPr>
      <w:r>
        <w:rPr>
          <w:rFonts w:ascii="Calibri" w:cs="Calibri" w:eastAsia="Calibri" w:hAnsi="Calibri"/>
          <w:sz w:val="15"/>
          <w:szCs w:val="15"/>
          <w:b w:val="1"/>
          <w:bCs w:val="1"/>
          <w:color w:val="auto"/>
        </w:rPr>
        <w:t>Exchange Control Informaton</w:t>
      </w:r>
    </w:p>
    <w:p>
      <w:pPr>
        <w:spacing w:after="0" w:line="75" w:lineRule="exact"/>
        <w:rPr>
          <w:sz w:val="20"/>
          <w:szCs w:val="20"/>
          <w:color w:val="auto"/>
        </w:rPr>
      </w:pPr>
    </w:p>
    <w:p>
      <w:pPr>
        <w:jc w:val="both"/>
        <w:ind w:left="1340"/>
        <w:spacing w:after="0" w:line="215" w:lineRule="auto"/>
        <w:rPr>
          <w:sz w:val="20"/>
          <w:szCs w:val="20"/>
          <w:color w:val="auto"/>
        </w:rPr>
      </w:pPr>
      <w:r>
        <w:rPr>
          <w:rFonts w:ascii="Calibri" w:cs="Calibri" w:eastAsia="Calibri" w:hAnsi="Calibri"/>
          <w:sz w:val="15"/>
          <w:szCs w:val="15"/>
          <w:color w:val="auto"/>
        </w:rPr>
        <w:t>To partcipate in the Plan, Employee must comply with exchange control regulatons in Spain. Employee is required to declare electronically to the Bank of Spain any securites accounts (including brokerage accounts held abroad), as well as the shares of Stock held in such accounts, depending on the value of the transactons during the prior tax year or the balances in such accounts as of December 31 of the prior tax year.</w:t>
      </w:r>
    </w:p>
    <w:p>
      <w:pPr>
        <w:spacing w:after="0" w:line="75" w:lineRule="exact"/>
        <w:rPr>
          <w:sz w:val="20"/>
          <w:szCs w:val="20"/>
          <w:color w:val="auto"/>
        </w:rPr>
      </w:pPr>
    </w:p>
    <w:p>
      <w:pPr>
        <w:jc w:val="both"/>
        <w:ind w:left="1340"/>
        <w:spacing w:after="0" w:line="209" w:lineRule="auto"/>
        <w:rPr>
          <w:sz w:val="20"/>
          <w:szCs w:val="20"/>
          <w:color w:val="auto"/>
        </w:rPr>
      </w:pPr>
      <w:r>
        <w:rPr>
          <w:rFonts w:ascii="Calibri" w:cs="Calibri" w:eastAsia="Calibri" w:hAnsi="Calibri"/>
          <w:sz w:val="15"/>
          <w:szCs w:val="15"/>
          <w:color w:val="auto"/>
        </w:rPr>
        <w:t xml:space="preserve">If Employee holds 10% or more of the share capital of the Company or such other amount that would enttle Employee to join the Board, the acquisiton, ownership and dispositon of stock in a foreign company (including shares of Stock) must be declared for statstcal purposes to the </w:t>
      </w:r>
      <w:r>
        <w:rPr>
          <w:rFonts w:ascii="Calibri" w:cs="Calibri" w:eastAsia="Calibri" w:hAnsi="Calibri"/>
          <w:sz w:val="15"/>
          <w:szCs w:val="15"/>
          <w:i w:val="1"/>
          <w:iCs w:val="1"/>
          <w:color w:val="auto"/>
        </w:rPr>
        <w:t>Spanish Dirección General de Comercio e Inversiones</w:t>
      </w:r>
      <w:r>
        <w:rPr>
          <w:rFonts w:ascii="Calibri" w:cs="Calibri" w:eastAsia="Calibri" w:hAnsi="Calibri"/>
          <w:sz w:val="15"/>
          <w:szCs w:val="15"/>
          <w:color w:val="auto"/>
        </w:rPr>
        <w:t>, the Bureau for Commerce and Investments, which is a department of the Ministry of Economy and Compettveness. In this case, the declaraton must be made in January for shares of Stock acquired or disposed of during the prior year and/or for shares of Stock owned as of December 31 of the prior year; however, if the value of the shares of Stock acquired or sold exceeds €1,502,530, the declaraton must be fled within one month of the acquisiton or dispositon, as applicable.</w:t>
      </w:r>
    </w:p>
    <w:p>
      <w:pPr>
        <w:spacing w:after="0" w:line="75" w:lineRule="exact"/>
        <w:rPr>
          <w:sz w:val="20"/>
          <w:szCs w:val="20"/>
          <w:color w:val="auto"/>
        </w:rPr>
      </w:pPr>
    </w:p>
    <w:p>
      <w:pPr>
        <w:ind w:left="1340"/>
        <w:spacing w:after="0"/>
        <w:rPr>
          <w:sz w:val="20"/>
          <w:szCs w:val="20"/>
          <w:color w:val="auto"/>
        </w:rPr>
      </w:pPr>
      <w:r>
        <w:rPr>
          <w:rFonts w:ascii="Calibri" w:cs="Calibri" w:eastAsia="Calibri" w:hAnsi="Calibri"/>
          <w:sz w:val="15"/>
          <w:szCs w:val="15"/>
          <w:b w:val="1"/>
          <w:bCs w:val="1"/>
          <w:color w:val="auto"/>
        </w:rPr>
        <w:t>Foreign Asset and Account Reportng</w:t>
      </w:r>
    </w:p>
    <w:p>
      <w:pPr>
        <w:spacing w:after="0" w:line="75" w:lineRule="exact"/>
        <w:rPr>
          <w:sz w:val="20"/>
          <w:szCs w:val="20"/>
          <w:color w:val="auto"/>
        </w:rPr>
      </w:pPr>
    </w:p>
    <w:p>
      <w:pPr>
        <w:jc w:val="both"/>
        <w:ind w:left="1340"/>
        <w:spacing w:after="0"/>
        <w:rPr>
          <w:sz w:val="20"/>
          <w:szCs w:val="20"/>
          <w:color w:val="auto"/>
        </w:rPr>
      </w:pPr>
      <w:r>
        <w:rPr>
          <w:rFonts w:ascii="Calibri" w:cs="Calibri" w:eastAsia="Calibri" w:hAnsi="Calibri"/>
          <w:sz w:val="15"/>
          <w:szCs w:val="15"/>
          <w:color w:val="auto"/>
        </w:rPr>
        <w:t>Employee understands that if Employee holds assets (</w:t>
      </w:r>
      <w:r>
        <w:rPr>
          <w:rFonts w:ascii="Calibri" w:cs="Calibri" w:eastAsia="Calibri" w:hAnsi="Calibri"/>
          <w:sz w:val="15"/>
          <w:szCs w:val="15"/>
          <w:i w:val="1"/>
          <w:iCs w:val="1"/>
          <w:color w:val="auto"/>
        </w:rPr>
        <w:t>e.g.</w:t>
      </w:r>
      <w:r>
        <w:rPr>
          <w:rFonts w:ascii="Calibri" w:cs="Calibri" w:eastAsia="Calibri" w:hAnsi="Calibri"/>
          <w:sz w:val="15"/>
          <w:szCs w:val="15"/>
          <w:color w:val="auto"/>
        </w:rPr>
        <w:t>, shares of Stock or cash held in a bank or brokerage account) outside of Spain with a value in excess of a certain threshold (currently EUR 50,000) per type of asset (</w:t>
      </w:r>
      <w:r>
        <w:rPr>
          <w:rFonts w:ascii="Calibri" w:cs="Calibri" w:eastAsia="Calibri" w:hAnsi="Calibri"/>
          <w:sz w:val="15"/>
          <w:szCs w:val="15"/>
          <w:i w:val="1"/>
          <w:iCs w:val="1"/>
          <w:color w:val="auto"/>
        </w:rPr>
        <w:t>e.g.</w:t>
      </w:r>
      <w:r>
        <w:rPr>
          <w:rFonts w:ascii="Calibri" w:cs="Calibri" w:eastAsia="Calibri" w:hAnsi="Calibri"/>
          <w:sz w:val="15"/>
          <w:szCs w:val="15"/>
          <w:color w:val="auto"/>
        </w:rPr>
        <w:t>, shares of Stock, cash, etc.) as of December 31, Employee is required to report certain informaton regarding such assets on tax Form 720. Afer such assets are initally reported, the reportng obligaton will only apply for subsequent years if the value of any previously-reported assets increases by more than a specifed amount (currently EUR 20,000) or if Employee sells or otherwise disposes of previously-reported assets. The reportng must be completed by the following March 31.</w:t>
      </w:r>
    </w:p>
    <w:p>
      <w:pPr>
        <w:spacing w:after="0" w:line="181" w:lineRule="auto"/>
        <w:tabs>
          <w:tab w:leader="none" w:pos="1320" w:val="left"/>
        </w:tabs>
        <w:rPr>
          <w:sz w:val="20"/>
          <w:szCs w:val="20"/>
          <w:color w:val="auto"/>
        </w:rPr>
      </w:pPr>
      <w:r>
        <w:rPr>
          <w:rFonts w:ascii="Calibri" w:cs="Calibri" w:eastAsia="Calibri" w:hAnsi="Calibri"/>
          <w:sz w:val="29"/>
          <w:szCs w:val="29"/>
          <w:b w:val="1"/>
          <w:bCs w:val="1"/>
          <w:color w:val="auto"/>
          <w:vertAlign w:val="subscript"/>
        </w:rPr>
        <w:t>Switzerland</w:t>
      </w:r>
      <w:r>
        <w:rPr>
          <w:sz w:val="20"/>
          <w:szCs w:val="20"/>
          <w:color w:val="auto"/>
        </w:rPr>
        <w:tab/>
      </w:r>
      <w:r>
        <w:rPr>
          <w:rFonts w:ascii="Calibri" w:cs="Calibri" w:eastAsia="Calibri" w:hAnsi="Calibri"/>
          <w:sz w:val="16"/>
          <w:szCs w:val="16"/>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-59690</wp:posOffset>
            </wp:positionV>
            <wp:extent cx="65817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8">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169" w:lineRule="exact"/>
        <w:rPr>
          <w:sz w:val="20"/>
          <w:szCs w:val="20"/>
          <w:color w:val="auto"/>
        </w:rPr>
      </w:pPr>
    </w:p>
    <w:p>
      <w:pPr>
        <w:jc w:val="both"/>
        <w:ind w:left="1340"/>
        <w:spacing w:after="0" w:line="201" w:lineRule="auto"/>
        <w:rPr>
          <w:sz w:val="20"/>
          <w:szCs w:val="20"/>
          <w:color w:val="auto"/>
        </w:rPr>
      </w:pPr>
      <w:r>
        <w:rPr>
          <w:rFonts w:ascii="Calibri" w:cs="Calibri" w:eastAsia="Calibri" w:hAnsi="Calibri"/>
          <w:sz w:val="19"/>
          <w:szCs w:val="19"/>
          <w:color w:val="auto"/>
        </w:rPr>
        <w:t>Neither this document nor any other materials relatng to the Restricted Stock Units (i) consttutes a prospectus according to artcles 35 et seq. of the Swiss Federal Act on Financial Services (“FinSA”), (ii) may be publicly distributed or otherwise made publicly available in Switzerland to any person other than an employee of the Company or a Subsidiary; or (iii) has been or will be fled with, approved or supervised by any Swiss reviewing body according to Artcle 51 of FinSA or any Swiss regulatory authority, including the Swiss Financial Market Supervisory Authority (FINMA).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94615</wp:posOffset>
            </wp:positionV>
            <wp:extent cx="65817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9">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ectPr>
          <w:pgSz w:w="11900" w:h="16838" w:orient="portrait"/>
          <w:cols w:equalWidth="0" w:num="1">
            <w:col w:w="10220"/>
          </w:cols>
          <w:pgMar w:left="400" w:top="486" w:right="1279" w:bottom="1440" w:gutter="0" w:footer="0" w:header="0"/>
        </w:sectPr>
      </w:pPr>
    </w:p>
    <w:bookmarkStart w:id="118" w:name="page119"/>
    <w:bookmarkEnd w:id="118"/>
    <w:p>
      <w:pPr>
        <w:spacing w:after="0"/>
        <w:tabs>
          <w:tab w:leader="none" w:pos="1320" w:val="left"/>
        </w:tabs>
        <w:rPr>
          <w:sz w:val="20"/>
          <w:szCs w:val="20"/>
          <w:color w:val="auto"/>
        </w:rPr>
      </w:pPr>
      <w:r>
        <w:rPr>
          <w:rFonts w:ascii="Calibri" w:cs="Calibri" w:eastAsia="Calibri" w:hAnsi="Calibri"/>
          <w:sz w:val="38"/>
          <w:szCs w:val="38"/>
          <w:b w:val="1"/>
          <w:bCs w:val="1"/>
          <w:color w:val="auto"/>
          <w:vertAlign w:val="subscript"/>
        </w:rPr>
        <w:t>Thailand</w:t>
      </w:r>
      <w:r>
        <w:rPr>
          <w:sz w:val="20"/>
          <w:szCs w:val="20"/>
          <w:color w:val="auto"/>
        </w:rPr>
        <w:tab/>
      </w:r>
      <w:r>
        <w:rPr>
          <w:rFonts w:ascii="Calibri" w:cs="Calibri" w:eastAsia="Calibri" w:hAnsi="Calibri"/>
          <w:sz w:val="19"/>
          <w:szCs w:val="19"/>
          <w:b w:val="1"/>
          <w:bCs w:val="1"/>
          <w:color w:val="auto"/>
        </w:rPr>
        <w:t>Foreign Exchange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65817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0">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225" w:lineRule="exact"/>
        <w:rPr>
          <w:sz w:val="20"/>
          <w:szCs w:val="20"/>
          <w:color w:val="auto"/>
        </w:rPr>
      </w:pPr>
    </w:p>
    <w:p>
      <w:pPr>
        <w:jc w:val="both"/>
        <w:ind w:left="1340"/>
        <w:spacing w:after="0" w:line="201" w:lineRule="auto"/>
        <w:rPr>
          <w:sz w:val="20"/>
          <w:szCs w:val="20"/>
          <w:color w:val="auto"/>
        </w:rPr>
      </w:pPr>
      <w:r>
        <w:rPr>
          <w:rFonts w:ascii="Calibri" w:cs="Calibri" w:eastAsia="Calibri" w:hAnsi="Calibri"/>
          <w:sz w:val="19"/>
          <w:szCs w:val="19"/>
          <w:color w:val="auto"/>
        </w:rPr>
        <w:t>If Employee is a Thai resident and Employee realizes sale proceeds equaling or exceeding a specifed threshold (currently USD 1,000,000) in a single transacton, Employee is required to repatriate the cash proceeds to Thailand immediately following the receipt of such proceeds and then either convert such repatriaton proceeds into Thai Baht or deposit the proceeds into a foreign currency account opened with any commercial bank in Thailand within 360 days of repatriaton. Further, Employee must specifcally report the inward remitance to the commercial bank in Thailand. Employee is personally responsible for complying with applicable exchange control requirements in Thailand.</w:t>
      </w:r>
    </w:p>
    <w:p>
      <w:pPr>
        <w:spacing w:after="0" w:line="65" w:lineRule="exact"/>
        <w:rPr>
          <w:sz w:val="20"/>
          <w:szCs w:val="20"/>
          <w:color w:val="auto"/>
        </w:rPr>
      </w:pPr>
    </w:p>
    <w:p>
      <w:pPr>
        <w:ind w:left="1340"/>
        <w:spacing w:after="0"/>
        <w:rPr>
          <w:sz w:val="20"/>
          <w:szCs w:val="20"/>
          <w:color w:val="auto"/>
        </w:rPr>
      </w:pPr>
      <w:r>
        <w:rPr>
          <w:rFonts w:ascii="Calibri" w:cs="Calibri" w:eastAsia="Calibri" w:hAnsi="Calibri"/>
          <w:sz w:val="19"/>
          <w:szCs w:val="19"/>
          <w:b w:val="1"/>
          <w:bCs w:val="1"/>
          <w:color w:val="auto"/>
        </w:rPr>
        <w:t>Labor Law Acknowledgement</w:t>
      </w:r>
    </w:p>
    <w:p>
      <w:pPr>
        <w:spacing w:after="0" w:line="135" w:lineRule="exact"/>
        <w:rPr>
          <w:sz w:val="20"/>
          <w:szCs w:val="20"/>
          <w:color w:val="auto"/>
        </w:rPr>
      </w:pPr>
    </w:p>
    <w:p>
      <w:pPr>
        <w:jc w:val="both"/>
        <w:ind w:left="1340"/>
        <w:spacing w:after="0" w:line="201" w:lineRule="auto"/>
        <w:rPr>
          <w:sz w:val="20"/>
          <w:szCs w:val="20"/>
          <w:color w:val="auto"/>
        </w:rPr>
      </w:pPr>
      <w:r>
        <w:rPr>
          <w:rFonts w:ascii="Calibri" w:cs="Calibri" w:eastAsia="Calibri" w:hAnsi="Calibri"/>
          <w:sz w:val="19"/>
          <w:szCs w:val="19"/>
          <w:color w:val="auto"/>
        </w:rPr>
        <w:t>The Agreement and the Plan, including benefts provided thereunder, are separate arrangements between Employee and the Company and are unrelated to Employee’s employment with the Thai Subsidiary. The Agreement and the Plan are not part of the terms and conditons of Employee’s employment with the Thai Subsidiary. Any income recognized under the Agreement and the Plan, if any, is not part of Employee’s remuneraton from employment with the Thai Subsidiary.</w:t>
      </w:r>
    </w:p>
    <w:p>
      <w:pPr>
        <w:spacing w:after="0" w:line="186" w:lineRule="auto"/>
        <w:tabs>
          <w:tab w:leader="none" w:pos="1320" w:val="left"/>
        </w:tabs>
        <w:rPr>
          <w:sz w:val="20"/>
          <w:szCs w:val="20"/>
          <w:color w:val="auto"/>
        </w:rPr>
      </w:pPr>
      <w:r>
        <w:rPr>
          <w:rFonts w:ascii="Calibri" w:cs="Calibri" w:eastAsia="Calibri" w:hAnsi="Calibri"/>
          <w:sz w:val="24"/>
          <w:szCs w:val="24"/>
          <w:b w:val="1"/>
          <w:bCs w:val="1"/>
          <w:color w:val="auto"/>
          <w:vertAlign w:val="subscript"/>
        </w:rPr>
        <w:t>Trinidad</w:t>
      </w:r>
      <w:r>
        <w:rPr>
          <w:sz w:val="20"/>
          <w:szCs w:val="20"/>
          <w:color w:val="auto"/>
        </w:rPr>
        <w:tab/>
      </w:r>
      <w:r>
        <w:rPr>
          <w:rFonts w:ascii="Calibri" w:cs="Calibri" w:eastAsia="Calibri" w:hAnsi="Calibri"/>
          <w:sz w:val="14"/>
          <w:szCs w:val="14"/>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-48260</wp:posOffset>
            </wp:positionV>
            <wp:extent cx="65817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1">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187" w:lineRule="exact"/>
        <w:rPr>
          <w:sz w:val="20"/>
          <w:szCs w:val="20"/>
          <w:color w:val="auto"/>
        </w:rPr>
      </w:pPr>
    </w:p>
    <w:p>
      <w:pPr>
        <w:jc w:val="both"/>
        <w:ind w:left="1340"/>
        <w:spacing w:after="0" w:line="206" w:lineRule="auto"/>
        <w:rPr>
          <w:sz w:val="20"/>
          <w:szCs w:val="20"/>
          <w:color w:val="auto"/>
        </w:rPr>
      </w:pPr>
      <w:r>
        <w:rPr>
          <w:rFonts w:ascii="Calibri" w:cs="Calibri" w:eastAsia="Calibri" w:hAnsi="Calibri"/>
          <w:sz w:val="19"/>
          <w:szCs w:val="19"/>
          <w:color w:val="auto"/>
        </w:rPr>
        <w:t>The grant of Restricted Stock Units is intended to satsfy the conditons for exemptons granted by the Trinidad and Tobago Securites and Exchange Commission. In the event this grant does not satsfy the applicable conditons, the same must be registered under the Securites Act, Chap. 83:02.</w:t>
      </w:r>
    </w:p>
    <w:p>
      <w:pPr>
        <w:sectPr>
          <w:pgSz w:w="11900" w:h="16838" w:orient="portrait"/>
          <w:cols w:equalWidth="0" w:num="1">
            <w:col w:w="10220"/>
          </w:cols>
          <w:pgMar w:left="400" w:top="527" w:right="1279" w:bottom="1440" w:gutter="0" w:footer="0" w:header="0"/>
        </w:sectPr>
      </w:pPr>
    </w:p>
    <w:p>
      <w:pPr>
        <w:spacing w:after="0" w:line="176" w:lineRule="exact"/>
        <w:rPr>
          <w:sz w:val="20"/>
          <w:szCs w:val="20"/>
          <w:color w:val="auto"/>
        </w:rPr>
      </w:pPr>
    </w:p>
    <w:p>
      <w:pPr>
        <w:spacing w:after="0" w:line="260" w:lineRule="auto"/>
        <w:rPr>
          <w:sz w:val="20"/>
          <w:szCs w:val="20"/>
          <w:color w:val="auto"/>
        </w:rPr>
      </w:pPr>
      <w:r>
        <w:rPr>
          <w:rFonts w:ascii="Calibri" w:cs="Calibri" w:eastAsia="Calibri" w:hAnsi="Calibri"/>
          <w:sz w:val="19"/>
          <w:szCs w:val="19"/>
          <w:b w:val="1"/>
          <w:bCs w:val="1"/>
          <w:color w:val="auto"/>
        </w:rPr>
        <w:t>United Arab Emirates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-135255</wp:posOffset>
            </wp:positionV>
            <wp:extent cx="65817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2">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51" w:lineRule="exact"/>
        <w:rPr>
          <w:sz w:val="20"/>
          <w:szCs w:val="20"/>
          <w:color w:val="auto"/>
        </w:rPr>
      </w:pPr>
    </w:p>
    <w:p>
      <w:pPr>
        <w:jc w:val="both"/>
        <w:spacing w:after="0" w:line="200" w:lineRule="auto"/>
        <w:rPr>
          <w:sz w:val="20"/>
          <w:szCs w:val="20"/>
          <w:color w:val="auto"/>
        </w:rPr>
      </w:pPr>
      <w:r>
        <w:rPr>
          <w:rFonts w:ascii="Calibri" w:cs="Calibri" w:eastAsia="Calibri" w:hAnsi="Calibri"/>
          <w:sz w:val="19"/>
          <w:szCs w:val="19"/>
          <w:color w:val="auto"/>
        </w:rPr>
        <w:t>The Plan has not been approved or licensed by the UAE Central Bank or any other relevant licensing authorites or governmental agencies in the United Arab Emirates. The Plan is strictly private and confdental and has not been reviewed by, deposited or registered with the UAE Central Bank or any other licensing authority or governmental agencies in the United Arab Emirates. This Plan is being issued from outside the United Arab Emirates to a limited number of employees of the Company and its afliated companies and must not be provided to any person other than the original recipient and may not be reproduced or used for any other purpose. Further, the informaton contained in this report is not intended to lead to the issue of any securites or the conclusion of any other contract of whatsoever nature within the territory of the United Arab Emirates.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90170</wp:posOffset>
            </wp:positionV>
            <wp:extent cx="65817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3">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ectPr>
          <w:pgSz w:w="11900" w:h="16838" w:orient="portrait"/>
          <w:cols w:equalWidth="0" w:num="2">
            <w:col w:w="960" w:space="380"/>
            <w:col w:w="8880"/>
          </w:cols>
          <w:pgMar w:left="400" w:top="527" w:right="1279" w:bottom="1440" w:gutter="0" w:footer="0" w:header="0"/>
          <w:type w:val="continuous"/>
        </w:sectPr>
      </w:pPr>
    </w:p>
    <w:bookmarkStart w:id="119" w:name="page120"/>
    <w:bookmarkEnd w:id="119"/>
    <w:p>
      <w:pPr>
        <w:spacing w:after="0" w:line="45" w:lineRule="exact"/>
        <w:rPr>
          <w:sz w:val="20"/>
          <w:szCs w:val="20"/>
          <w:color w:val="auto"/>
        </w:rPr>
      </w:pPr>
    </w:p>
    <w:p>
      <w:pPr>
        <w:spacing w:after="0" w:line="288" w:lineRule="auto"/>
        <w:rPr>
          <w:sz w:val="20"/>
          <w:szCs w:val="20"/>
          <w:color w:val="auto"/>
        </w:rPr>
      </w:pPr>
      <w:r>
        <w:rPr>
          <w:rFonts w:ascii="Calibri" w:cs="Calibri" w:eastAsia="Calibri" w:hAnsi="Calibri"/>
          <w:sz w:val="18"/>
          <w:szCs w:val="18"/>
          <w:b w:val="1"/>
          <w:bCs w:val="1"/>
          <w:color w:val="auto"/>
        </w:rPr>
        <w:t>United Kingdom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9"/>
          <w:szCs w:val="19"/>
          <w:b w:val="1"/>
          <w:bCs w:val="1"/>
          <w:color w:val="auto"/>
        </w:rPr>
        <w:t>Withholding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-899160</wp:posOffset>
            </wp:positionH>
            <wp:positionV relativeFrom="paragraph">
              <wp:posOffset>-135255</wp:posOffset>
            </wp:positionV>
            <wp:extent cx="65817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4">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Calibri" w:cs="Calibri" w:eastAsia="Calibri" w:hAnsi="Calibri"/>
          <w:sz w:val="19"/>
          <w:szCs w:val="19"/>
          <w:color w:val="auto"/>
        </w:rPr>
        <w:t>This provision shall supplement Paragraph 7 of the Agreement:</w:t>
      </w:r>
    </w:p>
    <w:p>
      <w:pPr>
        <w:spacing w:after="0" w:line="174" w:lineRule="exact"/>
        <w:rPr>
          <w:sz w:val="20"/>
          <w:szCs w:val="20"/>
          <w:color w:val="auto"/>
        </w:rPr>
      </w:pPr>
    </w:p>
    <w:p>
      <w:pPr>
        <w:jc w:val="both"/>
        <w:spacing w:after="0" w:line="201" w:lineRule="auto"/>
        <w:rPr>
          <w:sz w:val="20"/>
          <w:szCs w:val="20"/>
          <w:color w:val="auto"/>
        </w:rPr>
      </w:pPr>
      <w:r>
        <w:rPr>
          <w:rFonts w:ascii="Calibri" w:cs="Calibri" w:eastAsia="Calibri" w:hAnsi="Calibri"/>
          <w:sz w:val="19"/>
          <w:szCs w:val="19"/>
          <w:color w:val="auto"/>
        </w:rPr>
        <w:t>Without limitaton to Paragraph 7 of the Agreement, Employee agrees that Employee is liable for all Tax-Related Items and hereby covenants to pay all such Tax-Related Items, as and when requested by the Company, the Employer or by Her Majesty’s Revenue and Customs (“HMRC”) (or any other tax authority or any other relevant authority). Employee also agrees to indemnify and keep indemnifed the Company and the Employer against any Tax-Related Items that they are required to pay or withhold or have paid or will pay on Employee’s behalf to HMRC (or any other tax authority or any other relevant authority).</w:t>
      </w:r>
    </w:p>
    <w:p>
      <w:pPr>
        <w:spacing w:after="0" w:line="175" w:lineRule="exact"/>
        <w:rPr>
          <w:sz w:val="20"/>
          <w:szCs w:val="20"/>
          <w:color w:val="auto"/>
        </w:rPr>
      </w:pPr>
    </w:p>
    <w:p>
      <w:pPr>
        <w:jc w:val="both"/>
        <w:spacing w:after="0" w:line="198" w:lineRule="auto"/>
        <w:rPr>
          <w:sz w:val="20"/>
          <w:szCs w:val="20"/>
          <w:color w:val="auto"/>
        </w:rPr>
      </w:pPr>
      <w:r>
        <w:rPr>
          <w:rFonts w:ascii="Calibri" w:cs="Calibri" w:eastAsia="Calibri" w:hAnsi="Calibri"/>
          <w:sz w:val="19"/>
          <w:szCs w:val="19"/>
          <w:color w:val="auto"/>
        </w:rPr>
        <w:t>Notwithstanding the foregoing, if Employee is a director or executve ofcer (as within the meaning of Secton 13(k) of the U.S. Securites Exchange Act of 1934, as amended), the terms of the immediately foregoing provision will not apply. In the event that Employee is a director or executve ofcer and income tax due is not collected from or paid by Employee within ninety (90) days afer the U.K. tax year in which an event giving rise to the indemnifcaton described above occurs, the amount of any uncollected tax may consttute a beneft to Employee on which additonal income tax and natonal insurance contributons may be payable. Employee acknowledges that Employee ultmately will be responsible for reportng and paying any income tax due on this additonal beneft directly to HMRC under the self-assessment regime and for paying the Company or the Employer (as applicable) the amount of any employee natonal insurance contributons due on this additonal beneft, which the Company and/or the Employer may recover from Employee at any tme thereafer by any of the means referred to in Paragraph 7 of the Agreement.</w:t>
      </w:r>
    </w:p>
    <w:p>
      <w:pPr>
        <w:spacing w:after="0" w:line="6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Exclusion of Claim</w:t>
      </w:r>
    </w:p>
    <w:p>
      <w:pPr>
        <w:spacing w:after="0" w:line="58" w:lineRule="exact"/>
        <w:rPr>
          <w:sz w:val="20"/>
          <w:szCs w:val="20"/>
          <w:color w:val="auto"/>
        </w:rPr>
      </w:pPr>
    </w:p>
    <w:p>
      <w:pPr>
        <w:jc w:val="both"/>
        <w:ind w:right="20"/>
        <w:spacing w:after="0" w:line="204" w:lineRule="auto"/>
        <w:rPr>
          <w:sz w:val="20"/>
          <w:szCs w:val="20"/>
          <w:color w:val="auto"/>
        </w:rPr>
      </w:pPr>
      <w:r>
        <w:rPr>
          <w:rFonts w:ascii="Calibri" w:cs="Calibri" w:eastAsia="Calibri" w:hAnsi="Calibri"/>
          <w:sz w:val="19"/>
          <w:szCs w:val="19"/>
          <w:color w:val="auto"/>
        </w:rPr>
        <w:t>Employee acknowledges and agrees that Employee will have no enttlement to compensaton or damages insofar as such enttlement arises or may arise from Employee ceasing to have rights under or to be enttled to Restricted Stock Units, whether or not as a result of terminaton of employment (whether such terminaton is in breach of contract or otherwise), or from the loss or diminuton in value of the Restricted Stock Units. Upon the grant of the Restricted Stock Units, Employee shall be deemed to have waived irrevocably such enttlement.</w:t>
      </w:r>
    </w:p>
    <w:p>
      <w:pPr>
        <w:spacing w:after="0" w:line="1" w:lineRule="exact"/>
        <w:rPr>
          <w:sz w:val="20"/>
          <w:szCs w:val="20"/>
          <w:color w:val="auto"/>
        </w:rPr>
      </w:pPr>
    </w:p>
    <w:p>
      <w:pPr>
        <w:sectPr>
          <w:pgSz w:w="11900" w:h="16838" w:orient="portrait"/>
          <w:cols w:equalWidth="0" w:num="2">
            <w:col w:w="700" w:space="640"/>
            <w:col w:w="8880"/>
          </w:cols>
          <w:pgMar w:left="400" w:top="933" w:right="1279" w:bottom="1440" w:gutter="0" w:footer="0" w:header="0"/>
        </w:sectPr>
      </w:pPr>
    </w:p>
    <w:p>
      <w:pPr>
        <w:spacing w:after="0" w:line="185" w:lineRule="auto"/>
        <w:tabs>
          <w:tab w:leader="none" w:pos="1320" w:val="left"/>
        </w:tabs>
        <w:rPr>
          <w:sz w:val="20"/>
          <w:szCs w:val="20"/>
          <w:color w:val="auto"/>
        </w:rPr>
      </w:pPr>
      <w:r>
        <w:rPr>
          <w:rFonts w:ascii="Calibri" w:cs="Calibri" w:eastAsia="Calibri" w:hAnsi="Calibri"/>
          <w:sz w:val="24"/>
          <w:szCs w:val="24"/>
          <w:b w:val="1"/>
          <w:bCs w:val="1"/>
          <w:color w:val="auto"/>
          <w:vertAlign w:val="subscript"/>
        </w:rPr>
        <w:t>Venezuela</w:t>
      </w:r>
      <w:r>
        <w:rPr>
          <w:sz w:val="20"/>
          <w:szCs w:val="20"/>
          <w:color w:val="auto"/>
        </w:rPr>
        <w:tab/>
      </w:r>
      <w:r>
        <w:rPr>
          <w:rFonts w:ascii="Calibri" w:cs="Calibri" w:eastAsia="Calibri" w:hAnsi="Calibri"/>
          <w:sz w:val="14"/>
          <w:szCs w:val="14"/>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-57150</wp:posOffset>
            </wp:positionV>
            <wp:extent cx="65817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5">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pacing w:after="0" w:line="174" w:lineRule="exact"/>
        <w:rPr>
          <w:sz w:val="20"/>
          <w:szCs w:val="20"/>
          <w:color w:val="auto"/>
        </w:rPr>
      </w:pPr>
    </w:p>
    <w:p>
      <w:pPr>
        <w:jc w:val="both"/>
        <w:ind w:left="1340" w:right="20"/>
        <w:spacing w:after="0" w:line="216" w:lineRule="auto"/>
        <w:rPr>
          <w:sz w:val="20"/>
          <w:szCs w:val="20"/>
          <w:color w:val="auto"/>
        </w:rPr>
      </w:pPr>
      <w:r>
        <w:rPr>
          <w:rFonts w:ascii="Calibri" w:cs="Calibri" w:eastAsia="Calibri" w:hAnsi="Calibri"/>
          <w:sz w:val="19"/>
          <w:szCs w:val="19"/>
          <w:color w:val="auto"/>
        </w:rPr>
        <w:t>The ofer of Restricted Stock Units and the shares of Stock that may be issued under the Plan is personal, private, exclusive and non-transferable and is not subject to Venezuelan government securites regulatons.</w:t>
      </w:r>
    </w:p>
    <w:p>
      <w:pPr>
        <w:spacing w:after="0" w:line="53" w:lineRule="exact"/>
        <w:rPr>
          <w:sz w:val="20"/>
          <w:szCs w:val="20"/>
          <w:color w:val="auto"/>
        </w:rPr>
      </w:pPr>
    </w:p>
    <w:p>
      <w:pPr>
        <w:ind w:left="1340"/>
        <w:spacing w:after="0"/>
        <w:rPr>
          <w:sz w:val="20"/>
          <w:szCs w:val="20"/>
          <w:color w:val="auto"/>
        </w:rPr>
      </w:pPr>
      <w:r>
        <w:rPr>
          <w:rFonts w:ascii="Calibri" w:cs="Calibri" w:eastAsia="Calibri" w:hAnsi="Calibri"/>
          <w:sz w:val="19"/>
          <w:szCs w:val="19"/>
          <w:b w:val="1"/>
          <w:bCs w:val="1"/>
          <w:color w:val="auto"/>
        </w:rPr>
        <w:t>Foreign Exchange Informaton</w:t>
      </w:r>
    </w:p>
    <w:p>
      <w:pPr>
        <w:spacing w:after="0" w:line="71" w:lineRule="exact"/>
        <w:rPr>
          <w:sz w:val="20"/>
          <w:szCs w:val="20"/>
          <w:color w:val="auto"/>
        </w:rPr>
      </w:pPr>
    </w:p>
    <w:p>
      <w:pPr>
        <w:jc w:val="both"/>
        <w:ind w:left="1340"/>
        <w:spacing w:after="0" w:line="204" w:lineRule="auto"/>
        <w:rPr>
          <w:sz w:val="20"/>
          <w:szCs w:val="20"/>
          <w:color w:val="auto"/>
        </w:rPr>
      </w:pPr>
      <w:r>
        <w:rPr>
          <w:rFonts w:ascii="Calibri" w:cs="Calibri" w:eastAsia="Calibri" w:hAnsi="Calibri"/>
          <w:sz w:val="19"/>
          <w:szCs w:val="19"/>
          <w:color w:val="auto"/>
        </w:rPr>
        <w:t>Venezuelan exchange control rules may apply in connecton with Employee’s partcipaton in the Plan and the transfer of cash proceeds into Venezuela. Following the sale of shares of Stock acquired under the Plan, Employee may be subject to certain restrictons and compliance dutes if Employee atempts to transfer such cash proceeds into Venezuela. Employee is personally responsible for complying with applicable exchange control requirements in Venezuela.</w:t>
      </w:r>
    </w:p>
    <w:p>
      <w:pPr>
        <w:spacing w:after="0" w:line="52" w:lineRule="exact"/>
        <w:rPr>
          <w:sz w:val="20"/>
          <w:szCs w:val="20"/>
          <w:color w:val="auto"/>
        </w:rPr>
      </w:pPr>
    </w:p>
    <w:p>
      <w:pPr>
        <w:ind w:left="1340"/>
        <w:spacing w:after="0"/>
        <w:rPr>
          <w:sz w:val="20"/>
          <w:szCs w:val="20"/>
          <w:color w:val="auto"/>
        </w:rPr>
      </w:pPr>
      <w:r>
        <w:rPr>
          <w:rFonts w:ascii="Calibri" w:cs="Calibri" w:eastAsia="Calibri" w:hAnsi="Calibri"/>
          <w:sz w:val="19"/>
          <w:szCs w:val="19"/>
          <w:b w:val="1"/>
          <w:bCs w:val="1"/>
          <w:color w:val="auto"/>
        </w:rPr>
        <w:t>Labor Law Acknowledgment</w:t>
      </w:r>
    </w:p>
    <w:p>
      <w:pPr>
        <w:spacing w:after="0" w:line="71" w:lineRule="exact"/>
        <w:rPr>
          <w:sz w:val="20"/>
          <w:szCs w:val="20"/>
          <w:color w:val="auto"/>
        </w:rPr>
      </w:pPr>
    </w:p>
    <w:p>
      <w:pPr>
        <w:jc w:val="both"/>
        <w:ind w:left="1340"/>
        <w:spacing w:after="0" w:line="204" w:lineRule="auto"/>
        <w:rPr>
          <w:sz w:val="20"/>
          <w:szCs w:val="20"/>
          <w:color w:val="auto"/>
        </w:rPr>
      </w:pPr>
      <w:r>
        <w:rPr>
          <w:rFonts w:ascii="Calibri" w:cs="Calibri" w:eastAsia="Calibri" w:hAnsi="Calibri"/>
          <w:sz w:val="19"/>
          <w:szCs w:val="19"/>
          <w:color w:val="auto"/>
        </w:rPr>
        <w:t>Employee acknowledges and agrees that the Plan, as well as any benefts or advantages Employee might eventually receive as a result of the receipt and sale of any shares of Stock, consttute commercial items governed by the commercial laws of the United States and will be the result of market forces driving the price of the shares of Stock which are not dependent upon Employee’s performance as an employee and, as result, will not consttute part of Employee’s salary for any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20320</wp:posOffset>
            </wp:positionV>
            <wp:extent cx="65817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6">
                      <a:extLst>
                        <a:ext uri="{28A0092B-C50C-407E-A947-70E740481C1C}"/>
                      </a:extLst>
                    </a:blip>
                    <a:srcRect/>
                    <a:stretch>
                      <a:fillRect/>
                    </a:stretch>
                  </pic:blipFill>
                  <pic:spPr bwMode="auto">
                    <a:xfrm>
                      <a:off x="0" y="0"/>
                      <a:ext cx="6581775" cy="8255"/>
                    </a:xfrm>
                    <a:prstGeom prst="rect">
                      <a:avLst/>
                    </a:prstGeom>
                    <a:noFill/>
                  </pic:spPr>
                </pic:pic>
              </a:graphicData>
            </a:graphic>
          </wp:anchor>
        </w:drawing>
      </w:r>
    </w:p>
    <w:p>
      <w:pPr>
        <w:sectPr>
          <w:pgSz w:w="11900" w:h="16838" w:orient="portrait"/>
          <w:cols w:equalWidth="0" w:num="1">
            <w:col w:w="10220"/>
          </w:cols>
          <w:pgMar w:left="400" w:top="933" w:right="1279" w:bottom="1440" w:gutter="0" w:footer="0" w:header="0"/>
          <w:type w:val="continuous"/>
        </w:sectPr>
      </w:pPr>
    </w:p>
    <w:bookmarkStart w:id="120" w:name="page121"/>
    <w:bookmarkEnd w:id="120"/>
    <w:p>
      <w:pPr>
        <w:spacing w:after="0" w:line="216" w:lineRule="auto"/>
        <w:rPr>
          <w:sz w:val="20"/>
          <w:szCs w:val="20"/>
          <w:color w:val="auto"/>
        </w:rPr>
      </w:pPr>
      <w:r>
        <w:rPr>
          <w:rFonts w:ascii="Calibri" w:cs="Calibri" w:eastAsia="Calibri" w:hAnsi="Calibri"/>
          <w:sz w:val="19"/>
          <w:szCs w:val="19"/>
          <w:b w:val="1"/>
          <w:bCs w:val="1"/>
          <w:color w:val="auto"/>
        </w:rPr>
        <w:t>IN WITNESS WHEREOF</w:t>
      </w:r>
      <w:r>
        <w:rPr>
          <w:rFonts w:ascii="Calibri" w:cs="Calibri" w:eastAsia="Calibri" w:hAnsi="Calibri"/>
          <w:sz w:val="19"/>
          <w:szCs w:val="19"/>
          <w:color w:val="auto"/>
        </w:rPr>
        <w:t>, the Company has caused this Agreement to be duly executed by an ofcer thereunto duly authorized as of the date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frst above writen.</w:t>
      </w:r>
    </w:p>
    <w:p>
      <w:pPr>
        <w:ind w:left="1220"/>
        <w:spacing w:after="0" w:line="201" w:lineRule="auto"/>
        <w:rPr>
          <w:sz w:val="20"/>
          <w:szCs w:val="20"/>
          <w:color w:val="auto"/>
        </w:rPr>
      </w:pPr>
      <w:r>
        <w:rPr>
          <w:rFonts w:ascii="Calibri" w:cs="Calibri" w:eastAsia="Calibri" w:hAnsi="Calibri"/>
          <w:sz w:val="19"/>
          <w:szCs w:val="19"/>
          <w:b w:val="1"/>
          <w:bCs w:val="1"/>
          <w:color w:val="auto"/>
        </w:rPr>
        <w:t>HALLIBURTON COMPANY</w:t>
      </w:r>
    </w:p>
    <w:p>
      <w:pPr>
        <w:spacing w:after="0" w:line="375" w:lineRule="exact"/>
        <w:rPr>
          <w:sz w:val="20"/>
          <w:szCs w:val="20"/>
          <w:color w:val="auto"/>
        </w:rPr>
      </w:pPr>
    </w:p>
    <w:p>
      <w:pPr>
        <w:ind w:left="1220"/>
        <w:spacing w:after="0"/>
        <w:rPr>
          <w:sz w:val="20"/>
          <w:szCs w:val="20"/>
          <w:color w:val="auto"/>
        </w:rPr>
      </w:pPr>
      <w:r>
        <w:rPr>
          <w:rFonts w:ascii="Calibri" w:cs="Calibri" w:eastAsia="Calibri" w:hAnsi="Calibri"/>
          <w:sz w:val="19"/>
          <w:szCs w:val="19"/>
          <w:color w:val="auto"/>
        </w:rPr>
        <w:t>By</w:t>
      </w:r>
    </w:p>
    <w:p>
      <w:pPr>
        <w:spacing w:after="0" w:line="142" w:lineRule="exact"/>
        <w:rPr>
          <w:sz w:val="20"/>
          <w:szCs w:val="20"/>
          <w:color w:val="auto"/>
        </w:rPr>
      </w:pPr>
    </w:p>
    <w:p>
      <w:pPr>
        <w:ind w:left="1220"/>
        <w:spacing w:after="0"/>
        <w:rPr>
          <w:sz w:val="20"/>
          <w:szCs w:val="20"/>
          <w:color w:val="auto"/>
        </w:rPr>
      </w:pPr>
      <w:r>
        <w:rPr>
          <w:rFonts w:ascii="Calibri" w:cs="Calibri" w:eastAsia="Calibri" w:hAnsi="Calibri"/>
          <w:sz w:val="19"/>
          <w:szCs w:val="19"/>
          <w:color w:val="auto"/>
        </w:rPr>
        <w:t>Jefrey A. Miller</w:t>
      </w:r>
    </w:p>
    <w:p>
      <w:pPr>
        <w:ind w:left="1220"/>
        <w:spacing w:after="0" w:line="200" w:lineRule="auto"/>
        <w:rPr>
          <w:sz w:val="20"/>
          <w:szCs w:val="20"/>
          <w:color w:val="auto"/>
        </w:rPr>
      </w:pPr>
      <w:r>
        <w:rPr>
          <w:rFonts w:ascii="Calibri" w:cs="Calibri" w:eastAsia="Calibri" w:hAnsi="Calibri"/>
          <w:sz w:val="19"/>
          <w:szCs w:val="19"/>
          <w:color w:val="auto"/>
        </w:rPr>
        <w:t>Chairman, President and Chief Executve Ofcer</w:t>
      </w:r>
    </w:p>
    <w:p>
      <w:pPr>
        <w:spacing w:after="0" w:line="19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 xml:space="preserve">I HEREBY AGREE TO THE TERMS AND CONDITIONS SET FORTH IN THIS RESTRICTED STOCK UNIT AGREEMENT DATED </w:t>
      </w:r>
      <w:r>
        <w:rPr>
          <w:rFonts w:ascii="Calibri" w:cs="Calibri" w:eastAsia="Calibri" w:hAnsi="Calibri"/>
          <w:sz w:val="19"/>
          <w:szCs w:val="19"/>
          <w:b w:val="1"/>
          <w:bCs w:val="1"/>
          <w:color w:val="auto"/>
          <w:highlight w:val="yellow"/>
        </w:rPr>
        <w:t>&lt;&lt;Grant Date&gt;&gt;.</w:t>
      </w:r>
    </w:p>
    <w:p>
      <w:pPr>
        <w:spacing w:after="0" w:line="181" w:lineRule="exact"/>
        <w:rPr>
          <w:sz w:val="20"/>
          <w:szCs w:val="20"/>
          <w:color w:val="auto"/>
        </w:rPr>
      </w:pPr>
    </w:p>
    <w:p>
      <w:pPr>
        <w:spacing w:after="0"/>
        <w:rPr>
          <w:sz w:val="20"/>
          <w:szCs w:val="20"/>
          <w:color w:val="auto"/>
        </w:rPr>
      </w:pPr>
      <w:r>
        <w:rPr>
          <w:rFonts w:ascii="Calibri" w:cs="Calibri" w:eastAsia="Calibri" w:hAnsi="Calibri"/>
          <w:sz w:val="19"/>
          <w:szCs w:val="19"/>
          <w:color w:val="auto"/>
          <w:highlight w:val="yellow"/>
        </w:rPr>
        <w:t>&lt;&lt;Electronic Signature&gt;&gt;</w:t>
      </w:r>
    </w:p>
    <w:p>
      <w:pPr>
        <w:spacing w:after="0" w:line="155" w:lineRule="exact"/>
        <w:rPr>
          <w:sz w:val="20"/>
          <w:szCs w:val="20"/>
          <w:color w:val="auto"/>
        </w:rPr>
      </w:pPr>
    </w:p>
    <w:p>
      <w:pPr>
        <w:spacing w:after="0"/>
        <w:rPr>
          <w:sz w:val="20"/>
          <w:szCs w:val="20"/>
          <w:color w:val="auto"/>
        </w:rPr>
      </w:pPr>
      <w:r>
        <w:rPr>
          <w:rFonts w:ascii="Calibri" w:cs="Calibri" w:eastAsia="Calibri" w:hAnsi="Calibri"/>
          <w:sz w:val="19"/>
          <w:szCs w:val="19"/>
          <w:color w:val="auto"/>
          <w:highlight w:val="yellow"/>
        </w:rPr>
        <w:t>&lt;&lt;Acceptance Date&gt;&gt;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alibri" w:cs="Calibri" w:eastAsia="Calibri" w:hAnsi="Calibri"/>
          <w:sz w:val="15"/>
          <w:szCs w:val="15"/>
          <w:color w:val="auto"/>
        </w:rPr>
        <w:t>RSUINT522</w:t>
      </w:r>
    </w:p>
    <w:p>
      <w:pPr>
        <w:sectPr>
          <w:pgSz w:w="11900" w:h="16838" w:orient="portrait"/>
          <w:cols w:equalWidth="0" w:num="1">
            <w:col w:w="11240"/>
          </w:cols>
          <w:pgMar w:left="320" w:top="875" w:right="339" w:bottom="1440" w:gutter="0" w:footer="0" w:header="0"/>
        </w:sectPr>
      </w:pPr>
    </w:p>
    <w:bookmarkStart w:id="121" w:name="page122"/>
    <w:bookmarkEnd w:id="121"/>
    <w:p>
      <w:pPr>
        <w:spacing w:after="0"/>
        <w:rPr>
          <w:sz w:val="20"/>
          <w:szCs w:val="20"/>
          <w:color w:val="auto"/>
        </w:rPr>
      </w:pPr>
      <w:r>
        <w:rPr>
          <w:rFonts w:ascii="Calibri" w:cs="Calibri" w:eastAsia="Calibri" w:hAnsi="Calibri"/>
          <w:sz w:val="27"/>
          <w:szCs w:val="27"/>
          <w:color w:val="auto"/>
        </w:rPr>
        <w:t>RESTRICTED STOCK UNIT AGREEMENT (U.S. Expat)</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140" w:type="dxa"/>
            <w:vAlign w:val="bottom"/>
          </w:tcPr>
          <w:p>
            <w:pPr>
              <w:spacing w:after="0"/>
              <w:rPr>
                <w:sz w:val="20"/>
                <w:szCs w:val="20"/>
                <w:color w:val="auto"/>
              </w:rPr>
            </w:pPr>
            <w:r>
              <w:rPr>
                <w:rFonts w:ascii="Calibri" w:cs="Calibri" w:eastAsia="Calibri" w:hAnsi="Calibri"/>
                <w:sz w:val="19"/>
                <w:szCs w:val="19"/>
                <w:color w:val="auto"/>
              </w:rPr>
              <w:t>Grant Date:</w:t>
            </w:r>
          </w:p>
        </w:tc>
        <w:tc>
          <w:tcPr>
            <w:tcW w:w="1260" w:type="dxa"/>
            <w:vAlign w:val="bottom"/>
            <w:gridSpan w:val="2"/>
            <w:shd w:val="clear" w:color="auto" w:fill="FFFF00"/>
          </w:tcPr>
          <w:p>
            <w:pPr>
              <w:spacing w:after="0"/>
              <w:rPr>
                <w:sz w:val="20"/>
                <w:szCs w:val="20"/>
                <w:color w:val="auto"/>
              </w:rPr>
            </w:pPr>
            <w:r>
              <w:rPr>
                <w:rFonts w:ascii="Calibri" w:cs="Calibri" w:eastAsia="Calibri" w:hAnsi="Calibri"/>
                <w:sz w:val="19"/>
                <w:szCs w:val="19"/>
                <w:b w:val="1"/>
                <w:bCs w:val="1"/>
                <w:color w:val="auto"/>
                <w:highlight w:val="yellow"/>
                <w:w w:val="99"/>
              </w:rPr>
              <w:t>&lt;&lt;Grant Date&gt;&gt;</w:t>
            </w: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140" w:type="dxa"/>
            <w:vAlign w:val="bottom"/>
            <w:vMerge w:val="restart"/>
          </w:tcPr>
          <w:p>
            <w:pPr>
              <w:spacing w:after="0"/>
              <w:rPr>
                <w:sz w:val="20"/>
                <w:szCs w:val="20"/>
                <w:color w:val="auto"/>
              </w:rPr>
            </w:pPr>
            <w:r>
              <w:rPr>
                <w:rFonts w:ascii="Calibri" w:cs="Calibri" w:eastAsia="Calibri" w:hAnsi="Calibri"/>
                <w:sz w:val="19"/>
                <w:szCs w:val="19"/>
                <w:color w:val="auto"/>
              </w:rPr>
              <w:t>Grantee (“Employee”):</w:t>
            </w:r>
          </w:p>
        </w:tc>
        <w:tc>
          <w:tcPr>
            <w:tcW w:w="700" w:type="dxa"/>
            <w:vAlign w:val="bottom"/>
            <w:vMerge w:val="restart"/>
          </w:tcPr>
          <w:p>
            <w:pPr>
              <w:spacing w:after="0"/>
              <w:rPr>
                <w:sz w:val="20"/>
                <w:szCs w:val="20"/>
                <w:color w:val="auto"/>
              </w:rPr>
            </w:pPr>
          </w:p>
        </w:tc>
        <w:tc>
          <w:tcPr>
            <w:tcW w:w="1740" w:type="dxa"/>
            <w:vAlign w:val="bottom"/>
            <w:gridSpan w:val="3"/>
          </w:tcPr>
          <w:p>
            <w:pPr>
              <w:spacing w:after="0"/>
              <w:rPr>
                <w:sz w:val="20"/>
                <w:szCs w:val="20"/>
                <w:color w:val="auto"/>
              </w:rPr>
            </w:pPr>
          </w:p>
        </w:tc>
        <w:tc>
          <w:tcPr>
            <w:tcW w:w="19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1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740" w:type="dxa"/>
            <w:vAlign w:val="bottom"/>
            <w:gridSpan w:val="3"/>
            <w:shd w:val="clear" w:color="auto" w:fill="FFFF00"/>
          </w:tcPr>
          <w:p>
            <w:pPr>
              <w:spacing w:after="0" w:line="194" w:lineRule="exact"/>
              <w:rPr>
                <w:sz w:val="20"/>
                <w:szCs w:val="20"/>
                <w:color w:val="auto"/>
              </w:rPr>
            </w:pPr>
            <w:r>
              <w:rPr>
                <w:rFonts w:ascii="Calibri" w:cs="Calibri" w:eastAsia="Calibri" w:hAnsi="Calibri"/>
                <w:sz w:val="19"/>
                <w:szCs w:val="19"/>
                <w:color w:val="auto"/>
                <w:highlight w:val="yellow"/>
              </w:rPr>
              <w:t>&lt;&lt;Partcipant Name&gt;&gt;</w:t>
            </w:r>
          </w:p>
        </w:tc>
        <w:tc>
          <w:tcPr>
            <w:tcW w:w="19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100" w:type="dxa"/>
            <w:vAlign w:val="bottom"/>
            <w:gridSpan w:val="4"/>
            <w:vMerge w:val="restart"/>
          </w:tcPr>
          <w:p>
            <w:pPr>
              <w:spacing w:after="0"/>
              <w:rPr>
                <w:sz w:val="20"/>
                <w:szCs w:val="20"/>
                <w:color w:val="auto"/>
              </w:rPr>
            </w:pPr>
            <w:r>
              <w:rPr>
                <w:rFonts w:ascii="Calibri" w:cs="Calibri" w:eastAsia="Calibri" w:hAnsi="Calibri"/>
                <w:sz w:val="19"/>
                <w:szCs w:val="19"/>
                <w:color w:val="auto"/>
              </w:rPr>
              <w:t>Aggregate Number of Units Subject to Award:</w:t>
            </w:r>
          </w:p>
        </w:tc>
        <w:tc>
          <w:tcPr>
            <w:tcW w:w="2420" w:type="dxa"/>
            <w:vAlign w:val="bottom"/>
            <w:gridSpan w:val="2"/>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100" w:type="dxa"/>
            <w:vAlign w:val="bottom"/>
            <w:gridSpan w:val="4"/>
            <w:vMerge w:val="continue"/>
          </w:tcPr>
          <w:p>
            <w:pPr>
              <w:spacing w:after="0"/>
              <w:rPr>
                <w:sz w:val="16"/>
                <w:szCs w:val="16"/>
                <w:color w:val="auto"/>
              </w:rPr>
            </w:pPr>
          </w:p>
        </w:tc>
        <w:tc>
          <w:tcPr>
            <w:tcW w:w="2420" w:type="dxa"/>
            <w:vAlign w:val="bottom"/>
            <w:gridSpan w:val="2"/>
            <w:shd w:val="clear" w:color="auto" w:fill="FFFF00"/>
          </w:tcPr>
          <w:p>
            <w:pPr>
              <w:spacing w:after="0" w:line="194" w:lineRule="exact"/>
              <w:rPr>
                <w:sz w:val="20"/>
                <w:szCs w:val="20"/>
                <w:color w:val="auto"/>
              </w:rPr>
            </w:pPr>
            <w:r>
              <w:rPr>
                <w:rFonts w:ascii="Calibri" w:cs="Calibri" w:eastAsia="Calibri" w:hAnsi="Calibri"/>
                <w:sz w:val="19"/>
                <w:szCs w:val="19"/>
                <w:color w:val="auto"/>
                <w:highlight w:val="yellow"/>
              </w:rPr>
              <w:t>&lt;&lt;Number_Restricted_Units&gt;&gt;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16" w:lineRule="auto"/>
        <w:rPr>
          <w:sz w:val="20"/>
          <w:szCs w:val="20"/>
          <w:color w:val="auto"/>
        </w:rPr>
      </w:pPr>
      <w:r>
        <w:rPr>
          <w:rFonts w:ascii="Calibri" w:cs="Calibri" w:eastAsia="Calibri" w:hAnsi="Calibri"/>
          <w:sz w:val="19"/>
          <w:szCs w:val="19"/>
          <w:color w:val="auto"/>
        </w:rPr>
        <w:t xml:space="preserve">This </w:t>
      </w:r>
      <w:r>
        <w:rPr>
          <w:rFonts w:ascii="Calibri" w:cs="Calibri" w:eastAsia="Calibri" w:hAnsi="Calibri"/>
          <w:sz w:val="19"/>
          <w:szCs w:val="19"/>
          <w:b w:val="1"/>
          <w:bCs w:val="1"/>
          <w:color w:val="auto"/>
        </w:rPr>
        <w:t>RESTRICTED STOCK UNIT AGREEMENT</w:t>
      </w:r>
      <w:r>
        <w:rPr>
          <w:rFonts w:ascii="Calibri" w:cs="Calibri" w:eastAsia="Calibri" w:hAnsi="Calibri"/>
          <w:sz w:val="19"/>
          <w:szCs w:val="19"/>
          <w:color w:val="auto"/>
        </w:rPr>
        <w:t xml:space="preserve"> (“Agreement”) is made as of </w:t>
      </w:r>
      <w:r>
        <w:rPr>
          <w:rFonts w:ascii="Calibri" w:cs="Calibri" w:eastAsia="Calibri" w:hAnsi="Calibri"/>
          <w:sz w:val="19"/>
          <w:szCs w:val="19"/>
          <w:b w:val="1"/>
          <w:bCs w:val="1"/>
          <w:color w:val="auto"/>
          <w:highlight w:val="yellow"/>
        </w:rPr>
        <w:t>&lt;&lt;Grant Date&gt;&gt;</w:t>
      </w:r>
      <w:r>
        <w:rPr>
          <w:rFonts w:ascii="Calibri" w:cs="Calibri" w:eastAsia="Calibri" w:hAnsi="Calibri"/>
          <w:sz w:val="19"/>
          <w:szCs w:val="19"/>
          <w:color w:val="auto"/>
        </w:rPr>
        <w:t xml:space="preserve">, between </w:t>
      </w:r>
      <w:r>
        <w:rPr>
          <w:rFonts w:ascii="Calibri" w:cs="Calibri" w:eastAsia="Calibri" w:hAnsi="Calibri"/>
          <w:sz w:val="19"/>
          <w:szCs w:val="19"/>
          <w:b w:val="1"/>
          <w:bCs w:val="1"/>
          <w:color w:val="auto"/>
        </w:rPr>
        <w:t>HALLIBURTON COMPANY</w:t>
      </w:r>
      <w:r>
        <w:rPr>
          <w:rFonts w:ascii="Calibri" w:cs="Calibri" w:eastAsia="Calibri" w:hAnsi="Calibri"/>
          <w:sz w:val="19"/>
          <w:szCs w:val="19"/>
          <w:color w:val="auto"/>
        </w:rPr>
        <w:t xml:space="preserve">, a Delaware corporaton (the “Company”), and </w:t>
      </w:r>
      <w:r>
        <w:rPr>
          <w:rFonts w:ascii="Calibri" w:cs="Calibri" w:eastAsia="Calibri" w:hAnsi="Calibri"/>
          <w:sz w:val="19"/>
          <w:szCs w:val="19"/>
          <w:b w:val="1"/>
          <w:bCs w:val="1"/>
          <w:color w:val="auto"/>
          <w:highlight w:val="yellow"/>
        </w:rPr>
        <w:t>&lt;&lt;Partcipant Name&gt;&gt;</w:t>
      </w:r>
      <w:r>
        <w:rPr>
          <w:rFonts w:ascii="Calibri" w:cs="Calibri" w:eastAsia="Calibri" w:hAnsi="Calibri"/>
          <w:sz w:val="19"/>
          <w:szCs w:val="19"/>
          <w:color w:val="auto"/>
        </w:rPr>
        <w:t xml:space="preserve"> (“Employee”).</w:t>
      </w:r>
    </w:p>
    <w:p>
      <w:pPr>
        <w:spacing w:after="0" w:line="201" w:lineRule="exact"/>
        <w:rPr>
          <w:sz w:val="20"/>
          <w:szCs w:val="20"/>
          <w:color w:val="auto"/>
        </w:rPr>
      </w:pPr>
    </w:p>
    <w:p>
      <w:pPr>
        <w:jc w:val="both"/>
        <w:ind w:left="620" w:hanging="307"/>
        <w:spacing w:after="0" w:line="205" w:lineRule="auto"/>
        <w:tabs>
          <w:tab w:leader="none" w:pos="612" w:val="left"/>
        </w:tabs>
        <w:numPr>
          <w:ilvl w:val="0"/>
          <w:numId w:val="69"/>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Award of Units</w:t>
      </w:r>
      <w:r>
        <w:rPr>
          <w:rFonts w:ascii="Calibri" w:cs="Calibri" w:eastAsia="Calibri" w:hAnsi="Calibri"/>
          <w:sz w:val="19"/>
          <w:szCs w:val="19"/>
          <w:color w:val="auto"/>
        </w:rPr>
        <w:t>. Pursuant to the Halliburton Company Stock and Incentve Plan, as amended (the “Plan”), Employee is hereby awarded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the aggregate number of units subject to award set forth above evidencing the right to receive an equivalent number of shares of Company common stock, par value USD 2.50 per share (“Stock”), subject to the terms and conditons of this Agreement and the Plan. The units granted pursuant to this Agreement that are referred to as the “Restricted Stock Units”.</w:t>
      </w:r>
    </w:p>
    <w:p>
      <w:pPr>
        <w:spacing w:after="0" w:line="187" w:lineRule="exact"/>
        <w:rPr>
          <w:rFonts w:ascii="Calibri" w:cs="Calibri" w:eastAsia="Calibri" w:hAnsi="Calibri"/>
          <w:sz w:val="19"/>
          <w:szCs w:val="19"/>
          <w:color w:val="auto"/>
        </w:rPr>
      </w:pPr>
    </w:p>
    <w:p>
      <w:pPr>
        <w:jc w:val="both"/>
        <w:ind w:left="620" w:hanging="307"/>
        <w:spacing w:after="0" w:line="205" w:lineRule="auto"/>
        <w:tabs>
          <w:tab w:leader="none" w:pos="612" w:val="left"/>
        </w:tabs>
        <w:numPr>
          <w:ilvl w:val="0"/>
          <w:numId w:val="69"/>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Plan Incorporated</w:t>
      </w:r>
      <w:r>
        <w:rPr>
          <w:rFonts w:ascii="Calibri" w:cs="Calibri" w:eastAsia="Calibri" w:hAnsi="Calibri"/>
          <w:sz w:val="19"/>
          <w:szCs w:val="19"/>
          <w:color w:val="auto"/>
        </w:rPr>
        <w:t>. Employee acknowledges receipt of a copy of the Plan and agrees that this award of Restricted Stock Units shall be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subject to all of the terms and conditons set forth in the Plan, including future amendments thereto. The Plan is incorporated herein by reference as a part of this Agreement. Except as otherwise defned herein, capitalized terms shall have the same meaning ascribed to them under the Plan.</w:t>
      </w:r>
    </w:p>
    <w:p>
      <w:pPr>
        <w:spacing w:after="0" w:line="194" w:lineRule="exact"/>
        <w:rPr>
          <w:rFonts w:ascii="Calibri" w:cs="Calibri" w:eastAsia="Calibri" w:hAnsi="Calibri"/>
          <w:sz w:val="19"/>
          <w:szCs w:val="19"/>
          <w:color w:val="auto"/>
        </w:rPr>
      </w:pPr>
    </w:p>
    <w:p>
      <w:pPr>
        <w:ind w:left="620" w:hanging="307"/>
        <w:spacing w:after="0"/>
        <w:tabs>
          <w:tab w:leader="none" w:pos="620" w:val="left"/>
        </w:tabs>
        <w:numPr>
          <w:ilvl w:val="0"/>
          <w:numId w:val="69"/>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Vestng of Restricted Stock Units; Forfeiture of Restricted Stock Units</w:t>
      </w:r>
      <w:r>
        <w:rPr>
          <w:rFonts w:ascii="Calibri" w:cs="Calibri" w:eastAsia="Calibri" w:hAnsi="Calibri"/>
          <w:sz w:val="19"/>
          <w:szCs w:val="19"/>
          <w:color w:val="auto"/>
        </w:rPr>
        <w:t>.</w:t>
      </w:r>
    </w:p>
    <w:p>
      <w:pPr>
        <w:spacing w:after="0" w:line="199" w:lineRule="exact"/>
        <w:rPr>
          <w:rFonts w:ascii="Calibri" w:cs="Calibri" w:eastAsia="Calibri" w:hAnsi="Calibri"/>
          <w:sz w:val="19"/>
          <w:szCs w:val="19"/>
          <w:color w:val="auto"/>
        </w:rPr>
      </w:pPr>
    </w:p>
    <w:p>
      <w:pPr>
        <w:jc w:val="both"/>
        <w:ind w:left="1240" w:hanging="309"/>
        <w:spacing w:after="0" w:line="201" w:lineRule="auto"/>
        <w:tabs>
          <w:tab w:leader="none" w:pos="1244" w:val="left"/>
        </w:tabs>
        <w:numPr>
          <w:ilvl w:val="1"/>
          <w:numId w:val="69"/>
        </w:numPr>
        <w:rPr>
          <w:rFonts w:ascii="Calibri" w:cs="Calibri" w:eastAsia="Calibri" w:hAnsi="Calibri"/>
          <w:sz w:val="19"/>
          <w:szCs w:val="19"/>
          <w:color w:val="auto"/>
        </w:rPr>
      </w:pPr>
      <w:r>
        <w:rPr>
          <w:rFonts w:ascii="Calibri" w:cs="Calibri" w:eastAsia="Calibri" w:hAnsi="Calibri"/>
          <w:sz w:val="19"/>
          <w:szCs w:val="19"/>
          <w:b w:val="1"/>
          <w:bCs w:val="1"/>
          <w:color w:val="auto"/>
        </w:rPr>
        <w:t>Vestng Schedule</w:t>
      </w:r>
      <w:r>
        <w:rPr>
          <w:rFonts w:ascii="Calibri" w:cs="Calibri" w:eastAsia="Calibri" w:hAnsi="Calibri"/>
          <w:sz w:val="19"/>
          <w:szCs w:val="19"/>
          <w:color w:val="auto"/>
        </w:rPr>
        <w:t>. The Restricted Stock Units shall vest in accordance with the vestng details for this grant displayed in the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Distributon Schedule in Employee’s account at www.NetBenefts.Fidelity.com, provided that Employee has been contnuously and actvely employed by the Company or any of its Subsidiaries and afliated companies from the date of this Agreement through the applicable vestng date.</w:t>
      </w:r>
    </w:p>
    <w:p>
      <w:pPr>
        <w:spacing w:after="0" w:line="202" w:lineRule="exact"/>
        <w:rPr>
          <w:rFonts w:ascii="Calibri" w:cs="Calibri" w:eastAsia="Calibri" w:hAnsi="Calibri"/>
          <w:sz w:val="19"/>
          <w:szCs w:val="19"/>
          <w:color w:val="auto"/>
        </w:rPr>
      </w:pPr>
    </w:p>
    <w:p>
      <w:pPr>
        <w:jc w:val="both"/>
        <w:ind w:left="1240" w:hanging="309"/>
        <w:spacing w:after="0" w:line="201" w:lineRule="auto"/>
        <w:tabs>
          <w:tab w:leader="none" w:pos="1240" w:val="left"/>
        </w:tabs>
        <w:numPr>
          <w:ilvl w:val="1"/>
          <w:numId w:val="69"/>
        </w:numPr>
        <w:rPr>
          <w:rFonts w:ascii="Calibri" w:cs="Calibri" w:eastAsia="Calibri" w:hAnsi="Calibri"/>
          <w:sz w:val="19"/>
          <w:szCs w:val="19"/>
          <w:color w:val="auto"/>
        </w:rPr>
      </w:pPr>
      <w:r>
        <w:rPr>
          <w:rFonts w:ascii="Calibri" w:cs="Calibri" w:eastAsia="Calibri" w:hAnsi="Calibri"/>
          <w:sz w:val="19"/>
          <w:szCs w:val="19"/>
          <w:b w:val="1"/>
          <w:bCs w:val="1"/>
          <w:color w:val="auto"/>
        </w:rPr>
        <w:t>Accelerated Vestng</w:t>
      </w:r>
      <w:r>
        <w:rPr>
          <w:rFonts w:ascii="Calibri" w:cs="Calibri" w:eastAsia="Calibri" w:hAnsi="Calibri"/>
          <w:sz w:val="19"/>
          <w:szCs w:val="19"/>
          <w:color w:val="auto"/>
        </w:rPr>
        <w:t>. The Restricted Stock Units shall become fully vested on the earlier of (i) the date of Employee’s Qualifying</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 xml:space="preserve">Terminaton (as such term is defned in the Plan), or (ii) the date Employee’s employment with the Company is terminated by reason of death or disability (as determined by the Company). In the event Employee’s employment is terminated for any other reason, including retrement (as determined by the Company), upon the recommendaton of </w:t>
      </w:r>
      <w:r>
        <w:rPr>
          <w:rFonts w:ascii="Calibri" w:cs="Calibri" w:eastAsia="Calibri" w:hAnsi="Calibri"/>
          <w:sz w:val="19"/>
          <w:szCs w:val="19"/>
          <w:color w:val="231F20"/>
        </w:rPr>
        <w:t>applicable management of the</w:t>
      </w:r>
      <w:r>
        <w:rPr>
          <w:rFonts w:ascii="Calibri" w:cs="Calibri" w:eastAsia="Calibri" w:hAnsi="Calibri"/>
          <w:sz w:val="19"/>
          <w:szCs w:val="19"/>
          <w:color w:val="auto"/>
        </w:rPr>
        <w:t xml:space="preserve"> </w:t>
      </w:r>
      <w:r>
        <w:rPr>
          <w:rFonts w:ascii="Calibri" w:cs="Calibri" w:eastAsia="Calibri" w:hAnsi="Calibri"/>
          <w:sz w:val="19"/>
          <w:szCs w:val="19"/>
          <w:color w:val="231F20"/>
        </w:rPr>
        <w:t xml:space="preserve">Company and/or business unit, </w:t>
      </w:r>
      <w:r>
        <w:rPr>
          <w:rFonts w:ascii="Calibri" w:cs="Calibri" w:eastAsia="Calibri" w:hAnsi="Calibri"/>
          <w:sz w:val="19"/>
          <w:szCs w:val="19"/>
          <w:color w:val="000000"/>
        </w:rPr>
        <w:t>the Commitee which administers the Plan (the “Commitee”) or its delegate, as appropriate,</w:t>
      </w:r>
      <w:r>
        <w:rPr>
          <w:rFonts w:ascii="Calibri" w:cs="Calibri" w:eastAsia="Calibri" w:hAnsi="Calibri"/>
          <w:sz w:val="19"/>
          <w:szCs w:val="19"/>
          <w:color w:val="231F20"/>
        </w:rPr>
        <w:t xml:space="preserve"> </w:t>
      </w:r>
      <w:r>
        <w:rPr>
          <w:rFonts w:ascii="Calibri" w:cs="Calibri" w:eastAsia="Calibri" w:hAnsi="Calibri"/>
          <w:sz w:val="19"/>
          <w:szCs w:val="19"/>
          <w:color w:val="000000"/>
        </w:rPr>
        <w:t>may, in the Commitee’s or such delegate’s sole discreton, approve the acceleraton of the vestng of any or all Restricted Stock Units, such vestng to be efectve on the date of such approval or Employee’s Terminaton Date (as defned below), if later.</w:t>
      </w:r>
    </w:p>
    <w:p>
      <w:pPr>
        <w:spacing w:after="0" w:line="200" w:lineRule="exact"/>
        <w:rPr>
          <w:rFonts w:ascii="Calibri" w:cs="Calibri" w:eastAsia="Calibri" w:hAnsi="Calibri"/>
          <w:sz w:val="19"/>
          <w:szCs w:val="19"/>
          <w:color w:val="auto"/>
        </w:rPr>
      </w:pPr>
    </w:p>
    <w:p>
      <w:pPr>
        <w:jc w:val="both"/>
        <w:ind w:left="1240" w:hanging="309"/>
        <w:spacing w:after="0" w:line="227" w:lineRule="auto"/>
        <w:tabs>
          <w:tab w:leader="none" w:pos="1233" w:val="left"/>
        </w:tabs>
        <w:numPr>
          <w:ilvl w:val="1"/>
          <w:numId w:val="69"/>
        </w:numPr>
        <w:rPr>
          <w:rFonts w:ascii="Calibri" w:cs="Calibri" w:eastAsia="Calibri" w:hAnsi="Calibri"/>
          <w:sz w:val="19"/>
          <w:szCs w:val="19"/>
          <w:color w:val="auto"/>
        </w:rPr>
      </w:pPr>
      <w:r>
        <w:rPr>
          <w:rFonts w:ascii="Calibri" w:cs="Calibri" w:eastAsia="Calibri" w:hAnsi="Calibri"/>
          <w:sz w:val="19"/>
          <w:szCs w:val="19"/>
          <w:b w:val="1"/>
          <w:bCs w:val="1"/>
          <w:color w:val="auto"/>
        </w:rPr>
        <w:t>Forfeiture of Restricted Stock Units</w:t>
      </w:r>
      <w:r>
        <w:rPr>
          <w:rFonts w:ascii="Calibri" w:cs="Calibri" w:eastAsia="Calibri" w:hAnsi="Calibri"/>
          <w:sz w:val="19"/>
          <w:szCs w:val="19"/>
          <w:color w:val="auto"/>
        </w:rPr>
        <w:t>. In the event of a terminaton of Employee’s employment with the Company or any</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Subsidiary or afliated companies for any reason except as otherwise provided in this Paragraph 3, Employee shall, for no consideraton, forfeit all Restricted Stock Units to the extent they are not fully vested as of the Terminaton Date. For the avoidance of doubt, “Terminaton Date” for purposes of this award will be deemed to occur as of the date Employee is no longer actvely providing services as an employee, unless otherwise determined by the Company in its sole discreton, and no vestng shall contnue during any notce period that may be specifed under contract or applicable law with respect to such terminaton, including any “garden leave” or similar period, except as may otherwise be permited in the Company’s sole discreton.</w:t>
      </w:r>
    </w:p>
    <w:p>
      <w:pPr>
        <w:spacing w:after="0" w:line="204" w:lineRule="exact"/>
        <w:rPr>
          <w:rFonts w:ascii="Calibri" w:cs="Calibri" w:eastAsia="Calibri" w:hAnsi="Calibri"/>
          <w:sz w:val="19"/>
          <w:szCs w:val="19"/>
          <w:color w:val="auto"/>
        </w:rPr>
      </w:pPr>
    </w:p>
    <w:p>
      <w:pPr>
        <w:jc w:val="both"/>
        <w:ind w:left="620" w:hanging="307"/>
        <w:spacing w:after="0" w:line="206" w:lineRule="auto"/>
        <w:tabs>
          <w:tab w:leader="none" w:pos="612" w:val="left"/>
        </w:tabs>
        <w:numPr>
          <w:ilvl w:val="0"/>
          <w:numId w:val="69"/>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Setlement of Restricted Stock Units</w:t>
      </w:r>
      <w:r>
        <w:rPr>
          <w:rFonts w:ascii="Calibri" w:cs="Calibri" w:eastAsia="Calibri" w:hAnsi="Calibri"/>
          <w:sz w:val="19"/>
          <w:szCs w:val="19"/>
          <w:color w:val="auto"/>
        </w:rPr>
        <w:t>. Upon vestng of the Restricted Stock Units, payment shall be made as soon as administratvely</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practcable but in no event later than 60 days afer the vestng date. The Company, in its sole discreton, may provide for setlement in the form of:</w:t>
      </w:r>
    </w:p>
    <w:p>
      <w:pPr>
        <w:spacing w:after="0" w:line="195" w:lineRule="exact"/>
        <w:rPr>
          <w:rFonts w:ascii="Calibri" w:cs="Calibri" w:eastAsia="Calibri" w:hAnsi="Calibri"/>
          <w:sz w:val="19"/>
          <w:szCs w:val="19"/>
          <w:color w:val="auto"/>
        </w:rPr>
      </w:pPr>
    </w:p>
    <w:p>
      <w:pPr>
        <w:ind w:left="1240" w:hanging="309"/>
        <w:spacing w:after="0"/>
        <w:tabs>
          <w:tab w:leader="none" w:pos="1240" w:val="left"/>
        </w:tabs>
        <w:numPr>
          <w:ilvl w:val="1"/>
          <w:numId w:val="69"/>
        </w:numPr>
        <w:rPr>
          <w:rFonts w:ascii="Calibri" w:cs="Calibri" w:eastAsia="Calibri" w:hAnsi="Calibri"/>
          <w:sz w:val="19"/>
          <w:szCs w:val="19"/>
          <w:color w:val="auto"/>
        </w:rPr>
      </w:pPr>
      <w:r>
        <w:rPr>
          <w:rFonts w:ascii="Calibri" w:cs="Calibri" w:eastAsia="Calibri" w:hAnsi="Calibri"/>
          <w:sz w:val="19"/>
          <w:szCs w:val="19"/>
          <w:color w:val="auto"/>
        </w:rPr>
        <w:t>shares of Stock; or</w:t>
      </w:r>
    </w:p>
    <w:p>
      <w:pPr>
        <w:spacing w:after="0" w:line="199" w:lineRule="exact"/>
        <w:rPr>
          <w:rFonts w:ascii="Calibri" w:cs="Calibri" w:eastAsia="Calibri" w:hAnsi="Calibri"/>
          <w:sz w:val="19"/>
          <w:szCs w:val="19"/>
          <w:color w:val="auto"/>
        </w:rPr>
      </w:pPr>
    </w:p>
    <w:p>
      <w:pPr>
        <w:jc w:val="both"/>
        <w:ind w:left="1240" w:hanging="309"/>
        <w:spacing w:after="0" w:line="205" w:lineRule="auto"/>
        <w:tabs>
          <w:tab w:leader="none" w:pos="1240" w:val="left"/>
        </w:tabs>
        <w:numPr>
          <w:ilvl w:val="1"/>
          <w:numId w:val="69"/>
        </w:numPr>
        <w:rPr>
          <w:rFonts w:ascii="Calibri" w:cs="Calibri" w:eastAsia="Calibri" w:hAnsi="Calibri"/>
          <w:sz w:val="19"/>
          <w:szCs w:val="19"/>
          <w:color w:val="auto"/>
        </w:rPr>
      </w:pPr>
      <w:r>
        <w:rPr>
          <w:rFonts w:ascii="Calibri" w:cs="Calibri" w:eastAsia="Calibri" w:hAnsi="Calibri"/>
          <w:sz w:val="19"/>
          <w:szCs w:val="19"/>
          <w:color w:val="auto"/>
        </w:rPr>
        <w:t>a cash payment in an amount equal to the Fair Market Value of the shares of Stock that correspond to the vested Restricted Stock Units, to the extent that setlement in shares of Stock (i) is prohibited under local law, (ii) would require Employee, the Company or any Subsidiary or afliated company to obtain the approval of any governmental or regulatory body in Employee’s country of employment (or</w:t>
      </w:r>
    </w:p>
    <w:p>
      <w:pPr>
        <w:sectPr>
          <w:pgSz w:w="11900" w:h="16838" w:orient="portrait"/>
          <w:cols w:equalWidth="0" w:num="1">
            <w:col w:w="11240"/>
          </w:cols>
          <w:pgMar w:left="320" w:top="703" w:right="339" w:bottom="1440" w:gutter="0" w:footer="0" w:header="0"/>
        </w:sectPr>
      </w:pPr>
    </w:p>
    <w:bookmarkStart w:id="122" w:name="page123"/>
    <w:bookmarkEnd w:id="122"/>
    <w:p>
      <w:pPr>
        <w:ind w:left="927"/>
        <w:spacing w:after="0" w:line="216" w:lineRule="auto"/>
        <w:rPr>
          <w:sz w:val="20"/>
          <w:szCs w:val="20"/>
          <w:color w:val="auto"/>
        </w:rPr>
      </w:pPr>
      <w:r>
        <w:rPr>
          <w:rFonts w:ascii="Calibri" w:cs="Calibri" w:eastAsia="Calibri" w:hAnsi="Calibri"/>
          <w:sz w:val="19"/>
          <w:szCs w:val="19"/>
          <w:color w:val="auto"/>
        </w:rPr>
        <w:t>residence, if diferent), (iii) would result in adverse tax consequences to Employee, the Company, or any Subsidiary or afliated company, or (iv) is administratvely burdensome.</w:t>
      </w:r>
    </w:p>
    <w:p>
      <w:pPr>
        <w:spacing w:after="0" w:line="188" w:lineRule="exact"/>
        <w:rPr>
          <w:sz w:val="20"/>
          <w:szCs w:val="20"/>
          <w:color w:val="auto"/>
        </w:rPr>
      </w:pPr>
    </w:p>
    <w:p>
      <w:pPr>
        <w:jc w:val="both"/>
        <w:ind w:left="307"/>
        <w:spacing w:after="0"/>
        <w:rPr>
          <w:sz w:val="20"/>
          <w:szCs w:val="20"/>
          <w:color w:val="auto"/>
        </w:rPr>
      </w:pPr>
      <w:r>
        <w:rPr>
          <w:rFonts w:ascii="Calibri" w:cs="Calibri" w:eastAsia="Calibri" w:hAnsi="Calibri"/>
          <w:sz w:val="19"/>
          <w:szCs w:val="19"/>
          <w:color w:val="auto"/>
        </w:rPr>
        <w:t>If the Company setles the Restricted Stock Units in shares of Stock, it may require Employee to sell such shares of Stock immediately or within a specifed period following Employee’s terminaton of employment (in which case Employee hereby agrees that the Company shall have the authority to issue sale instructons in relaton to such shares of Stock on Employee’s behalf pursuant to this authorizaton).</w:t>
      </w:r>
    </w:p>
    <w:p>
      <w:pPr>
        <w:spacing w:after="0" w:line="297" w:lineRule="exact"/>
        <w:rPr>
          <w:sz w:val="20"/>
          <w:szCs w:val="20"/>
          <w:color w:val="auto"/>
        </w:rPr>
      </w:pPr>
    </w:p>
    <w:p>
      <w:pPr>
        <w:jc w:val="both"/>
        <w:ind w:left="307" w:hanging="307"/>
        <w:spacing w:after="0" w:line="205" w:lineRule="auto"/>
        <w:tabs>
          <w:tab w:leader="none" w:pos="299" w:val="left"/>
        </w:tabs>
        <w:numPr>
          <w:ilvl w:val="0"/>
          <w:numId w:val="70"/>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Non-Disclosure, Non-Solicit and Non-Compete Covenants</w:t>
      </w:r>
      <w:r>
        <w:rPr>
          <w:rFonts w:ascii="Calibri" w:cs="Calibri" w:eastAsia="Calibri" w:hAnsi="Calibri"/>
          <w:sz w:val="19"/>
          <w:szCs w:val="19"/>
          <w:color w:val="auto"/>
        </w:rPr>
        <w:t>. To further align Employee’s interests with the Company’s long-term</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business interests, including the preservaton of the Company’s goodwill and the protecton of the Confdental Business Informaton (as defned below) that Employee has obtained and will, necessarily contnue to receive and rely on, Employee and the Company hereby agree to the following:</w:t>
      </w:r>
    </w:p>
    <w:p>
      <w:pPr>
        <w:spacing w:after="0" w:line="200" w:lineRule="exact"/>
        <w:rPr>
          <w:rFonts w:ascii="Calibri" w:cs="Calibri" w:eastAsia="Calibri" w:hAnsi="Calibri"/>
          <w:sz w:val="19"/>
          <w:szCs w:val="19"/>
          <w:color w:val="auto"/>
        </w:rPr>
      </w:pPr>
    </w:p>
    <w:p>
      <w:pPr>
        <w:jc w:val="both"/>
        <w:ind w:left="927" w:hanging="309"/>
        <w:spacing w:after="0" w:line="209" w:lineRule="auto"/>
        <w:tabs>
          <w:tab w:leader="none" w:pos="931" w:val="left"/>
        </w:tabs>
        <w:numPr>
          <w:ilvl w:val="1"/>
          <w:numId w:val="70"/>
        </w:numPr>
        <w:rPr>
          <w:rFonts w:ascii="Calibri" w:cs="Calibri" w:eastAsia="Calibri" w:hAnsi="Calibri"/>
          <w:sz w:val="19"/>
          <w:szCs w:val="19"/>
          <w:color w:val="auto"/>
        </w:rPr>
      </w:pPr>
      <w:r>
        <w:rPr>
          <w:rFonts w:ascii="Calibri" w:cs="Calibri" w:eastAsia="Calibri" w:hAnsi="Calibri"/>
          <w:sz w:val="19"/>
          <w:szCs w:val="19"/>
          <w:b w:val="1"/>
          <w:bCs w:val="1"/>
          <w:color w:val="auto"/>
        </w:rPr>
        <w:t>Non-Disclosure of Confdental Business Informaton</w:t>
      </w:r>
      <w:r>
        <w:rPr>
          <w:rFonts w:ascii="Calibri" w:cs="Calibri" w:eastAsia="Calibri" w:hAnsi="Calibri"/>
          <w:sz w:val="19"/>
          <w:szCs w:val="19"/>
          <w:color w:val="auto"/>
        </w:rPr>
        <w:t>. Employee agrees that (a) the Company’s Confdental Business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Informaton consttutes valuable, special, and unique assets that the Company uses in its business to obtain a compettve advantage over its compettors; and (b) the protecton of such Confdental Business Informaton against unauthorized disclosure and Employee’s use thereof is of critcal importance to the Company in maintaining its compettve positon. Employee also acknowledges and agrees that any unauthorized use or disclosure of such Confdental Business Informaton or other confdental informaton would cause irreparable harm to the Company. In consideraton of the foregoing, Employee thereby agrees that Employee will not at any tme during employment by the Company, and for so long thereafer as the pertnent informaton or documentaton remains confdental, use (either for the beneft of Employee or the beneft of others), publish, disclose, claim ownership of, communicate, divulge or send to others, access, or take, any Confdental Business Informaton or any confdental informaton of the Company or its afliates, including the vendors, consultants, joint ventures, or customers of the Company, except to the extent needed to carry out Employee’s obligatons to the Company or as otherwise authorized in writng by the Company. Employee acknowledges and agrees that any unauthorized use or disclosure of Confdental Business Informaton or other confdental informaton would cause irreparable harm to the Company. Notwithstanding the foregoing, this Agreement does not prevent Employee from: (i) making a good faith report of possible violatons of applicable law to the Securites and Exchange Commission or any other governmental agency or entty; or (ii) making disclosures that are protected under the whistleblower provisions of applicable law or receiving any award for informaton provided under such whistleblower provisions.</w:t>
      </w:r>
    </w:p>
    <w:p>
      <w:pPr>
        <w:spacing w:after="0" w:line="210" w:lineRule="exact"/>
        <w:rPr>
          <w:rFonts w:ascii="Calibri" w:cs="Calibri" w:eastAsia="Calibri" w:hAnsi="Calibri"/>
          <w:sz w:val="19"/>
          <w:szCs w:val="19"/>
          <w:color w:val="auto"/>
        </w:rPr>
      </w:pPr>
    </w:p>
    <w:p>
      <w:pPr>
        <w:jc w:val="both"/>
        <w:ind w:left="927" w:hanging="309"/>
        <w:spacing w:after="0" w:line="206" w:lineRule="auto"/>
        <w:tabs>
          <w:tab w:leader="none" w:pos="927" w:val="left"/>
        </w:tabs>
        <w:numPr>
          <w:ilvl w:val="1"/>
          <w:numId w:val="70"/>
        </w:numPr>
        <w:rPr>
          <w:rFonts w:ascii="Calibri" w:cs="Calibri" w:eastAsia="Calibri" w:hAnsi="Calibri"/>
          <w:sz w:val="19"/>
          <w:szCs w:val="19"/>
          <w:color w:val="auto"/>
        </w:rPr>
      </w:pPr>
      <w:r>
        <w:rPr>
          <w:rFonts w:ascii="Calibri" w:cs="Calibri" w:eastAsia="Calibri" w:hAnsi="Calibri"/>
          <w:sz w:val="19"/>
          <w:szCs w:val="19"/>
          <w:b w:val="1"/>
          <w:bCs w:val="1"/>
          <w:color w:val="auto"/>
        </w:rPr>
        <w:t>Non-Solicit and Non-Compete</w:t>
      </w:r>
      <w:r>
        <w:rPr>
          <w:rFonts w:ascii="Calibri" w:cs="Calibri" w:eastAsia="Calibri" w:hAnsi="Calibri"/>
          <w:sz w:val="19"/>
          <w:szCs w:val="19"/>
          <w:color w:val="auto"/>
        </w:rPr>
        <w:t>. During Employee’s employment with the Company and for one year immediately thereafer,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Employee will not, other than on behalf of the Company, directly or indirectly, as a proprietor, partner, employee, agent or otherwise:</w:t>
      </w:r>
    </w:p>
    <w:p>
      <w:pPr>
        <w:spacing w:after="0" w:line="202" w:lineRule="exact"/>
        <w:rPr>
          <w:rFonts w:ascii="Calibri" w:cs="Calibri" w:eastAsia="Calibri" w:hAnsi="Calibri"/>
          <w:sz w:val="19"/>
          <w:szCs w:val="19"/>
          <w:color w:val="auto"/>
        </w:rPr>
      </w:pPr>
    </w:p>
    <w:p>
      <w:pPr>
        <w:jc w:val="both"/>
        <w:ind w:left="1547" w:hanging="310"/>
        <w:spacing w:after="0" w:line="201" w:lineRule="auto"/>
        <w:tabs>
          <w:tab w:leader="none" w:pos="1541" w:val="left"/>
        </w:tabs>
        <w:numPr>
          <w:ilvl w:val="2"/>
          <w:numId w:val="70"/>
        </w:numPr>
        <w:rPr>
          <w:rFonts w:ascii="Calibri" w:cs="Calibri" w:eastAsia="Calibri" w:hAnsi="Calibri"/>
          <w:sz w:val="19"/>
          <w:szCs w:val="19"/>
          <w:color w:val="auto"/>
        </w:rPr>
      </w:pPr>
      <w:r>
        <w:rPr>
          <w:rFonts w:ascii="Calibri" w:cs="Calibri" w:eastAsia="Calibri" w:hAnsi="Calibri"/>
          <w:sz w:val="19"/>
          <w:szCs w:val="19"/>
          <w:color w:val="auto"/>
        </w:rPr>
        <w:t>Solicit, directly or indirectly, or cause or permit others to solicit, directly or indirectly, any person (i) formerly employed by the Company during the six (6) month period immediately preceding or following the terminaton of Employee’s employment (“Former Employee”) or (ii) employed by the Company (“Current Employee”). The term “solicit” includes, but is not limited to, the following (regardless of whether done directly or indirectly): (a) requestng that a Former or Current Employee change employment; (b) informing a Former or Current Employee that an opening exists elsewhere;</w:t>
      </w:r>
    </w:p>
    <w:p>
      <w:pPr>
        <w:spacing w:after="0" w:line="2" w:lineRule="exact"/>
        <w:rPr>
          <w:rFonts w:ascii="Calibri" w:cs="Calibri" w:eastAsia="Calibri" w:hAnsi="Calibri"/>
          <w:sz w:val="19"/>
          <w:szCs w:val="19"/>
          <w:color w:val="auto"/>
        </w:rPr>
      </w:pPr>
    </w:p>
    <w:p>
      <w:pPr>
        <w:jc w:val="both"/>
        <w:ind w:left="1547"/>
        <w:spacing w:after="0" w:line="195" w:lineRule="auto"/>
        <w:tabs>
          <w:tab w:leader="none" w:pos="1823" w:val="left"/>
        </w:tabs>
        <w:numPr>
          <w:ilvl w:val="3"/>
          <w:numId w:val="70"/>
        </w:numPr>
        <w:rPr>
          <w:rFonts w:ascii="Calibri" w:cs="Calibri" w:eastAsia="Calibri" w:hAnsi="Calibri"/>
          <w:sz w:val="19"/>
          <w:szCs w:val="19"/>
          <w:color w:val="auto"/>
        </w:rPr>
      </w:pPr>
      <w:r>
        <w:rPr>
          <w:rFonts w:ascii="Calibri" w:cs="Calibri" w:eastAsia="Calibri" w:hAnsi="Calibri"/>
          <w:sz w:val="19"/>
          <w:szCs w:val="19"/>
          <w:color w:val="auto"/>
        </w:rPr>
        <w:t>assistng a Former or Current Employee in fnding employment elsewhere; (d) inquiring if a Former or Current Employee “knows of anyone who might be interested” in a positon elsewhere; (e) inquiring if a Former or Current Employee might have an interest in employment elsewhere; (f) informing others of the name or status of, or other informaton about, a Former or Current Employee; or (g) any other similar conduct, the intended or actual efect of which is that a Former Employee afliates with another employer or a Current Employee leaves the employment of the Company.</w:t>
      </w:r>
    </w:p>
    <w:p>
      <w:pPr>
        <w:spacing w:after="0" w:line="203" w:lineRule="exact"/>
        <w:rPr>
          <w:sz w:val="20"/>
          <w:szCs w:val="20"/>
          <w:color w:val="auto"/>
        </w:rPr>
      </w:pPr>
    </w:p>
    <w:p>
      <w:pPr>
        <w:jc w:val="both"/>
        <w:ind w:left="1547" w:hanging="310"/>
        <w:spacing w:after="0" w:line="205" w:lineRule="auto"/>
        <w:tabs>
          <w:tab w:leader="none" w:pos="1547" w:val="left"/>
        </w:tabs>
        <w:numPr>
          <w:ilvl w:val="0"/>
          <w:numId w:val="71"/>
        </w:numPr>
        <w:rPr>
          <w:rFonts w:ascii="Calibri" w:cs="Calibri" w:eastAsia="Calibri" w:hAnsi="Calibri"/>
          <w:sz w:val="19"/>
          <w:szCs w:val="19"/>
          <w:color w:val="auto"/>
        </w:rPr>
      </w:pPr>
      <w:r>
        <w:rPr>
          <w:rFonts w:ascii="Calibri" w:cs="Calibri" w:eastAsia="Calibri" w:hAnsi="Calibri"/>
          <w:sz w:val="19"/>
          <w:szCs w:val="19"/>
          <w:color w:val="auto"/>
        </w:rPr>
        <w:t>Sell, atempt to sell, or assist in the efort of anyone else who sells or atempts to sell, any products or services which compete with products or services ofered by Company to any actual or prospectve customer of the Company with whom or with which Employee dealt at any tme during the last twelve (12) months of Employee’s employment by the Company or about whom Employee has any Confdental Business Informaton.</w:t>
      </w:r>
    </w:p>
    <w:p>
      <w:pPr>
        <w:spacing w:after="0" w:line="200" w:lineRule="exact"/>
        <w:rPr>
          <w:rFonts w:ascii="Calibri" w:cs="Calibri" w:eastAsia="Calibri" w:hAnsi="Calibri"/>
          <w:sz w:val="19"/>
          <w:szCs w:val="19"/>
          <w:color w:val="auto"/>
        </w:rPr>
      </w:pPr>
    </w:p>
    <w:p>
      <w:pPr>
        <w:ind w:left="1547" w:hanging="310"/>
        <w:spacing w:after="0" w:line="210" w:lineRule="auto"/>
        <w:tabs>
          <w:tab w:leader="none" w:pos="1553" w:val="left"/>
        </w:tabs>
        <w:numPr>
          <w:ilvl w:val="0"/>
          <w:numId w:val="71"/>
        </w:numPr>
        <w:rPr>
          <w:rFonts w:ascii="Calibri" w:cs="Calibri" w:eastAsia="Calibri" w:hAnsi="Calibri"/>
          <w:sz w:val="19"/>
          <w:szCs w:val="19"/>
          <w:color w:val="auto"/>
        </w:rPr>
      </w:pPr>
      <w:r>
        <w:rPr>
          <w:rFonts w:ascii="Calibri" w:cs="Calibri" w:eastAsia="Calibri" w:hAnsi="Calibri"/>
          <w:sz w:val="19"/>
          <w:szCs w:val="19"/>
          <w:color w:val="auto"/>
        </w:rPr>
        <w:t>Directly or indirectly, solicit, encourage, or induce said actual or prospectve customers of the Company to terminate or reduce their business with the Company.</w:t>
      </w:r>
    </w:p>
    <w:p>
      <w:pPr>
        <w:spacing w:after="0" w:line="200" w:lineRule="exact"/>
        <w:rPr>
          <w:rFonts w:ascii="Calibri" w:cs="Calibri" w:eastAsia="Calibri" w:hAnsi="Calibri"/>
          <w:sz w:val="19"/>
          <w:szCs w:val="19"/>
          <w:color w:val="auto"/>
        </w:rPr>
      </w:pPr>
    </w:p>
    <w:p>
      <w:pPr>
        <w:jc w:val="both"/>
        <w:ind w:left="1547" w:hanging="310"/>
        <w:spacing w:after="0" w:line="206" w:lineRule="auto"/>
        <w:tabs>
          <w:tab w:leader="none" w:pos="1551" w:val="left"/>
        </w:tabs>
        <w:numPr>
          <w:ilvl w:val="0"/>
          <w:numId w:val="71"/>
        </w:numPr>
        <w:rPr>
          <w:rFonts w:ascii="Calibri" w:cs="Calibri" w:eastAsia="Calibri" w:hAnsi="Calibri"/>
          <w:sz w:val="19"/>
          <w:szCs w:val="19"/>
          <w:color w:val="auto"/>
        </w:rPr>
      </w:pPr>
      <w:r>
        <w:rPr>
          <w:rFonts w:ascii="Calibri" w:cs="Calibri" w:eastAsia="Calibri" w:hAnsi="Calibri"/>
          <w:sz w:val="19"/>
          <w:szCs w:val="19"/>
          <w:color w:val="auto"/>
        </w:rPr>
        <w:t>Partcipate in, work for, or provide services, in the Territory in which Employee was employed, to any person or entty that is, or is actvely planning to be, a “Compettve Business.” The “Territory in which Employee was employed” shall mean (1) Employee’s geographical area of</w:t>
      </w:r>
    </w:p>
    <w:p>
      <w:pPr>
        <w:sectPr>
          <w:pgSz w:w="11900" w:h="16838" w:orient="portrait"/>
          <w:cols w:equalWidth="0" w:num="1">
            <w:col w:w="10927"/>
          </w:cols>
          <w:pgMar w:left="633" w:top="708" w:right="339" w:bottom="1440" w:gutter="0" w:footer="0" w:header="0"/>
        </w:sectPr>
      </w:pPr>
    </w:p>
    <w:bookmarkStart w:id="123" w:name="page124"/>
    <w:bookmarkEnd w:id="123"/>
    <w:p>
      <w:pPr>
        <w:jc w:val="both"/>
        <w:ind w:left="929"/>
        <w:spacing w:after="0" w:line="198" w:lineRule="auto"/>
        <w:rPr>
          <w:sz w:val="20"/>
          <w:szCs w:val="20"/>
          <w:color w:val="auto"/>
        </w:rPr>
      </w:pPr>
      <w:r>
        <w:rPr>
          <w:rFonts w:ascii="Calibri" w:cs="Calibri" w:eastAsia="Calibri" w:hAnsi="Calibri"/>
          <w:sz w:val="19"/>
          <w:szCs w:val="19"/>
          <w:color w:val="auto"/>
        </w:rPr>
        <w:t>responsibility, (2) a zone of 150 miles radius from a facility, locaton or ofce of the Company in which Employee was employed during the last eighteen (18) months of Employee’s employment at the Company, and (3) all locatons from which Employee regularly performed Employee’s job functons or performed signifcant job functons, during the last eighteen (18) months of Employee’s employment at the Company. The term “Compettve Business” shall mean any business (however organized or conducted) that competes with a business in which the Company is engaged or in which the Company was actvely planning to engage, at any tme during the last twelve (12) months of Employee’s employment by the Company, provided that Employee was involved with or had access to Confdental Business Informaton regarding such business. This restricton does not prohibit Employee from working for a person or entty, even if a Compettve Business, in a capacity unrelated to the work that Employee performed for the Company, provided Employee and any new employer frst provide the Company with adequate writen assurances of the steps taken to ensure the protecton, and to prevent the use or disclosure, of Confdental Business Informaton. Nothing in this Subparagraph 5(b)(iv) shall prohibit Employee and Employee’s afliates from owning, as passive investors, in the aggregate not more than fve percent of equity securites of any Compettve Business.</w:t>
      </w:r>
    </w:p>
    <w:p>
      <w:pPr>
        <w:spacing w:after="0" w:line="207" w:lineRule="exact"/>
        <w:rPr>
          <w:sz w:val="20"/>
          <w:szCs w:val="20"/>
          <w:color w:val="auto"/>
        </w:rPr>
      </w:pPr>
    </w:p>
    <w:p>
      <w:pPr>
        <w:jc w:val="both"/>
        <w:ind w:left="929" w:hanging="310"/>
        <w:spacing w:after="0" w:line="205" w:lineRule="auto"/>
        <w:tabs>
          <w:tab w:leader="none" w:pos="927" w:val="left"/>
        </w:tabs>
        <w:numPr>
          <w:ilvl w:val="0"/>
          <w:numId w:val="72"/>
        </w:numPr>
        <w:rPr>
          <w:rFonts w:ascii="Calibri" w:cs="Calibri" w:eastAsia="Calibri" w:hAnsi="Calibri"/>
          <w:sz w:val="19"/>
          <w:szCs w:val="19"/>
          <w:color w:val="auto"/>
        </w:rPr>
      </w:pPr>
      <w:r>
        <w:rPr>
          <w:rFonts w:ascii="Calibri" w:cs="Calibri" w:eastAsia="Calibri" w:hAnsi="Calibri"/>
          <w:sz w:val="19"/>
          <w:szCs w:val="19"/>
          <w:color w:val="auto"/>
        </w:rPr>
        <w:t>Act in any capacity for or with any Compettve Business, or for or with any of their agents, if in such capacity Employee would, because of the nature of his/her role with such Compettve Business and Employee’s knowledge of Confdental Business Informaton, inevitably use and/or disclose any Confdental Business Informaton in his/her work for, or on behalf of, the Compettve Business or its agent.</w:t>
      </w:r>
    </w:p>
    <w:p>
      <w:pPr>
        <w:spacing w:after="0" w:line="187" w:lineRule="exact"/>
        <w:rPr>
          <w:rFonts w:ascii="Calibri" w:cs="Calibri" w:eastAsia="Calibri" w:hAnsi="Calibri"/>
          <w:sz w:val="19"/>
          <w:szCs w:val="19"/>
          <w:color w:val="auto"/>
        </w:rPr>
      </w:pPr>
    </w:p>
    <w:p>
      <w:pPr>
        <w:ind w:left="929" w:hanging="310"/>
        <w:spacing w:after="0" w:line="216" w:lineRule="auto"/>
        <w:tabs>
          <w:tab w:leader="none" w:pos="933" w:val="left"/>
        </w:tabs>
        <w:numPr>
          <w:ilvl w:val="0"/>
          <w:numId w:val="72"/>
        </w:numPr>
        <w:rPr>
          <w:rFonts w:ascii="Calibri" w:cs="Calibri" w:eastAsia="Calibri" w:hAnsi="Calibri"/>
          <w:sz w:val="19"/>
          <w:szCs w:val="19"/>
          <w:color w:val="auto"/>
        </w:rPr>
      </w:pPr>
      <w:r>
        <w:rPr>
          <w:rFonts w:ascii="Calibri" w:cs="Calibri" w:eastAsia="Calibri" w:hAnsi="Calibri"/>
          <w:sz w:val="19"/>
          <w:szCs w:val="19"/>
          <w:color w:val="auto"/>
        </w:rPr>
        <w:t>Otherwise interfere with, disrupt or atempt to disrupt relatons between the Company and any of its employees, contractors, vendors, third party business afliates, or consultants.</w:t>
      </w:r>
    </w:p>
    <w:p>
      <w:pPr>
        <w:spacing w:after="0" w:line="188" w:lineRule="exact"/>
        <w:rPr>
          <w:sz w:val="20"/>
          <w:szCs w:val="20"/>
          <w:color w:val="auto"/>
        </w:rPr>
      </w:pPr>
    </w:p>
    <w:p>
      <w:pPr>
        <w:jc w:val="both"/>
        <w:ind w:left="309"/>
        <w:spacing w:after="0" w:line="200" w:lineRule="auto"/>
        <w:rPr>
          <w:sz w:val="20"/>
          <w:szCs w:val="20"/>
          <w:color w:val="auto"/>
        </w:rPr>
      </w:pPr>
      <w:r>
        <w:rPr>
          <w:rFonts w:ascii="Calibri" w:cs="Calibri" w:eastAsia="Calibri" w:hAnsi="Calibri"/>
          <w:sz w:val="19"/>
          <w:szCs w:val="19"/>
          <w:color w:val="auto"/>
        </w:rPr>
        <w:t>Employee agrees that (a) the covenants contained in this Agreement are necessary for the protecton of the Company’s business, goodwill, customer and employee relatonships and Confdental Business Informaton, and (b) the compensaton and other consideraton received by Employee, including the Restricted Stock Units, are based on Employee’s agreement to such covenants. Employee represents and warrants that the tme, scope of actvity and geographic area restricted by this Agreement are reasonable, especially in the view of the worldwide scope of the business operatons of the Company, Employee’s positon and responsibilites with the Company, and the nature of the Confdental Business Informaton, that the enforcement of those restrictons contained in this Agreement would not be unduly burdensome to or impose any undue hardship on Employee, and that Employee will be able to earn a reasonable living while abiding by such covenants.</w:t>
      </w:r>
    </w:p>
    <w:p>
      <w:pPr>
        <w:spacing w:after="0" w:line="207" w:lineRule="exact"/>
        <w:rPr>
          <w:sz w:val="20"/>
          <w:szCs w:val="20"/>
          <w:color w:val="auto"/>
        </w:rPr>
      </w:pPr>
    </w:p>
    <w:p>
      <w:pPr>
        <w:jc w:val="both"/>
        <w:ind w:left="309" w:hanging="309"/>
        <w:spacing w:after="0" w:line="201" w:lineRule="auto"/>
        <w:tabs>
          <w:tab w:leader="none" w:pos="301" w:val="left"/>
        </w:tabs>
        <w:numPr>
          <w:ilvl w:val="0"/>
          <w:numId w:val="73"/>
        </w:numPr>
        <w:rPr>
          <w:rFonts w:ascii="Calibri" w:cs="Calibri" w:eastAsia="Calibri" w:hAnsi="Calibri"/>
          <w:sz w:val="19"/>
          <w:szCs w:val="19"/>
          <w:color w:val="auto"/>
        </w:rPr>
      </w:pPr>
      <w:r>
        <w:rPr>
          <w:rFonts w:ascii="Calibri" w:cs="Calibri" w:eastAsia="Calibri" w:hAnsi="Calibri"/>
          <w:sz w:val="19"/>
          <w:szCs w:val="19"/>
          <w:b w:val="1"/>
          <w:bCs w:val="1"/>
          <w:color w:val="auto"/>
        </w:rPr>
        <w:t>State Specifc Limitatons</w:t>
      </w:r>
      <w:r>
        <w:rPr>
          <w:rFonts w:ascii="Calibri" w:cs="Calibri" w:eastAsia="Calibri" w:hAnsi="Calibri"/>
          <w:sz w:val="19"/>
          <w:szCs w:val="19"/>
          <w:color w:val="auto"/>
        </w:rPr>
        <w:t>. Employee and the Company hereby further agree that, in spite of anything in the Agreement to the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contrary, if and to the extent Employee works for the Company, not including temporary assignments or business travel, in the states mentoned below, the restrictons in Paragraph 5(b) will be revised as set forth below. During any porton of Employee’s employment with the Company when Employee is not assigned to one of the states listed below, this Agreement shall be enforceable in its entrety:</w:t>
      </w:r>
    </w:p>
    <w:p>
      <w:pPr>
        <w:spacing w:after="0" w:line="227" w:lineRule="exact"/>
        <w:rPr>
          <w:rFonts w:ascii="Calibri" w:cs="Calibri" w:eastAsia="Calibri" w:hAnsi="Calibri"/>
          <w:sz w:val="19"/>
          <w:szCs w:val="19"/>
          <w:color w:val="auto"/>
        </w:rPr>
      </w:pPr>
    </w:p>
    <w:p>
      <w:pPr>
        <w:ind w:left="929" w:right="140" w:hanging="310"/>
        <w:spacing w:after="0" w:line="233" w:lineRule="auto"/>
        <w:tabs>
          <w:tab w:leader="none" w:pos="923" w:val="left"/>
        </w:tabs>
        <w:numPr>
          <w:ilvl w:val="1"/>
          <w:numId w:val="73"/>
        </w:numPr>
        <w:rPr>
          <w:rFonts w:ascii="Calibri" w:cs="Calibri" w:eastAsia="Calibri" w:hAnsi="Calibri"/>
          <w:sz w:val="19"/>
          <w:szCs w:val="19"/>
          <w:color w:val="auto"/>
        </w:rPr>
      </w:pPr>
      <w:r>
        <w:rPr>
          <w:rFonts w:ascii="Calibri" w:cs="Calibri" w:eastAsia="Calibri" w:hAnsi="Calibri"/>
          <w:sz w:val="19"/>
          <w:szCs w:val="19"/>
          <w:u w:val="single" w:color="auto"/>
          <w:color w:val="auto"/>
        </w:rPr>
        <w:t>California</w:t>
      </w:r>
      <w:r>
        <w:rPr>
          <w:rFonts w:ascii="Calibri" w:cs="Calibri" w:eastAsia="Calibri" w:hAnsi="Calibri"/>
          <w:sz w:val="19"/>
          <w:szCs w:val="19"/>
          <w:color w:val="auto"/>
        </w:rPr>
        <w:t>: The only provisions of Paragraph 5(b) that will apply during Employee’s ongoing (not temporary or business travel) assignment in California shall be Subparagraph (i) and, to the extent necessary to protect the Company’s trade secrets, Subparagraphs (v) and (vi).</w:t>
      </w:r>
    </w:p>
    <w:p>
      <w:pPr>
        <w:spacing w:after="0" w:line="239" w:lineRule="exact"/>
        <w:rPr>
          <w:rFonts w:ascii="Calibri" w:cs="Calibri" w:eastAsia="Calibri" w:hAnsi="Calibri"/>
          <w:sz w:val="19"/>
          <w:szCs w:val="19"/>
          <w:color w:val="auto"/>
        </w:rPr>
      </w:pPr>
    </w:p>
    <w:p>
      <w:pPr>
        <w:ind w:left="929" w:right="240" w:hanging="310"/>
        <w:spacing w:after="0" w:line="234" w:lineRule="auto"/>
        <w:tabs>
          <w:tab w:leader="none" w:pos="928" w:val="left"/>
        </w:tabs>
        <w:numPr>
          <w:ilvl w:val="1"/>
          <w:numId w:val="73"/>
        </w:numPr>
        <w:rPr>
          <w:rFonts w:ascii="Calibri" w:cs="Calibri" w:eastAsia="Calibri" w:hAnsi="Calibri"/>
          <w:sz w:val="19"/>
          <w:szCs w:val="19"/>
          <w:color w:val="auto"/>
        </w:rPr>
      </w:pPr>
      <w:r>
        <w:rPr>
          <w:rFonts w:ascii="Calibri" w:cs="Calibri" w:eastAsia="Calibri" w:hAnsi="Calibri"/>
          <w:sz w:val="19"/>
          <w:szCs w:val="19"/>
          <w:u w:val="single" w:color="auto"/>
          <w:color w:val="auto"/>
        </w:rPr>
        <w:t>Colorado</w:t>
      </w:r>
      <w:r>
        <w:rPr>
          <w:rFonts w:ascii="Calibri" w:cs="Calibri" w:eastAsia="Calibri" w:hAnsi="Calibri"/>
          <w:sz w:val="19"/>
          <w:szCs w:val="19"/>
          <w:color w:val="auto"/>
        </w:rPr>
        <w:t>: If Employee has an ongoing (not temporary or business travel) assignment in Colorado, the provisions of Paragraph 5(b)(i), (ii), (iv) and (v) shall only apply to Employee if Employee’s annualized cash compensaton meets or exceeds the threshold amount for highly compensated workers within the meaning of C.R.S. § 8-2-113(2) and the provisions of Paragraph 5(b)(iii) shall only apply to Employee if Employee’s annualized cash compensaton is at least 60% of the then-applicable highly-compensated threshold under Colorado law. Additonally, Employee acknowledges that the Company has provided Employee with a separate notce advising Employee of the restrictve covenants in Paragraph 5 in accordance with CRS § 8-2-113 and that the Company gave Employee at least fourteen (14) days to review the notce and the Agreement.</w:t>
      </w:r>
    </w:p>
    <w:p>
      <w:pPr>
        <w:spacing w:after="0" w:line="240" w:lineRule="exact"/>
        <w:rPr>
          <w:rFonts w:ascii="Calibri" w:cs="Calibri" w:eastAsia="Calibri" w:hAnsi="Calibri"/>
          <w:sz w:val="19"/>
          <w:szCs w:val="19"/>
          <w:color w:val="auto"/>
        </w:rPr>
      </w:pPr>
    </w:p>
    <w:p>
      <w:pPr>
        <w:ind w:left="929" w:right="120" w:hanging="310"/>
        <w:spacing w:after="0" w:line="233" w:lineRule="auto"/>
        <w:tabs>
          <w:tab w:leader="none" w:pos="934" w:val="left"/>
        </w:tabs>
        <w:numPr>
          <w:ilvl w:val="1"/>
          <w:numId w:val="73"/>
        </w:numPr>
        <w:rPr>
          <w:rFonts w:ascii="Calibri" w:cs="Calibri" w:eastAsia="Calibri" w:hAnsi="Calibri"/>
          <w:sz w:val="19"/>
          <w:szCs w:val="19"/>
          <w:color w:val="auto"/>
        </w:rPr>
      </w:pPr>
      <w:r>
        <w:rPr>
          <w:rFonts w:ascii="Calibri" w:cs="Calibri" w:eastAsia="Calibri" w:hAnsi="Calibri"/>
          <w:sz w:val="19"/>
          <w:szCs w:val="19"/>
          <w:u w:val="single" w:color="auto"/>
          <w:color w:val="auto"/>
        </w:rPr>
        <w:t>North Dakota</w:t>
      </w:r>
      <w:r>
        <w:rPr>
          <w:rFonts w:ascii="Calibri" w:cs="Calibri" w:eastAsia="Calibri" w:hAnsi="Calibri"/>
          <w:sz w:val="19"/>
          <w:szCs w:val="19"/>
          <w:color w:val="auto"/>
        </w:rPr>
        <w:t>: All provisions of Paragraph 5(b) will apply during Employee’s ongoing (not temporary or business travel) assignment in North Dakota. For the one year period immediately following the end of said Employee’s employment, the only provisions of Paragraph 5(b) that</w:t>
      </w:r>
    </w:p>
    <w:p>
      <w:pPr>
        <w:sectPr>
          <w:pgSz w:w="11900" w:h="16838" w:orient="portrait"/>
          <w:cols w:equalWidth="0" w:num="1">
            <w:col w:w="10309"/>
          </w:cols>
          <w:pgMar w:left="1251" w:top="707" w:right="339" w:bottom="1440" w:gutter="0" w:footer="0" w:header="0"/>
        </w:sectPr>
      </w:pPr>
    </w:p>
    <w:bookmarkStart w:id="124" w:name="page125"/>
    <w:bookmarkEnd w:id="124"/>
    <w:p>
      <w:pPr>
        <w:ind w:left="1547" w:right="20"/>
        <w:spacing w:after="0" w:line="236" w:lineRule="auto"/>
        <w:rPr>
          <w:sz w:val="20"/>
          <w:szCs w:val="20"/>
          <w:color w:val="auto"/>
        </w:rPr>
      </w:pPr>
      <w:r>
        <w:rPr>
          <w:rFonts w:ascii="Calibri" w:cs="Calibri" w:eastAsia="Calibri" w:hAnsi="Calibri"/>
          <w:sz w:val="19"/>
          <w:szCs w:val="19"/>
          <w:color w:val="auto"/>
        </w:rPr>
        <w:t>will apply shall be Subparagraph (i) and, to the extent necessary to protect Company’s trade secrets and/or Confdental Business Informaton, Subparagraphs (v) and (vi).</w:t>
      </w:r>
    </w:p>
    <w:p>
      <w:pPr>
        <w:spacing w:after="0" w:line="227" w:lineRule="exact"/>
        <w:rPr>
          <w:sz w:val="20"/>
          <w:szCs w:val="20"/>
          <w:color w:val="auto"/>
        </w:rPr>
      </w:pPr>
    </w:p>
    <w:p>
      <w:pPr>
        <w:jc w:val="both"/>
        <w:ind w:left="1547" w:hanging="310"/>
        <w:spacing w:after="0" w:line="235" w:lineRule="auto"/>
        <w:tabs>
          <w:tab w:leader="none" w:pos="1551" w:val="left"/>
        </w:tabs>
        <w:numPr>
          <w:ilvl w:val="2"/>
          <w:numId w:val="74"/>
        </w:numPr>
        <w:rPr>
          <w:rFonts w:ascii="Calibri" w:cs="Calibri" w:eastAsia="Calibri" w:hAnsi="Calibri"/>
          <w:sz w:val="19"/>
          <w:szCs w:val="19"/>
          <w:color w:val="auto"/>
        </w:rPr>
      </w:pPr>
      <w:r>
        <w:rPr>
          <w:rFonts w:ascii="Calibri" w:cs="Calibri" w:eastAsia="Calibri" w:hAnsi="Calibri"/>
          <w:sz w:val="19"/>
          <w:szCs w:val="19"/>
          <w:u w:val="single" w:color="auto"/>
          <w:color w:val="auto"/>
        </w:rPr>
        <w:t>Oklahoma</w:t>
      </w:r>
      <w:r>
        <w:rPr>
          <w:rFonts w:ascii="Calibri" w:cs="Calibri" w:eastAsia="Calibri" w:hAnsi="Calibri"/>
          <w:sz w:val="19"/>
          <w:szCs w:val="19"/>
          <w:color w:val="auto"/>
        </w:rPr>
        <w:t>: The only provisions of Paragraph 5(b) that will apply during Employee’s ongoing (not temporary or business travel) assignment in Oklahoma shall be Subparagraph (i), and to the extent necessary to prevent the direct solicitaton of the sale of goods and/or services from the customers of the Company, Subparagraphs (ii) and (iii), and to the extent necessary to protect the Company’s trade secrets, Subparagraphs (v) and (vi).</w:t>
      </w:r>
    </w:p>
    <w:p>
      <w:pPr>
        <w:spacing w:after="0" w:line="232" w:lineRule="exact"/>
        <w:rPr>
          <w:rFonts w:ascii="Calibri" w:cs="Calibri" w:eastAsia="Calibri" w:hAnsi="Calibri"/>
          <w:sz w:val="19"/>
          <w:szCs w:val="19"/>
          <w:color w:val="auto"/>
        </w:rPr>
      </w:pPr>
    </w:p>
    <w:p>
      <w:pPr>
        <w:ind w:left="1547" w:hanging="310"/>
        <w:spacing w:after="0"/>
        <w:tabs>
          <w:tab w:leader="none" w:pos="1547" w:val="left"/>
        </w:tabs>
        <w:numPr>
          <w:ilvl w:val="2"/>
          <w:numId w:val="74"/>
        </w:numPr>
        <w:rPr>
          <w:rFonts w:ascii="Calibri" w:cs="Calibri" w:eastAsia="Calibri" w:hAnsi="Calibri"/>
          <w:sz w:val="19"/>
          <w:szCs w:val="19"/>
          <w:color w:val="auto"/>
        </w:rPr>
      </w:pPr>
      <w:r>
        <w:rPr>
          <w:rFonts w:ascii="Calibri" w:cs="Calibri" w:eastAsia="Calibri" w:hAnsi="Calibri"/>
          <w:sz w:val="19"/>
          <w:szCs w:val="19"/>
          <w:u w:val="single" w:color="auto"/>
          <w:color w:val="auto"/>
        </w:rPr>
        <w:t>Louisiana</w:t>
      </w:r>
      <w:r>
        <w:rPr>
          <w:rFonts w:ascii="Calibri" w:cs="Calibri" w:eastAsia="Calibri" w:hAnsi="Calibri"/>
          <w:sz w:val="19"/>
          <w:szCs w:val="19"/>
          <w:color w:val="auto"/>
        </w:rPr>
        <w:t>: The provisions of Paragraph 5(b) will apply during Employee’s ongoing (not temporary or business travel)</w:t>
      </w:r>
    </w:p>
    <w:p>
      <w:pPr>
        <w:jc w:val="both"/>
        <w:ind w:left="1547"/>
        <w:spacing w:after="0"/>
        <w:rPr>
          <w:rFonts w:ascii="Calibri" w:cs="Calibri" w:eastAsia="Calibri" w:hAnsi="Calibri"/>
          <w:sz w:val="19"/>
          <w:szCs w:val="19"/>
          <w:color w:val="auto"/>
        </w:rPr>
      </w:pPr>
      <w:r>
        <w:rPr>
          <w:rFonts w:ascii="Calibri" w:cs="Calibri" w:eastAsia="Calibri" w:hAnsi="Calibri"/>
          <w:sz w:val="19"/>
          <w:szCs w:val="19"/>
          <w:color w:val="auto"/>
        </w:rPr>
        <w:t>assignment in Louisiana in the following Louisiana parishes and municipalites: Acadia, Bienville, Bossier, Caddo, Calcasieu, Cameron, Iberia, Lafayete, Lafourche, Orleans, Plaquemines, Rapides, St. Mary, St. Martn, Terrebonne, and Vermilion.</w:t>
      </w:r>
    </w:p>
    <w:p>
      <w:pPr>
        <w:spacing w:after="0" w:line="200" w:lineRule="exact"/>
        <w:rPr>
          <w:rFonts w:ascii="Calibri" w:cs="Calibri" w:eastAsia="Calibri" w:hAnsi="Calibri"/>
          <w:sz w:val="19"/>
          <w:szCs w:val="19"/>
          <w:color w:val="auto"/>
        </w:rPr>
      </w:pPr>
    </w:p>
    <w:p>
      <w:pPr>
        <w:spacing w:after="0" w:line="219" w:lineRule="exact"/>
        <w:rPr>
          <w:rFonts w:ascii="Calibri" w:cs="Calibri" w:eastAsia="Calibri" w:hAnsi="Calibri"/>
          <w:sz w:val="19"/>
          <w:szCs w:val="19"/>
          <w:color w:val="auto"/>
        </w:rPr>
      </w:pPr>
    </w:p>
    <w:p>
      <w:pPr>
        <w:jc w:val="both"/>
        <w:ind w:left="927" w:hanging="309"/>
        <w:spacing w:after="0" w:line="209" w:lineRule="auto"/>
        <w:tabs>
          <w:tab w:leader="none" w:pos="927" w:val="left"/>
        </w:tabs>
        <w:numPr>
          <w:ilvl w:val="1"/>
          <w:numId w:val="75"/>
        </w:numPr>
        <w:rPr>
          <w:rFonts w:ascii="Calibri" w:cs="Calibri" w:eastAsia="Calibri" w:hAnsi="Calibri"/>
          <w:sz w:val="19"/>
          <w:szCs w:val="19"/>
          <w:color w:val="auto"/>
        </w:rPr>
      </w:pPr>
      <w:r>
        <w:rPr>
          <w:rFonts w:ascii="Calibri" w:cs="Calibri" w:eastAsia="Calibri" w:hAnsi="Calibri"/>
          <w:sz w:val="19"/>
          <w:szCs w:val="19"/>
          <w:b w:val="1"/>
          <w:bCs w:val="1"/>
          <w:color w:val="auto"/>
        </w:rPr>
        <w:t>Confdental Business Informaton</w:t>
      </w:r>
      <w:r>
        <w:rPr>
          <w:rFonts w:ascii="Calibri" w:cs="Calibri" w:eastAsia="Calibri" w:hAnsi="Calibri"/>
          <w:sz w:val="19"/>
          <w:szCs w:val="19"/>
          <w:color w:val="auto"/>
        </w:rPr>
        <w:t>. As used in this Agreement, the term “Confdental Business Informaton” means any and all</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of the Company’s trade secrets, confdental and/or proprietary informaton, and all other informaton and data that is not generally known to third persons who could derive economic value from its use or disclosure, including, but not limited to, the Company’s strategies, methods, products, sofware, designs, drawings, books, records, data, and technical informaton concerning its products, equipment, services and processes, procurement procedures and pricing techniques; the methods though which the Company identfes, hires, trains and compensates its employees; details regarding the Company’s employees, including their compensaton, contact informaton, and their performance and conduct; methods to locate and qualify contractors, vendors and third party afliates; the identty of and other informaton (such as credit and fnancial data) concerning the Company’s contractors, vendors and third party business afliates; the individuals, and their contact Informaton, at contractors, vendors and third party business afliates with whom the Company has dealt; the amounts and types of goods and/or services purchased in the past from contractors, vendors and third party business afliates; the amounts paid for such past purchases; the identty of the Company’s customers; the individuals, and their contact informaton, at customers with whom Employee has dealt; the amounts and types of products and services purchased in the past by such customers; the amount paid for such past purchases, the tming of such past purchases, and the method of payment for such past purchases; the Company’s plans for future products and services; the details of any ongoing or planned negotatons for future products and services; and the Company’s plans for the future, including without limitaton plans for its products and services, for geographic and customer markets, and for marketng, promotng, selling, distributng and providing its products and services.</w:t>
      </w:r>
    </w:p>
    <w:p>
      <w:pPr>
        <w:spacing w:after="0" w:line="201" w:lineRule="exact"/>
        <w:rPr>
          <w:rFonts w:ascii="Calibri" w:cs="Calibri" w:eastAsia="Calibri" w:hAnsi="Calibri"/>
          <w:sz w:val="19"/>
          <w:szCs w:val="19"/>
          <w:color w:val="auto"/>
        </w:rPr>
      </w:pPr>
    </w:p>
    <w:p>
      <w:pPr>
        <w:jc w:val="both"/>
        <w:ind w:left="307" w:hanging="307"/>
        <w:spacing w:after="0" w:line="206" w:lineRule="auto"/>
        <w:tabs>
          <w:tab w:leader="none" w:pos="299" w:val="left"/>
        </w:tabs>
        <w:numPr>
          <w:ilvl w:val="0"/>
          <w:numId w:val="76"/>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Shareholder Rights</w:t>
      </w:r>
      <w:r>
        <w:rPr>
          <w:rFonts w:ascii="Calibri" w:cs="Calibri" w:eastAsia="Calibri" w:hAnsi="Calibri"/>
          <w:sz w:val="19"/>
          <w:szCs w:val="19"/>
          <w:color w:val="auto"/>
        </w:rPr>
        <w:t>. Employee shall have no rights to dividends, dividend equivalents or any other rights of a shareholder with respect</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to the shares of Stock subject to this award of Restricted Stock Units unless and untl such tme as the award has been setled by the transfer of shares of Stock to Employee.</w:t>
      </w:r>
    </w:p>
    <w:p>
      <w:pPr>
        <w:spacing w:after="0" w:line="202" w:lineRule="exact"/>
        <w:rPr>
          <w:rFonts w:ascii="Calibri" w:cs="Calibri" w:eastAsia="Calibri" w:hAnsi="Calibri"/>
          <w:sz w:val="19"/>
          <w:szCs w:val="19"/>
          <w:color w:val="auto"/>
        </w:rPr>
      </w:pPr>
    </w:p>
    <w:p>
      <w:pPr>
        <w:jc w:val="both"/>
        <w:ind w:left="307" w:hanging="307"/>
        <w:spacing w:after="0" w:line="201" w:lineRule="auto"/>
        <w:tabs>
          <w:tab w:leader="none" w:pos="299" w:val="left"/>
        </w:tabs>
        <w:numPr>
          <w:ilvl w:val="0"/>
          <w:numId w:val="76"/>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Non-Transferability</w:t>
      </w:r>
      <w:r>
        <w:rPr>
          <w:rFonts w:ascii="Calibri" w:cs="Calibri" w:eastAsia="Calibri" w:hAnsi="Calibri"/>
          <w:sz w:val="19"/>
          <w:szCs w:val="19"/>
          <w:color w:val="auto"/>
        </w:rPr>
        <w:t>. The Restricted Stock Units may not be sold, assigned, pledged, exchanged, hypothecated, encumbered, disposed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 xml:space="preserve">of, or otherwise transferred, except </w:t>
      </w:r>
      <w:r>
        <w:rPr>
          <w:rFonts w:ascii="Calibri" w:cs="Calibri" w:eastAsia="Calibri" w:hAnsi="Calibri"/>
          <w:sz w:val="19"/>
          <w:szCs w:val="19"/>
          <w:color w:val="231F20"/>
        </w:rPr>
        <w:t>by will or the laws of descent and distributon or</w:t>
      </w:r>
      <w:r>
        <w:rPr>
          <w:rFonts w:ascii="Calibri" w:cs="Calibri" w:eastAsia="Calibri" w:hAnsi="Calibri"/>
          <w:sz w:val="19"/>
          <w:szCs w:val="19"/>
          <w:color w:val="auto"/>
        </w:rPr>
        <w:t xml:space="preserve"> pursuant to a “qualifed domestc relatons order” as defned by the Code or Title I of the U.S. Employee Retrement Income Security Act of 1974, as amended, or similar order. Upon any atempt to transfer, assign, pledge, hypothecate or otherwise dispose of the Restricted Stock Units or of such rights contrary to the provisions hereof or in the Plan, the Restricted Stock Units and such rights shall immediately become null and void.</w:t>
      </w:r>
    </w:p>
    <w:p>
      <w:pPr>
        <w:spacing w:after="0" w:line="201" w:lineRule="exact"/>
        <w:rPr>
          <w:rFonts w:ascii="Calibri" w:cs="Calibri" w:eastAsia="Calibri" w:hAnsi="Calibri"/>
          <w:sz w:val="19"/>
          <w:szCs w:val="19"/>
          <w:color w:val="auto"/>
        </w:rPr>
      </w:pPr>
    </w:p>
    <w:p>
      <w:pPr>
        <w:jc w:val="both"/>
        <w:ind w:left="307" w:hanging="307"/>
        <w:spacing w:after="0" w:line="199" w:lineRule="auto"/>
        <w:tabs>
          <w:tab w:leader="none" w:pos="299" w:val="left"/>
        </w:tabs>
        <w:numPr>
          <w:ilvl w:val="0"/>
          <w:numId w:val="76"/>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Withholding of Tax</w:t>
      </w:r>
      <w:r>
        <w:rPr>
          <w:rFonts w:ascii="Calibri" w:cs="Calibri" w:eastAsia="Calibri" w:hAnsi="Calibri"/>
          <w:sz w:val="19"/>
          <w:szCs w:val="19"/>
          <w:color w:val="auto"/>
        </w:rPr>
        <w:t>. Employee acknowledges that, regardless of any acton taken by the Company or, if diferent, the Subsidiary or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afliated company that employs Employee (the “Employer”), the ultmate liability for all income tax, social contributons, payroll tax, fringe benefts tax, payment on account, hypothetcal tax or other tax-related items related to Employee’s partcipaton in the Plan and legally applicable to Employee or deemed by the Company or the Employer in their discreton to be an appropriate charge to Employee even if legally applicable to the Company or the Employer (“Tax-Related Items”), is and remains Employee’s responsibility and may exceed the amount actually withheld by the Company or the Employer, if any. Employee further acknowledges that the Company and/or the Employer (a) make no representatons or undertakings regarding the treatment of any Tax-Related Items in connecton with any aspect of the Restricted Stock Units, including, but not limited to, the grant, vestng, the subsequent sale of shares of Stock acquired pursuant to such vestng and the receipt of any dividends; and (b) do not commit to and are under no obligaton to structure the terms of the grant or any aspect of the Restricted Stock Units to reduce or eliminate Employee’s liability for Tax-Related Items or achieve any partcular tax result. Further, if Employee is subject to Tax-Related Items in more</w:t>
      </w:r>
    </w:p>
    <w:p>
      <w:pPr>
        <w:sectPr>
          <w:pgSz w:w="11900" w:h="16838" w:orient="portrait"/>
          <w:cols w:equalWidth="0" w:num="1">
            <w:col w:w="10927"/>
          </w:cols>
          <w:pgMar w:left="633" w:top="733" w:right="339" w:bottom="1440" w:gutter="0" w:footer="0" w:header="0"/>
        </w:sectPr>
      </w:pPr>
    </w:p>
    <w:bookmarkStart w:id="125" w:name="page126"/>
    <w:bookmarkEnd w:id="125"/>
    <w:p>
      <w:pPr>
        <w:jc w:val="both"/>
        <w:ind w:left="307"/>
        <w:spacing w:after="0" w:line="206" w:lineRule="auto"/>
        <w:rPr>
          <w:sz w:val="20"/>
          <w:szCs w:val="20"/>
          <w:color w:val="auto"/>
        </w:rPr>
      </w:pPr>
      <w:r>
        <w:rPr>
          <w:rFonts w:ascii="Calibri" w:cs="Calibri" w:eastAsia="Calibri" w:hAnsi="Calibri"/>
          <w:sz w:val="19"/>
          <w:szCs w:val="19"/>
          <w:color w:val="auto"/>
        </w:rPr>
        <w:t>than one jurisdicton between the Grant Date and the date of any relevant taxable or tax withholding event, as applicable, Employee acknowledges that the Company and/or the Employer (or former employer, as applicable) may be required to withhold or account for Tax-Related Items in more than one jurisdicton.</w:t>
      </w:r>
    </w:p>
    <w:p>
      <w:pPr>
        <w:spacing w:after="0" w:line="202" w:lineRule="exact"/>
        <w:rPr>
          <w:sz w:val="20"/>
          <w:szCs w:val="20"/>
          <w:color w:val="auto"/>
        </w:rPr>
      </w:pPr>
    </w:p>
    <w:p>
      <w:pPr>
        <w:jc w:val="both"/>
        <w:ind w:left="307"/>
        <w:spacing w:after="0" w:line="200" w:lineRule="auto"/>
        <w:rPr>
          <w:sz w:val="20"/>
          <w:szCs w:val="20"/>
          <w:color w:val="auto"/>
        </w:rPr>
      </w:pPr>
      <w:r>
        <w:rPr>
          <w:rFonts w:ascii="Calibri" w:cs="Calibri" w:eastAsia="Calibri" w:hAnsi="Calibri"/>
          <w:sz w:val="19"/>
          <w:szCs w:val="19"/>
          <w:color w:val="auto"/>
        </w:rPr>
        <w:t>Prior to the relevant taxable or tax withholding event, as applicable, Employee agrees to make adequate arrangements satsfactory to the Company and/or the Employer to satsfy all Tax-Related Items. In this regard, Employee authorizes the Company and/or the Employer, or their respectve agents, at their discreton, to satsfy the obligatons with regard to all Tax-Related Items by one or a combinaton of the following: (i) withholding from Employee’s wages or other cash compensaton payable to Employee by the Company and/or the Employer; (ii) withholding from the shares of Stock to be delivered upon setlement of the Restricted Stock Units or other awards granted to Employee having a Fair Market Value equal to the amount required to be withheld; (iii) withholding from the proceeds of the sale of shares of Stock acquired upon setlement of the Restricted Stock Units, either through a voluntary sale or through a mandatory sale arranged by the Company (on Employee’s behalf pursuant to this authorizaton without further consent); or</w:t>
      </w:r>
    </w:p>
    <w:p>
      <w:pPr>
        <w:jc w:val="both"/>
        <w:ind w:left="307" w:firstLine="2"/>
        <w:spacing w:after="0" w:line="198" w:lineRule="auto"/>
        <w:tabs>
          <w:tab w:leader="none" w:pos="604" w:val="left"/>
        </w:tabs>
        <w:numPr>
          <w:ilvl w:val="0"/>
          <w:numId w:val="77"/>
        </w:numPr>
        <w:rPr>
          <w:rFonts w:ascii="Calibri" w:cs="Calibri" w:eastAsia="Calibri" w:hAnsi="Calibri"/>
          <w:sz w:val="19"/>
          <w:szCs w:val="19"/>
          <w:color w:val="auto"/>
        </w:rPr>
      </w:pPr>
      <w:r>
        <w:rPr>
          <w:rFonts w:ascii="Calibri" w:cs="Calibri" w:eastAsia="Calibri" w:hAnsi="Calibri"/>
          <w:sz w:val="19"/>
          <w:szCs w:val="19"/>
          <w:color w:val="auto"/>
        </w:rPr>
        <w:t>permitng Employee to tender to the Company cash (including check, bank draf or money order delivered to the Company’s Stock Plan Administrator) or, if allowed by the Commitee, shares of Stock previously acquired by Employee having a Fair Market Value equal to the amount required to be withheld.</w:t>
      </w:r>
    </w:p>
    <w:p>
      <w:pPr>
        <w:spacing w:after="0" w:line="187" w:lineRule="exact"/>
        <w:rPr>
          <w:sz w:val="20"/>
          <w:szCs w:val="20"/>
          <w:color w:val="auto"/>
        </w:rPr>
      </w:pPr>
    </w:p>
    <w:p>
      <w:pPr>
        <w:jc w:val="both"/>
        <w:ind w:left="307"/>
        <w:spacing w:after="0" w:line="205" w:lineRule="auto"/>
        <w:rPr>
          <w:sz w:val="20"/>
          <w:szCs w:val="20"/>
          <w:color w:val="auto"/>
        </w:rPr>
      </w:pPr>
      <w:r>
        <w:rPr>
          <w:rFonts w:ascii="Calibri" w:cs="Calibri" w:eastAsia="Calibri" w:hAnsi="Calibri"/>
          <w:sz w:val="19"/>
          <w:szCs w:val="19"/>
          <w:color w:val="auto"/>
        </w:rPr>
        <w:t>Notwithstanding the foregoing, if Employee is subject to Secton 16 of the U.S. Securites Exchange Act of 1934, as amended, pursuant to Rule 16a-2 promulgated thereunder, any tax withholding obligatons shall be satsfed by having the Company withhold a number of shares of Stock having a Fair Market Value equal to the amount required to be withheld from the shares of Stock to be delivered upon vestng of the Restricted Stock Units.</w:t>
      </w:r>
    </w:p>
    <w:p>
      <w:pPr>
        <w:spacing w:after="0" w:line="136" w:lineRule="exact"/>
        <w:rPr>
          <w:sz w:val="20"/>
          <w:szCs w:val="20"/>
          <w:color w:val="auto"/>
        </w:rPr>
      </w:pPr>
    </w:p>
    <w:p>
      <w:pPr>
        <w:jc w:val="both"/>
        <w:ind w:left="307"/>
        <w:spacing w:after="0" w:line="199" w:lineRule="auto"/>
        <w:rPr>
          <w:sz w:val="20"/>
          <w:szCs w:val="20"/>
          <w:color w:val="auto"/>
        </w:rPr>
      </w:pPr>
      <w:r>
        <w:rPr>
          <w:rFonts w:ascii="Calibri" w:cs="Calibri" w:eastAsia="Calibri" w:hAnsi="Calibri"/>
          <w:sz w:val="19"/>
          <w:szCs w:val="19"/>
          <w:color w:val="auto"/>
        </w:rPr>
        <w:t>Depending on the withholding method, the Company may withhold or account for Tax-Related Items by considering applicable statutory withholding rates (as determined by the Company in good faith and in its sole discreton) or other applicable withholding rates, including maximum applicable rates. In the event of over-withholding, Employee may receive a refund of any over-withheld amount in cash (with no enttlement to the equivalent in shares of Stock), or if not refunded, Employee may seek a refund from the local tax authorites. In the event of under-withholding, Employee may be required to pay any additonal Tax-Related Items directly to the applicable tax authority or to the Company and/or the Employer. If the obligaton for Tax-Related Items is satsfed by withholding from the shares of Stock to be delivered upon vestng of the Restricted Stock Units, for tax purposes, Employee is deemed to have been issued the full number of shares of Stock subject to the Restricted Stock Units, notwithstanding that a number of shares of Stock are held back solely for the purpose of paying the Tax-Related Items. Employee will have no further rights with respect to any shares of Stock that are retained by the Company pursuant to this provision.</w:t>
      </w:r>
    </w:p>
    <w:p>
      <w:pPr>
        <w:spacing w:after="0" w:line="140" w:lineRule="exact"/>
        <w:rPr>
          <w:sz w:val="20"/>
          <w:szCs w:val="20"/>
          <w:color w:val="auto"/>
        </w:rPr>
      </w:pPr>
    </w:p>
    <w:p>
      <w:pPr>
        <w:jc w:val="both"/>
        <w:ind w:left="307"/>
        <w:spacing w:after="0" w:line="205" w:lineRule="auto"/>
        <w:rPr>
          <w:sz w:val="20"/>
          <w:szCs w:val="20"/>
          <w:color w:val="auto"/>
        </w:rPr>
      </w:pPr>
      <w:r>
        <w:rPr>
          <w:rFonts w:ascii="Calibri" w:cs="Calibri" w:eastAsia="Calibri" w:hAnsi="Calibri"/>
          <w:sz w:val="19"/>
          <w:szCs w:val="19"/>
          <w:color w:val="auto"/>
        </w:rPr>
        <w:t>Employee agrees to pay to the Company or the Employer any amount of Tax-Related Items that the Company or the Employer may be required to withhold or account for as a result of Employee’s partcipaton in the Plan that cannot be satsfed by the means previously described. The Company may refuse to issue or deliver shares of Stock or proceeds from the sale of shares of Stock untl arrangements satsfactory to the Company have been made in connecton with the Tax-Related Items.</w:t>
      </w:r>
    </w:p>
    <w:p>
      <w:pPr>
        <w:spacing w:after="0" w:line="200" w:lineRule="exact"/>
        <w:rPr>
          <w:sz w:val="20"/>
          <w:szCs w:val="20"/>
          <w:color w:val="auto"/>
        </w:rPr>
      </w:pPr>
    </w:p>
    <w:p>
      <w:pPr>
        <w:jc w:val="both"/>
        <w:ind w:left="307" w:hanging="307"/>
        <w:spacing w:after="0" w:line="201" w:lineRule="auto"/>
        <w:tabs>
          <w:tab w:leader="none" w:pos="299" w:val="left"/>
        </w:tabs>
        <w:numPr>
          <w:ilvl w:val="0"/>
          <w:numId w:val="78"/>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Status of Shares of Stock</w:t>
      </w:r>
      <w:r>
        <w:rPr>
          <w:rFonts w:ascii="Calibri" w:cs="Calibri" w:eastAsia="Calibri" w:hAnsi="Calibri"/>
          <w:sz w:val="19"/>
          <w:szCs w:val="19"/>
          <w:color w:val="auto"/>
        </w:rPr>
        <w:t>. The Company shall not be obligated to issue any shares of Stock pursuant to any Restricted Stock Units at any</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tme, when the ofering of the shares of Stock covered by such Restricted Stock Unit has not been registered under the U.S. Securites Act of 1933, as amended (the “Act”) or such other country, U.S. federal or state laws, rules or regulatons as the Company deems applicable and, in the opinion of legal counsel for the Company, there is no exempton from the registraton. The Company intends to use reasonable eforts to ensure that no such delay will occur. In the event exempton from registraton under the Act is available upon vestng of the Restricted Stock Units, Employee, if requested by the Company to do so, will execute and deliver to the Company in writng an agreement containing such provisions as the Company may require to assure compliance with applicable securites laws.</w:t>
      </w:r>
    </w:p>
    <w:p>
      <w:pPr>
        <w:spacing w:after="0" w:line="187" w:lineRule="exact"/>
        <w:rPr>
          <w:rFonts w:ascii="Calibri" w:cs="Calibri" w:eastAsia="Calibri" w:hAnsi="Calibri"/>
          <w:sz w:val="19"/>
          <w:szCs w:val="19"/>
          <w:color w:val="auto"/>
        </w:rPr>
      </w:pPr>
    </w:p>
    <w:p>
      <w:pPr>
        <w:jc w:val="both"/>
        <w:ind w:left="307"/>
        <w:spacing w:after="0" w:line="203" w:lineRule="auto"/>
        <w:rPr>
          <w:rFonts w:ascii="Calibri" w:cs="Calibri" w:eastAsia="Calibri" w:hAnsi="Calibri"/>
          <w:sz w:val="19"/>
          <w:szCs w:val="19"/>
          <w:color w:val="auto"/>
        </w:rPr>
      </w:pPr>
      <w:r>
        <w:rPr>
          <w:rFonts w:ascii="Calibri" w:cs="Calibri" w:eastAsia="Calibri" w:hAnsi="Calibri"/>
          <w:sz w:val="19"/>
          <w:szCs w:val="19"/>
          <w:color w:val="auto"/>
        </w:rPr>
        <w:t>Employee agrees that the shares of Stock which Employee may acquire upon vestng of the Restricted Stock Units will not be sold or otherwise disposed of in any manner which would consttute a violaton of any applicable U.S. federal, state or non-U.S. securites laws. Employee also agrees (i) that the Company may refuse to register the transfer of the shares of Stock acquired under the Restricted Stock Units on the stock transfer records of the Company if such proposed transfer would in the opinion of counsel to the Company consttute a violaton of any applicable securites law, and (ii) that the Company may give related instructons to its transfer agent, if any, to stop registraton of the transfer of the shares of Stock acquired under the Plan.</w:t>
      </w:r>
    </w:p>
    <w:p>
      <w:pPr>
        <w:spacing w:after="0" w:line="183" w:lineRule="exact"/>
        <w:rPr>
          <w:rFonts w:ascii="Calibri" w:cs="Calibri" w:eastAsia="Calibri" w:hAnsi="Calibri"/>
          <w:sz w:val="19"/>
          <w:szCs w:val="19"/>
          <w:color w:val="auto"/>
        </w:rPr>
      </w:pPr>
    </w:p>
    <w:p>
      <w:pPr>
        <w:ind w:left="307" w:hanging="307"/>
        <w:spacing w:after="0"/>
        <w:tabs>
          <w:tab w:leader="none" w:pos="307" w:val="left"/>
        </w:tabs>
        <w:numPr>
          <w:ilvl w:val="0"/>
          <w:numId w:val="78"/>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Nature of Grant</w:t>
      </w:r>
      <w:r>
        <w:rPr>
          <w:rFonts w:ascii="Calibri" w:cs="Calibri" w:eastAsia="Calibri" w:hAnsi="Calibri"/>
          <w:sz w:val="19"/>
          <w:szCs w:val="19"/>
          <w:color w:val="auto"/>
        </w:rPr>
        <w:t>. In acceptng the Restricted Stock Units, Employee acknowledges and agrees that:</w:t>
      </w:r>
    </w:p>
    <w:p>
      <w:pPr>
        <w:spacing w:after="0" w:line="199" w:lineRule="exact"/>
        <w:rPr>
          <w:rFonts w:ascii="Calibri" w:cs="Calibri" w:eastAsia="Calibri" w:hAnsi="Calibri"/>
          <w:sz w:val="19"/>
          <w:szCs w:val="19"/>
          <w:color w:val="auto"/>
        </w:rPr>
      </w:pPr>
    </w:p>
    <w:p>
      <w:pPr>
        <w:ind w:left="927" w:hanging="618"/>
        <w:spacing w:after="0" w:line="216" w:lineRule="auto"/>
        <w:tabs>
          <w:tab w:leader="none" w:pos="931" w:val="left"/>
        </w:tabs>
        <w:numPr>
          <w:ilvl w:val="1"/>
          <w:numId w:val="78"/>
        </w:numPr>
        <w:rPr>
          <w:rFonts w:ascii="Calibri" w:cs="Calibri" w:eastAsia="Calibri" w:hAnsi="Calibri"/>
          <w:sz w:val="19"/>
          <w:szCs w:val="19"/>
          <w:color w:val="auto"/>
        </w:rPr>
      </w:pPr>
      <w:r>
        <w:rPr>
          <w:rFonts w:ascii="Calibri" w:cs="Calibri" w:eastAsia="Calibri" w:hAnsi="Calibri"/>
          <w:sz w:val="19"/>
          <w:szCs w:val="19"/>
          <w:color w:val="auto"/>
        </w:rPr>
        <w:t>the Plan is established voluntarily by the Company, it is discretonary in nature and it may be modifed, amended, suspended or terminated by the Company, in its sole discreton, at any tme (subject to any limitatons set forth in the Plan);</w:t>
      </w:r>
    </w:p>
    <w:p>
      <w:pPr>
        <w:sectPr>
          <w:pgSz w:w="11900" w:h="16838" w:orient="portrait"/>
          <w:cols w:equalWidth="0" w:num="1">
            <w:col w:w="10927"/>
          </w:cols>
          <w:pgMar w:left="633" w:top="707" w:right="339" w:bottom="1440" w:gutter="0" w:footer="0" w:header="0"/>
        </w:sectPr>
      </w:pPr>
    </w:p>
    <w:bookmarkStart w:id="126" w:name="page127"/>
    <w:bookmarkEnd w:id="126"/>
    <w:p>
      <w:pPr>
        <w:jc w:val="both"/>
        <w:ind w:left="927" w:hanging="618"/>
        <w:spacing w:after="0" w:line="206" w:lineRule="auto"/>
        <w:tabs>
          <w:tab w:leader="none" w:pos="927" w:val="left"/>
        </w:tabs>
        <w:numPr>
          <w:ilvl w:val="1"/>
          <w:numId w:val="79"/>
        </w:numPr>
        <w:rPr>
          <w:rFonts w:ascii="Calibri" w:cs="Calibri" w:eastAsia="Calibri" w:hAnsi="Calibri"/>
          <w:sz w:val="19"/>
          <w:szCs w:val="19"/>
          <w:color w:val="auto"/>
        </w:rPr>
      </w:pPr>
      <w:r>
        <w:rPr>
          <w:rFonts w:ascii="Calibri" w:cs="Calibri" w:eastAsia="Calibri" w:hAnsi="Calibri"/>
          <w:sz w:val="19"/>
          <w:szCs w:val="19"/>
          <w:color w:val="auto"/>
        </w:rPr>
        <w:t>the grant of the Restricted Stock Units is voluntary and occasional and does not create any contractual or other right to receive future grants of restricted stock units, or benefts in lieu of restricted stock units, even if restricted stock units or other awards have been granted in the past;</w:t>
      </w:r>
    </w:p>
    <w:p>
      <w:pPr>
        <w:spacing w:after="0" w:line="170" w:lineRule="exact"/>
        <w:rPr>
          <w:rFonts w:ascii="Calibri" w:cs="Calibri" w:eastAsia="Calibri" w:hAnsi="Calibri"/>
          <w:sz w:val="19"/>
          <w:szCs w:val="19"/>
          <w:color w:val="auto"/>
        </w:rPr>
      </w:pPr>
    </w:p>
    <w:p>
      <w:pPr>
        <w:ind w:left="927" w:hanging="618"/>
        <w:spacing w:after="0"/>
        <w:tabs>
          <w:tab w:leader="none" w:pos="927" w:val="left"/>
        </w:tabs>
        <w:numPr>
          <w:ilvl w:val="1"/>
          <w:numId w:val="79"/>
        </w:numPr>
        <w:rPr>
          <w:rFonts w:ascii="Calibri" w:cs="Calibri" w:eastAsia="Calibri" w:hAnsi="Calibri"/>
          <w:sz w:val="19"/>
          <w:szCs w:val="19"/>
          <w:color w:val="auto"/>
        </w:rPr>
      </w:pPr>
      <w:r>
        <w:rPr>
          <w:rFonts w:ascii="Calibri" w:cs="Calibri" w:eastAsia="Calibri" w:hAnsi="Calibri"/>
          <w:sz w:val="19"/>
          <w:szCs w:val="19"/>
          <w:color w:val="auto"/>
        </w:rPr>
        <w:t>all decisions with respect to future awards, if any, will be at the sole discreton of the Company;</w:t>
      </w:r>
    </w:p>
    <w:p>
      <w:pPr>
        <w:spacing w:after="0" w:line="167" w:lineRule="exact"/>
        <w:rPr>
          <w:rFonts w:ascii="Calibri" w:cs="Calibri" w:eastAsia="Calibri" w:hAnsi="Calibri"/>
          <w:sz w:val="19"/>
          <w:szCs w:val="19"/>
          <w:color w:val="auto"/>
        </w:rPr>
      </w:pPr>
    </w:p>
    <w:p>
      <w:pPr>
        <w:ind w:left="927" w:hanging="618"/>
        <w:spacing w:after="0"/>
        <w:tabs>
          <w:tab w:leader="none" w:pos="927" w:val="left"/>
        </w:tabs>
        <w:numPr>
          <w:ilvl w:val="1"/>
          <w:numId w:val="79"/>
        </w:numPr>
        <w:rPr>
          <w:rFonts w:ascii="Calibri" w:cs="Calibri" w:eastAsia="Calibri" w:hAnsi="Calibri"/>
          <w:sz w:val="19"/>
          <w:szCs w:val="19"/>
          <w:color w:val="auto"/>
        </w:rPr>
      </w:pPr>
      <w:r>
        <w:rPr>
          <w:rFonts w:ascii="Calibri" w:cs="Calibri" w:eastAsia="Calibri" w:hAnsi="Calibri"/>
          <w:sz w:val="19"/>
          <w:szCs w:val="19"/>
          <w:color w:val="auto"/>
        </w:rPr>
        <w:t>Employee’s partcipaton in the Plan is voluntary;</w:t>
      </w:r>
    </w:p>
    <w:p>
      <w:pPr>
        <w:spacing w:after="0" w:line="161" w:lineRule="exact"/>
        <w:rPr>
          <w:rFonts w:ascii="Calibri" w:cs="Calibri" w:eastAsia="Calibri" w:hAnsi="Calibri"/>
          <w:sz w:val="19"/>
          <w:szCs w:val="19"/>
          <w:color w:val="auto"/>
        </w:rPr>
      </w:pPr>
    </w:p>
    <w:p>
      <w:pPr>
        <w:jc w:val="both"/>
        <w:ind w:left="927" w:hanging="618"/>
        <w:spacing w:after="0" w:line="205" w:lineRule="auto"/>
        <w:tabs>
          <w:tab w:leader="none" w:pos="922" w:val="left"/>
        </w:tabs>
        <w:numPr>
          <w:ilvl w:val="1"/>
          <w:numId w:val="79"/>
        </w:numPr>
        <w:rPr>
          <w:rFonts w:ascii="Calibri" w:cs="Calibri" w:eastAsia="Calibri" w:hAnsi="Calibri"/>
          <w:sz w:val="19"/>
          <w:szCs w:val="19"/>
          <w:color w:val="auto"/>
        </w:rPr>
      </w:pPr>
      <w:r>
        <w:rPr>
          <w:rFonts w:ascii="Calibri" w:cs="Calibri" w:eastAsia="Calibri" w:hAnsi="Calibri"/>
          <w:sz w:val="19"/>
          <w:szCs w:val="19"/>
          <w:color w:val="auto"/>
        </w:rPr>
        <w:t>the Restricted Stock Units and Employee’s partcipaton in the Plan shall not create a right to employment or be interpreted as forming an employment contract with the Company or any of its Subsidiaries or afliated companies and shall not interfere with the ability of the Company or the Employer, as applicable, to terminate Employee’s employment relatonship (as otherwise may be permited under local law);</w:t>
      </w:r>
    </w:p>
    <w:p>
      <w:pPr>
        <w:spacing w:after="0" w:line="174" w:lineRule="exact"/>
        <w:rPr>
          <w:rFonts w:ascii="Calibri" w:cs="Calibri" w:eastAsia="Calibri" w:hAnsi="Calibri"/>
          <w:sz w:val="19"/>
          <w:szCs w:val="19"/>
          <w:color w:val="auto"/>
        </w:rPr>
      </w:pPr>
    </w:p>
    <w:p>
      <w:pPr>
        <w:jc w:val="both"/>
        <w:ind w:left="927" w:hanging="618"/>
        <w:spacing w:after="0" w:line="206" w:lineRule="auto"/>
        <w:tabs>
          <w:tab w:leader="none" w:pos="926" w:val="left"/>
        </w:tabs>
        <w:numPr>
          <w:ilvl w:val="1"/>
          <w:numId w:val="79"/>
        </w:numPr>
        <w:rPr>
          <w:rFonts w:ascii="Calibri" w:cs="Calibri" w:eastAsia="Calibri" w:hAnsi="Calibri"/>
          <w:sz w:val="19"/>
          <w:szCs w:val="19"/>
          <w:color w:val="auto"/>
        </w:rPr>
      </w:pPr>
      <w:r>
        <w:rPr>
          <w:rFonts w:ascii="Calibri" w:cs="Calibri" w:eastAsia="Calibri" w:hAnsi="Calibri"/>
          <w:sz w:val="19"/>
          <w:szCs w:val="19"/>
          <w:color w:val="auto"/>
        </w:rPr>
        <w:t>unless otherwise agreed with the Company, the Restricted Stock Units and any shares of Stock acquired upon vestng of the Restricted Stock Units, and the income from and value of the same, are not granted as consideraton for, or in connecton with, any service Employee may provide as a director of any Subsidiary or afliate of the Company;</w:t>
      </w:r>
    </w:p>
    <w:p>
      <w:pPr>
        <w:spacing w:after="0" w:line="176" w:lineRule="exact"/>
        <w:rPr>
          <w:rFonts w:ascii="Calibri" w:cs="Calibri" w:eastAsia="Calibri" w:hAnsi="Calibri"/>
          <w:sz w:val="19"/>
          <w:szCs w:val="19"/>
          <w:color w:val="auto"/>
        </w:rPr>
      </w:pPr>
    </w:p>
    <w:p>
      <w:pPr>
        <w:jc w:val="both"/>
        <w:ind w:left="927" w:hanging="618"/>
        <w:spacing w:after="0" w:line="204" w:lineRule="auto"/>
        <w:tabs>
          <w:tab w:leader="none" w:pos="930" w:val="left"/>
        </w:tabs>
        <w:numPr>
          <w:ilvl w:val="1"/>
          <w:numId w:val="79"/>
        </w:numPr>
        <w:rPr>
          <w:rFonts w:ascii="Calibri" w:cs="Calibri" w:eastAsia="Calibri" w:hAnsi="Calibri"/>
          <w:sz w:val="19"/>
          <w:szCs w:val="19"/>
          <w:color w:val="auto"/>
        </w:rPr>
      </w:pPr>
      <w:r>
        <w:rPr>
          <w:rFonts w:ascii="Calibri" w:cs="Calibri" w:eastAsia="Calibri" w:hAnsi="Calibri"/>
          <w:sz w:val="19"/>
          <w:szCs w:val="19"/>
          <w:color w:val="auto"/>
        </w:rPr>
        <w:t>the Restricted Stock Units and any shares of Stock acquired under the Plan and the income and value of the same are not part of normal or expected compensaton for purposes of calculatng any severance, resignaton, terminaton, redundancy, dismissal, end-of-service payments, holiday pay, bonuses, long-service awards, pension or retrement or welfare benefts or similar payments and in no event should be considered as compensaton for, or relatng in any way to, past services for the Company, the Employer or any Subsidiary or afliate of the Company;</w:t>
      </w:r>
    </w:p>
    <w:p>
      <w:pPr>
        <w:spacing w:after="0" w:line="161" w:lineRule="exact"/>
        <w:rPr>
          <w:rFonts w:ascii="Calibri" w:cs="Calibri" w:eastAsia="Calibri" w:hAnsi="Calibri"/>
          <w:sz w:val="19"/>
          <w:szCs w:val="19"/>
          <w:color w:val="auto"/>
        </w:rPr>
      </w:pPr>
    </w:p>
    <w:p>
      <w:pPr>
        <w:ind w:left="927" w:hanging="618"/>
        <w:spacing w:after="0" w:line="216" w:lineRule="auto"/>
        <w:tabs>
          <w:tab w:leader="none" w:pos="927" w:val="left"/>
        </w:tabs>
        <w:numPr>
          <w:ilvl w:val="1"/>
          <w:numId w:val="79"/>
        </w:numPr>
        <w:rPr>
          <w:rFonts w:ascii="Calibri" w:cs="Calibri" w:eastAsia="Calibri" w:hAnsi="Calibri"/>
          <w:sz w:val="19"/>
          <w:szCs w:val="19"/>
          <w:color w:val="auto"/>
        </w:rPr>
      </w:pPr>
      <w:r>
        <w:rPr>
          <w:rFonts w:ascii="Calibri" w:cs="Calibri" w:eastAsia="Calibri" w:hAnsi="Calibri"/>
          <w:sz w:val="19"/>
          <w:szCs w:val="19"/>
          <w:color w:val="auto"/>
        </w:rPr>
        <w:t>the future value of the shares of Stock underlying the Restricted Stock Units is unknown, indeterminable, and cannot be predicted with certainty;</w:t>
      </w:r>
    </w:p>
    <w:p>
      <w:pPr>
        <w:spacing w:after="0" w:line="156" w:lineRule="exact"/>
        <w:rPr>
          <w:rFonts w:ascii="Calibri" w:cs="Calibri" w:eastAsia="Calibri" w:hAnsi="Calibri"/>
          <w:sz w:val="19"/>
          <w:szCs w:val="19"/>
          <w:color w:val="auto"/>
        </w:rPr>
      </w:pPr>
    </w:p>
    <w:p>
      <w:pPr>
        <w:ind w:left="927" w:hanging="618"/>
        <w:spacing w:after="0"/>
        <w:tabs>
          <w:tab w:leader="none" w:pos="927" w:val="left"/>
        </w:tabs>
        <w:numPr>
          <w:ilvl w:val="1"/>
          <w:numId w:val="79"/>
        </w:numPr>
        <w:rPr>
          <w:rFonts w:ascii="Calibri" w:cs="Calibri" w:eastAsia="Calibri" w:hAnsi="Calibri"/>
          <w:sz w:val="19"/>
          <w:szCs w:val="19"/>
          <w:color w:val="auto"/>
        </w:rPr>
      </w:pPr>
      <w:r>
        <w:rPr>
          <w:rFonts w:ascii="Calibri" w:cs="Calibri" w:eastAsia="Calibri" w:hAnsi="Calibri"/>
          <w:sz w:val="19"/>
          <w:szCs w:val="19"/>
          <w:color w:val="auto"/>
        </w:rPr>
        <w:t>upon vestng of the Restricted Stock Units, the value of such shares of Stock may increase or decrease in value;</w:t>
      </w:r>
    </w:p>
    <w:p>
      <w:pPr>
        <w:spacing w:after="0" w:line="173" w:lineRule="exact"/>
        <w:rPr>
          <w:rFonts w:ascii="Calibri" w:cs="Calibri" w:eastAsia="Calibri" w:hAnsi="Calibri"/>
          <w:sz w:val="19"/>
          <w:szCs w:val="19"/>
          <w:color w:val="auto"/>
        </w:rPr>
      </w:pPr>
    </w:p>
    <w:p>
      <w:pPr>
        <w:jc w:val="both"/>
        <w:ind w:left="927" w:hanging="618"/>
        <w:spacing w:after="0" w:line="205" w:lineRule="auto"/>
        <w:tabs>
          <w:tab w:leader="none" w:pos="929" w:val="left"/>
        </w:tabs>
        <w:numPr>
          <w:ilvl w:val="1"/>
          <w:numId w:val="79"/>
        </w:numPr>
        <w:rPr>
          <w:rFonts w:ascii="Calibri" w:cs="Calibri" w:eastAsia="Calibri" w:hAnsi="Calibri"/>
          <w:sz w:val="19"/>
          <w:szCs w:val="19"/>
          <w:color w:val="auto"/>
        </w:rPr>
      </w:pPr>
      <w:r>
        <w:rPr>
          <w:rFonts w:ascii="Calibri" w:cs="Calibri" w:eastAsia="Calibri" w:hAnsi="Calibri"/>
          <w:sz w:val="19"/>
          <w:szCs w:val="19"/>
          <w:color w:val="auto"/>
        </w:rPr>
        <w:t>no claim or enttlement to compensaton or damages shall arise from forfeiture of the Restricted Stock Units resultng from terminaton of Employee’s employment (for any reason whatsoever and whether or not in breach of local labor laws or later found invalid) and, in consideraton of the Restricted Stock Units, Employee agrees not to insttute any claim against the Company or the Employer;</w:t>
      </w:r>
    </w:p>
    <w:p>
      <w:pPr>
        <w:spacing w:after="0" w:line="174" w:lineRule="exact"/>
        <w:rPr>
          <w:rFonts w:ascii="Calibri" w:cs="Calibri" w:eastAsia="Calibri" w:hAnsi="Calibri"/>
          <w:sz w:val="19"/>
          <w:szCs w:val="19"/>
          <w:color w:val="auto"/>
        </w:rPr>
      </w:pPr>
    </w:p>
    <w:p>
      <w:pPr>
        <w:jc w:val="both"/>
        <w:ind w:left="927" w:hanging="618"/>
        <w:spacing w:after="0" w:line="205" w:lineRule="auto"/>
        <w:tabs>
          <w:tab w:leader="none" w:pos="926" w:val="left"/>
        </w:tabs>
        <w:numPr>
          <w:ilvl w:val="1"/>
          <w:numId w:val="79"/>
        </w:numPr>
        <w:rPr>
          <w:rFonts w:ascii="Calibri" w:cs="Calibri" w:eastAsia="Calibri" w:hAnsi="Calibri"/>
          <w:sz w:val="19"/>
          <w:szCs w:val="19"/>
          <w:color w:val="auto"/>
        </w:rPr>
      </w:pPr>
      <w:r>
        <w:rPr>
          <w:rFonts w:ascii="Calibri" w:cs="Calibri" w:eastAsia="Calibri" w:hAnsi="Calibri"/>
          <w:sz w:val="19"/>
          <w:szCs w:val="19"/>
          <w:color w:val="auto"/>
        </w:rPr>
        <w:t>the Restricted Stock Units and the benefts evidenced by this Agreement do not create any enttlement not otherwise specifcally provided for in the Plan or provided by the Company in its discreton, to have the Restricted Stock Units or any such benefts transferred to, or assumed by, another company, nor to be exchanged, cashed out or substtuted for, in connecton with any corporate transacton afectng the shares of Stock; and</w:t>
      </w:r>
    </w:p>
    <w:p>
      <w:pPr>
        <w:spacing w:after="0" w:line="161" w:lineRule="exact"/>
        <w:rPr>
          <w:rFonts w:ascii="Calibri" w:cs="Calibri" w:eastAsia="Calibri" w:hAnsi="Calibri"/>
          <w:sz w:val="19"/>
          <w:szCs w:val="19"/>
          <w:color w:val="auto"/>
        </w:rPr>
      </w:pPr>
    </w:p>
    <w:p>
      <w:pPr>
        <w:jc w:val="both"/>
        <w:ind w:left="927" w:hanging="618"/>
        <w:spacing w:after="0" w:line="205" w:lineRule="auto"/>
        <w:tabs>
          <w:tab w:leader="none" w:pos="921" w:val="left"/>
        </w:tabs>
        <w:numPr>
          <w:ilvl w:val="1"/>
          <w:numId w:val="79"/>
        </w:numPr>
        <w:rPr>
          <w:rFonts w:ascii="Calibri" w:cs="Calibri" w:eastAsia="Calibri" w:hAnsi="Calibri"/>
          <w:sz w:val="19"/>
          <w:szCs w:val="19"/>
          <w:color w:val="auto"/>
        </w:rPr>
      </w:pPr>
      <w:r>
        <w:rPr>
          <w:rFonts w:ascii="Calibri" w:cs="Calibri" w:eastAsia="Calibri" w:hAnsi="Calibri"/>
          <w:sz w:val="19"/>
          <w:szCs w:val="19"/>
          <w:color w:val="auto"/>
        </w:rPr>
        <w:t>neither the Company nor any of its Subsidiaries or afliated companies shall be liable for any foreign exchange rate fuctuaton between Employee’s local currency and the U.S. dollar that may afect the value of the Restricted Stock Units or any amounts due to Employee pursuant to the vestng of the Restricted Stock Units or the subsequent sale of any shares of Stock acquired upon vestng of the Restricted Stock Units.</w:t>
      </w:r>
    </w:p>
    <w:p>
      <w:pPr>
        <w:spacing w:after="0" w:line="174" w:lineRule="exact"/>
        <w:rPr>
          <w:rFonts w:ascii="Calibri" w:cs="Calibri" w:eastAsia="Calibri" w:hAnsi="Calibri"/>
          <w:sz w:val="19"/>
          <w:szCs w:val="19"/>
          <w:color w:val="auto"/>
        </w:rPr>
      </w:pPr>
    </w:p>
    <w:p>
      <w:pPr>
        <w:jc w:val="both"/>
        <w:ind w:left="307" w:hanging="307"/>
        <w:spacing w:after="0" w:line="201" w:lineRule="auto"/>
        <w:tabs>
          <w:tab w:leader="none" w:pos="307" w:val="left"/>
        </w:tabs>
        <w:numPr>
          <w:ilvl w:val="0"/>
          <w:numId w:val="80"/>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Data Privacy</w:t>
      </w:r>
      <w:r>
        <w:rPr>
          <w:rFonts w:ascii="Calibri" w:cs="Calibri" w:eastAsia="Calibri" w:hAnsi="Calibri"/>
          <w:sz w:val="19"/>
          <w:szCs w:val="19"/>
          <w:color w:val="auto"/>
        </w:rPr>
        <w:t>.</w:t>
      </w:r>
      <w:r>
        <w:rPr>
          <w:rFonts w:ascii="Calibri" w:cs="Calibri" w:eastAsia="Calibri" w:hAnsi="Calibri"/>
          <w:sz w:val="19"/>
          <w:szCs w:val="19"/>
          <w:b w:val="1"/>
          <w:bCs w:val="1"/>
          <w:color w:val="auto"/>
        </w:rPr>
        <w:t xml:space="preserve"> </w:t>
      </w:r>
      <w:r>
        <w:rPr>
          <w:rFonts w:ascii="Calibri" w:cs="Calibri" w:eastAsia="Calibri" w:hAnsi="Calibri"/>
          <w:sz w:val="19"/>
          <w:szCs w:val="19"/>
          <w:i w:val="1"/>
          <w:iCs w:val="1"/>
          <w:color w:val="auto"/>
        </w:rPr>
        <w:t>Employee understands that the Company, its Subsidiaries and afliated companies and/or the Employer may hold certain</w:t>
      </w:r>
      <w:r>
        <w:rPr>
          <w:rFonts w:ascii="Calibri" w:cs="Calibri" w:eastAsia="Calibri" w:hAnsi="Calibri"/>
          <w:sz w:val="19"/>
          <w:szCs w:val="19"/>
          <w:b w:val="1"/>
          <w:bCs w:val="1"/>
          <w:color w:val="auto"/>
        </w:rPr>
        <w:t xml:space="preserve"> </w:t>
      </w:r>
      <w:r>
        <w:rPr>
          <w:rFonts w:ascii="Calibri" w:cs="Calibri" w:eastAsia="Calibri" w:hAnsi="Calibri"/>
          <w:sz w:val="19"/>
          <w:szCs w:val="19"/>
          <w:i w:val="1"/>
          <w:iCs w:val="1"/>
          <w:color w:val="auto"/>
        </w:rPr>
        <w:t>personal informaton about Employee, specifcally: Employee’s name, home address, email address and telephone number, date of birth, social security or insurance number, passport number or other identfcaton number, salary, natonality, and any shares of Stock or directorships held in the Company, and details of the Restricted Stock Units or any other enttlement to shares of Stock, canceled, exercised, vested, unvested or outstanding in Employee’s favor (“Data”), for the purpose of implementng, administering and managing the Plan. More informaton about how the Company collects, processes, protects, and transfers Data, as well as the rights of Employees in relaton to their Data, is found in the Employee Privacy Notce available on HalWorld.</w:t>
      </w:r>
    </w:p>
    <w:p>
      <w:pPr>
        <w:spacing w:after="0" w:line="200" w:lineRule="exact"/>
        <w:rPr>
          <w:rFonts w:ascii="Calibri" w:cs="Calibri" w:eastAsia="Calibri" w:hAnsi="Calibri"/>
          <w:sz w:val="19"/>
          <w:szCs w:val="19"/>
          <w:color w:val="auto"/>
        </w:rPr>
      </w:pPr>
    </w:p>
    <w:p>
      <w:pPr>
        <w:jc w:val="both"/>
        <w:ind w:left="307"/>
        <w:spacing w:after="0" w:line="205" w:lineRule="auto"/>
        <w:rPr>
          <w:rFonts w:ascii="Calibri" w:cs="Calibri" w:eastAsia="Calibri" w:hAnsi="Calibri"/>
          <w:sz w:val="19"/>
          <w:szCs w:val="19"/>
          <w:color w:val="auto"/>
        </w:rPr>
      </w:pPr>
      <w:r>
        <w:rPr>
          <w:rFonts w:ascii="Calibri" w:cs="Calibri" w:eastAsia="Calibri" w:hAnsi="Calibri"/>
          <w:sz w:val="19"/>
          <w:szCs w:val="19"/>
          <w:i w:val="1"/>
          <w:iCs w:val="1"/>
          <w:color w:val="auto"/>
        </w:rPr>
        <w:t>Employee hereby explicitly and unambiguously consents to the collecton, use and transfer, in electronic or other form, of Employee’s Data as described in this Agreement and any other grant materials by and among, as necessary and applicable, the Company and any of its Subsidiaries or afliated companies, for the exclusive purpose of implementng, administering and managing Employee’s partcipaton in the Plan.</w:t>
      </w:r>
    </w:p>
    <w:p>
      <w:pPr>
        <w:sectPr>
          <w:pgSz w:w="11900" w:h="16838" w:orient="portrait"/>
          <w:cols w:equalWidth="0" w:num="1">
            <w:col w:w="10927"/>
          </w:cols>
          <w:pgMar w:left="633" w:top="707" w:right="339" w:bottom="1440" w:gutter="0" w:footer="0" w:header="0"/>
        </w:sectPr>
      </w:pPr>
    </w:p>
    <w:bookmarkStart w:id="127" w:name="page128"/>
    <w:bookmarkEnd w:id="127"/>
    <w:p>
      <w:pPr>
        <w:jc w:val="both"/>
        <w:ind w:left="307"/>
        <w:spacing w:after="0" w:line="199" w:lineRule="auto"/>
        <w:rPr>
          <w:sz w:val="20"/>
          <w:szCs w:val="20"/>
          <w:color w:val="auto"/>
        </w:rPr>
      </w:pPr>
      <w:r>
        <w:rPr>
          <w:rFonts w:ascii="Calibri" w:cs="Calibri" w:eastAsia="Calibri" w:hAnsi="Calibri"/>
          <w:sz w:val="19"/>
          <w:szCs w:val="19"/>
          <w:i w:val="1"/>
          <w:iCs w:val="1"/>
          <w:color w:val="auto"/>
        </w:rPr>
        <w:t>Employee understands that Data will be transferred to the stock brokerage or other fnancial or administratve services frm designated by the Company (the “Stock Plan Administrator”) which is assistng the Company with the implementaton, administraton and management of the Plan. Employee authorizes the Company, the Company’s Stock Plan Administrator and any other possible recipients that may assist the Company (presently or in the future) with implementng, administering and managing the Plan to receive, possess, use, retain and transfer Data, in electronic or other form, for the sole purpose of implementng, administering and managing Employee’s partcipaton in the Plan. Further, Employee understands that Employee is providing the consents herein on a purely voluntary basis. If Employee does not consent, or if Employee later seeks to revoke his or her consent, Employee’s service status and career will not be afected; the only consequence of refusing or withdrawing Employee’s consent is that the Company would not be able to grant Employee the Restricted Stock Units or other equity awards or administer or maintain such awards. Therefore, Employee understands that refusing or withdrawing his or her consent may afect Employee’s ability to partcipate in the Plan.</w:t>
      </w:r>
    </w:p>
    <w:p>
      <w:pPr>
        <w:spacing w:after="0" w:line="140" w:lineRule="exact"/>
        <w:rPr>
          <w:sz w:val="20"/>
          <w:szCs w:val="20"/>
          <w:color w:val="auto"/>
        </w:rPr>
      </w:pPr>
    </w:p>
    <w:p>
      <w:pPr>
        <w:jc w:val="both"/>
        <w:ind w:left="307" w:hanging="307"/>
        <w:spacing w:after="0" w:line="198" w:lineRule="auto"/>
        <w:tabs>
          <w:tab w:leader="none" w:pos="307" w:val="left"/>
        </w:tabs>
        <w:numPr>
          <w:ilvl w:val="0"/>
          <w:numId w:val="81"/>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Insider Trading; Market Abuse Laws</w:t>
      </w:r>
      <w:r>
        <w:rPr>
          <w:rFonts w:ascii="Calibri" w:cs="Calibri" w:eastAsia="Calibri" w:hAnsi="Calibri"/>
          <w:sz w:val="19"/>
          <w:szCs w:val="19"/>
          <w:color w:val="auto"/>
        </w:rPr>
        <w:t>. By partcipatng in the Plan, Employee agrees to comply with the Company’s policy on insider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trading. Employee further acknowledges that, depending on Employee’s or his or her broker’s country of residence or where the shares of Stock are listed, Employee may be subject to insider trading restrictons and/or market abuse laws that may afect Employee’s ability to accept, acquire, sell or otherwise dispose of shares of Stock, rights to shares of Stock (e.g., restricted stock units) or rights linked to the value of shares of Stock, during such tmes Employee is considered to have “inside informaton” regarding the Company as defned by the laws or regulatons in Employee’s country. Local insider trading laws and regulatons may prohibit the cancellaton or amendment of orders Employee places before he or she possessed inside informaton. Furthermore, Employee could be prohibited from (i) disclosing the inside informaton to any third party (other than on a “need to know” basis) and (ii) ”tpping” third partes or causing them otherwise to buy or sell securites. Employee understands that third partes include fellow employees. Any restricton under these laws or regulatons are separate from and in additon to any restrictons that may be imposed under any applicable Company insider trading policy. Employee acknowledges that it is Employee’s responsibility to comply with any applicable restrictons, and that Employee should therefore consult Employee’s personal advisor on this mater.</w:t>
      </w:r>
    </w:p>
    <w:p>
      <w:pPr>
        <w:spacing w:after="0" w:line="204" w:lineRule="exact"/>
        <w:rPr>
          <w:rFonts w:ascii="Calibri" w:cs="Calibri" w:eastAsia="Calibri" w:hAnsi="Calibri"/>
          <w:sz w:val="19"/>
          <w:szCs w:val="19"/>
          <w:color w:val="auto"/>
        </w:rPr>
      </w:pPr>
    </w:p>
    <w:p>
      <w:pPr>
        <w:jc w:val="both"/>
        <w:ind w:left="307" w:hanging="307"/>
        <w:spacing w:after="0" w:line="199" w:lineRule="auto"/>
        <w:tabs>
          <w:tab w:leader="none" w:pos="307" w:val="left"/>
        </w:tabs>
        <w:numPr>
          <w:ilvl w:val="0"/>
          <w:numId w:val="81"/>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Electronic Delivery and Partcipaton</w:t>
      </w:r>
      <w:r>
        <w:rPr>
          <w:rFonts w:ascii="Calibri" w:cs="Calibri" w:eastAsia="Calibri" w:hAnsi="Calibri"/>
          <w:sz w:val="19"/>
          <w:szCs w:val="19"/>
          <w:color w:val="auto"/>
        </w:rPr>
        <w:t>. Employee agrees, to the fullest extent permited by law, in lieu of receiving documents in paper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format, to accept electronic delivery of any documents that the Company and its Subsidiaries or afliated companies may deliver in connecton with this grant and any other grants ofered by the Company, including prospectuses, grant notfcatons, account statements, annual or quarterly reports, and other communicatons. Electronic delivery of a document may be made via the Company’s email system or by reference to a locaton on the Company’s intranet or website or a website of the Company’s agent administering the Plan. By acceptng this grant, whether electronically or otherwise, Employee also hereby consents to partcipate in the Plan through such system, intranet, or website, including but not limited to the use of electronic signatures or click-through electronic acceptance of terms and conditons.</w:t>
      </w:r>
    </w:p>
    <w:p>
      <w:pPr>
        <w:spacing w:after="0" w:line="201" w:lineRule="exact"/>
        <w:rPr>
          <w:rFonts w:ascii="Calibri" w:cs="Calibri" w:eastAsia="Calibri" w:hAnsi="Calibri"/>
          <w:sz w:val="19"/>
          <w:szCs w:val="19"/>
          <w:color w:val="auto"/>
        </w:rPr>
      </w:pPr>
    </w:p>
    <w:p>
      <w:pPr>
        <w:jc w:val="both"/>
        <w:ind w:left="307" w:hanging="307"/>
        <w:spacing w:after="0" w:line="201" w:lineRule="auto"/>
        <w:tabs>
          <w:tab w:leader="none" w:pos="307" w:val="left"/>
        </w:tabs>
        <w:numPr>
          <w:ilvl w:val="0"/>
          <w:numId w:val="81"/>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English Language</w:t>
      </w:r>
      <w:r>
        <w:rPr>
          <w:rFonts w:ascii="Calibri" w:cs="Calibri" w:eastAsia="Calibri" w:hAnsi="Calibri"/>
          <w:sz w:val="19"/>
          <w:szCs w:val="19"/>
          <w:color w:val="auto"/>
        </w:rPr>
        <w:t>. Employee acknowledges and agrees that it is Employee’s express intent that this Agreement and the Plan and all</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other documents, notces and legal proceedings entered into, given or insttuted pursuant to the Restricted Stock Units be drawn up in English. Employee acknowledges that Employee is sufciently profcient in English, or has consulted with an advisor who is sufciently profcient in English, so as to allow Employee to understand the terms and conditons of this Agreement. To the extent Employee has been provided with a copy of this Agreement, the Plan, or any other documents relatng to this Award in a language other than English, the English language documents will prevail in case of any ambiguites or divergences as a result of translaton.</w:t>
      </w:r>
    </w:p>
    <w:p>
      <w:pPr>
        <w:spacing w:after="0" w:line="201" w:lineRule="exact"/>
        <w:rPr>
          <w:rFonts w:ascii="Calibri" w:cs="Calibri" w:eastAsia="Calibri" w:hAnsi="Calibri"/>
          <w:sz w:val="19"/>
          <w:szCs w:val="19"/>
          <w:color w:val="auto"/>
        </w:rPr>
      </w:pPr>
    </w:p>
    <w:p>
      <w:pPr>
        <w:jc w:val="both"/>
        <w:ind w:left="307" w:hanging="307"/>
        <w:spacing w:after="0" w:line="201" w:lineRule="auto"/>
        <w:tabs>
          <w:tab w:leader="none" w:pos="307" w:val="left"/>
        </w:tabs>
        <w:numPr>
          <w:ilvl w:val="0"/>
          <w:numId w:val="81"/>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Addendum</w:t>
      </w:r>
      <w:r>
        <w:rPr>
          <w:rFonts w:ascii="Calibri" w:cs="Calibri" w:eastAsia="Calibri" w:hAnsi="Calibri"/>
          <w:sz w:val="19"/>
          <w:szCs w:val="19"/>
          <w:color w:val="auto"/>
        </w:rPr>
        <w:t>. Notwithstanding any provisions in this Agreement, the Restricted Stock Units shall be subject to any special terms and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conditons set forth in the Country-Specifc Addendum to this Agreement (the “Addendum”). Moreover, if Employee transfers to one of the countries included in such Addendum, the special terms and conditons for such country will apply to Employee, to the extent the Company determines that the applicaton of such terms and conditons is necessary or advisable to comply with local law or to facilitate the administraton of the Plan (or the Company may establish alternatve terms and conditons as may be necessary or advisable to accommodate Employee’s transfer). The Addendum consttutes part of this Agreement.</w:t>
      </w:r>
    </w:p>
    <w:p>
      <w:pPr>
        <w:spacing w:after="0" w:line="201" w:lineRule="exact"/>
        <w:rPr>
          <w:rFonts w:ascii="Calibri" w:cs="Calibri" w:eastAsia="Calibri" w:hAnsi="Calibri"/>
          <w:sz w:val="19"/>
          <w:szCs w:val="19"/>
          <w:color w:val="auto"/>
        </w:rPr>
      </w:pPr>
    </w:p>
    <w:p>
      <w:pPr>
        <w:jc w:val="both"/>
        <w:ind w:left="307" w:hanging="307"/>
        <w:spacing w:after="0" w:line="201" w:lineRule="auto"/>
        <w:tabs>
          <w:tab w:leader="none" w:pos="307" w:val="left"/>
        </w:tabs>
        <w:numPr>
          <w:ilvl w:val="0"/>
          <w:numId w:val="81"/>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Not a Public Ofering</w:t>
      </w:r>
      <w:r>
        <w:rPr>
          <w:rFonts w:ascii="Calibri" w:cs="Calibri" w:eastAsia="Calibri" w:hAnsi="Calibri"/>
          <w:sz w:val="19"/>
          <w:szCs w:val="19"/>
          <w:color w:val="auto"/>
        </w:rPr>
        <w:t>. The award of the Restricted Stock Units is not intended to be a public ofering of securites in Employee’s country</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 xml:space="preserve">of employment (or country of residence, if diferent). The Company has not submited any registraton statement, prospectus or other flings with the local securites authorites (unless otherwise required under local law), and the award of the Restricted Stock Units is not subject to the supervision of the local securites authorites. </w:t>
      </w:r>
      <w:r>
        <w:rPr>
          <w:rFonts w:ascii="Calibri" w:cs="Calibri" w:eastAsia="Calibri" w:hAnsi="Calibri"/>
          <w:sz w:val="19"/>
          <w:szCs w:val="19"/>
          <w:i w:val="1"/>
          <w:iCs w:val="1"/>
          <w:color w:val="auto"/>
        </w:rPr>
        <w:t>No employee of the Company or any of its Subsidiaries or afliated</w:t>
      </w:r>
      <w:r>
        <w:rPr>
          <w:rFonts w:ascii="Calibri" w:cs="Calibri" w:eastAsia="Calibri" w:hAnsi="Calibri"/>
          <w:sz w:val="19"/>
          <w:szCs w:val="19"/>
          <w:color w:val="auto"/>
        </w:rPr>
        <w:t xml:space="preserve"> </w:t>
      </w:r>
      <w:r>
        <w:rPr>
          <w:rFonts w:ascii="Calibri" w:cs="Calibri" w:eastAsia="Calibri" w:hAnsi="Calibri"/>
          <w:sz w:val="19"/>
          <w:szCs w:val="19"/>
          <w:i w:val="1"/>
          <w:iCs w:val="1"/>
          <w:color w:val="auto"/>
        </w:rPr>
        <w:t>companies is permited to advise Employee on whether he/she should partcipate in the Plan. Acquiring shares of Stock involves a degree of risk. Before deciding to partcipate in the Plan, Employee should carefully consider all risk factors relevant to the acquisiton of shares of Stock under the Plan and carefully review all of the materials</w:t>
      </w:r>
    </w:p>
    <w:p>
      <w:pPr>
        <w:sectPr>
          <w:pgSz w:w="11900" w:h="16838" w:orient="portrait"/>
          <w:cols w:equalWidth="0" w:num="1">
            <w:col w:w="10927"/>
          </w:cols>
          <w:pgMar w:left="633" w:top="707" w:right="339" w:bottom="1440" w:gutter="0" w:footer="0" w:header="0"/>
        </w:sectPr>
      </w:pPr>
    </w:p>
    <w:bookmarkStart w:id="128" w:name="page129"/>
    <w:bookmarkEnd w:id="128"/>
    <w:p>
      <w:pPr>
        <w:ind w:left="307"/>
        <w:spacing w:after="0" w:line="216" w:lineRule="auto"/>
        <w:rPr>
          <w:sz w:val="20"/>
          <w:szCs w:val="20"/>
          <w:color w:val="auto"/>
        </w:rPr>
      </w:pPr>
      <w:r>
        <w:rPr>
          <w:rFonts w:ascii="Calibri" w:cs="Calibri" w:eastAsia="Calibri" w:hAnsi="Calibri"/>
          <w:sz w:val="19"/>
          <w:szCs w:val="19"/>
          <w:i w:val="1"/>
          <w:iCs w:val="1"/>
          <w:color w:val="auto"/>
        </w:rPr>
        <w:t>related to the Restricted Stock Units and the Plan. In additon, Employee should consult with his/her personal advisor for professional investment advice.</w:t>
      </w:r>
    </w:p>
    <w:p>
      <w:pPr>
        <w:spacing w:after="0" w:line="188" w:lineRule="exact"/>
        <w:rPr>
          <w:sz w:val="20"/>
          <w:szCs w:val="20"/>
          <w:color w:val="auto"/>
        </w:rPr>
      </w:pPr>
    </w:p>
    <w:p>
      <w:pPr>
        <w:jc w:val="both"/>
        <w:ind w:left="307" w:hanging="307"/>
        <w:spacing w:after="0" w:line="229" w:lineRule="auto"/>
        <w:tabs>
          <w:tab w:leader="none" w:pos="307" w:val="left"/>
        </w:tabs>
        <w:numPr>
          <w:ilvl w:val="0"/>
          <w:numId w:val="82"/>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Repatriaton; Compliance with Law</w:t>
      </w:r>
      <w:r>
        <w:rPr>
          <w:rFonts w:ascii="Calibri" w:cs="Calibri" w:eastAsia="Calibri" w:hAnsi="Calibri"/>
          <w:sz w:val="19"/>
          <w:szCs w:val="19"/>
          <w:color w:val="auto"/>
        </w:rPr>
        <w:t>. Employee agrees to repatriate all payments atributable to the shares of Stock and/or cash</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acquired under the Plan in accordance with applicable foreign exchange rules and regulatons in Employee’s country of employment (and country of residence, if diferent). In additon, Employee agrees to take any and all actons, and consent to any and all actons taken by the Company and any of its Subsidiaries and afliated companies, as may be required to allow the Company and any of its Subsidiaries and afliated companies to comply with local laws, rules and/or regulatons in Employee’s country of employment (and country of residence, if diferent). Finally, Employee agrees to take any and all actons as may be required to comply with Employee’s personal obligatons under local laws, rules and/or regulatons in Employee’s country of employment and country of residence, if diferent).</w:t>
      </w:r>
    </w:p>
    <w:p>
      <w:pPr>
        <w:spacing w:after="0" w:line="204" w:lineRule="exact"/>
        <w:rPr>
          <w:rFonts w:ascii="Calibri" w:cs="Calibri" w:eastAsia="Calibri" w:hAnsi="Calibri"/>
          <w:sz w:val="19"/>
          <w:szCs w:val="19"/>
          <w:color w:val="auto"/>
        </w:rPr>
      </w:pPr>
    </w:p>
    <w:p>
      <w:pPr>
        <w:jc w:val="both"/>
        <w:ind w:left="307" w:hanging="307"/>
        <w:spacing w:after="0" w:line="205" w:lineRule="auto"/>
        <w:tabs>
          <w:tab w:leader="none" w:pos="307" w:val="left"/>
        </w:tabs>
        <w:numPr>
          <w:ilvl w:val="0"/>
          <w:numId w:val="82"/>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Impositon of Other Requirements</w:t>
      </w:r>
      <w:r>
        <w:rPr>
          <w:rFonts w:ascii="Calibri" w:cs="Calibri" w:eastAsia="Calibri" w:hAnsi="Calibri"/>
          <w:sz w:val="19"/>
          <w:szCs w:val="19"/>
          <w:color w:val="auto"/>
        </w:rPr>
        <w:t>. The Company reserves the right to impose other requirements on Employee’s partcipaton in the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Plan, on the Restricted Stock Units, and on any shares of Stock acquired under the Plan, to the extent the Company determines it is necessary or advisable for legal or administratve reasons, and to require Employee to sign any additonal agreements or undertakings that may be necessary to accomplish the foregoing.</w:t>
      </w:r>
    </w:p>
    <w:p>
      <w:pPr>
        <w:spacing w:after="0" w:line="187" w:lineRule="exact"/>
        <w:rPr>
          <w:rFonts w:ascii="Calibri" w:cs="Calibri" w:eastAsia="Calibri" w:hAnsi="Calibri"/>
          <w:sz w:val="19"/>
          <w:szCs w:val="19"/>
          <w:color w:val="auto"/>
        </w:rPr>
      </w:pPr>
    </w:p>
    <w:p>
      <w:pPr>
        <w:jc w:val="both"/>
        <w:ind w:left="307" w:hanging="307"/>
        <w:spacing w:after="0" w:line="205" w:lineRule="auto"/>
        <w:tabs>
          <w:tab w:leader="none" w:pos="307" w:val="left"/>
        </w:tabs>
        <w:numPr>
          <w:ilvl w:val="0"/>
          <w:numId w:val="82"/>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Commitee’s Powers</w:t>
      </w:r>
      <w:r>
        <w:rPr>
          <w:rFonts w:ascii="Calibri" w:cs="Calibri" w:eastAsia="Calibri" w:hAnsi="Calibri"/>
          <w:sz w:val="19"/>
          <w:szCs w:val="19"/>
          <w:color w:val="auto"/>
        </w:rPr>
        <w:t>. No provision contained in this Agreement shall in any way terminate, modify or alter, or be construed or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interpreted as terminatng, modifying or altering any of the powers, rights or authority vested in the Commitee or, to the extent delegated, in its delegate, pursuant to the terms of the Plan or resolutons adopted in furtherance of the Plan, including, without limitaton, the right to make certain determinatons and electons with respect to the Restricted Stock Units.</w:t>
      </w:r>
    </w:p>
    <w:p>
      <w:pPr>
        <w:spacing w:after="0" w:line="200" w:lineRule="exact"/>
        <w:rPr>
          <w:rFonts w:ascii="Calibri" w:cs="Calibri" w:eastAsia="Calibri" w:hAnsi="Calibri"/>
          <w:sz w:val="19"/>
          <w:szCs w:val="19"/>
          <w:color w:val="auto"/>
        </w:rPr>
      </w:pPr>
    </w:p>
    <w:p>
      <w:pPr>
        <w:ind w:left="307" w:hanging="307"/>
        <w:spacing w:after="0" w:line="210" w:lineRule="auto"/>
        <w:tabs>
          <w:tab w:leader="none" w:pos="307" w:val="left"/>
        </w:tabs>
        <w:numPr>
          <w:ilvl w:val="0"/>
          <w:numId w:val="82"/>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Binding Efect</w:t>
      </w:r>
      <w:r>
        <w:rPr>
          <w:rFonts w:ascii="Calibri" w:cs="Calibri" w:eastAsia="Calibri" w:hAnsi="Calibri"/>
          <w:sz w:val="19"/>
          <w:szCs w:val="19"/>
          <w:color w:val="auto"/>
        </w:rPr>
        <w:t>. This Agreement shall be binding upon and inure to the beneft of any successors to the Company and all persons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lawfully claiming under Employee.</w:t>
      </w:r>
    </w:p>
    <w:p>
      <w:pPr>
        <w:spacing w:after="0" w:line="193" w:lineRule="exact"/>
        <w:rPr>
          <w:rFonts w:ascii="Calibri" w:cs="Calibri" w:eastAsia="Calibri" w:hAnsi="Calibri"/>
          <w:sz w:val="19"/>
          <w:szCs w:val="19"/>
          <w:color w:val="auto"/>
        </w:rPr>
      </w:pPr>
    </w:p>
    <w:p>
      <w:pPr>
        <w:ind w:left="307" w:hanging="307"/>
        <w:spacing w:after="0"/>
        <w:tabs>
          <w:tab w:leader="none" w:pos="307" w:val="left"/>
        </w:tabs>
        <w:numPr>
          <w:ilvl w:val="0"/>
          <w:numId w:val="82"/>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Governing Law and Forum</w:t>
      </w:r>
      <w:r>
        <w:rPr>
          <w:rFonts w:ascii="Calibri" w:cs="Calibri" w:eastAsia="Calibri" w:hAnsi="Calibri"/>
          <w:sz w:val="19"/>
          <w:szCs w:val="19"/>
          <w:color w:val="auto"/>
        </w:rPr>
        <w:t>.</w:t>
      </w:r>
    </w:p>
    <w:p>
      <w:pPr>
        <w:spacing w:after="0" w:line="199" w:lineRule="exact"/>
        <w:rPr>
          <w:rFonts w:ascii="Calibri" w:cs="Calibri" w:eastAsia="Calibri" w:hAnsi="Calibri"/>
          <w:sz w:val="19"/>
          <w:szCs w:val="19"/>
          <w:color w:val="auto"/>
        </w:rPr>
      </w:pPr>
    </w:p>
    <w:p>
      <w:pPr>
        <w:jc w:val="both"/>
        <w:ind w:left="927" w:hanging="309"/>
        <w:spacing w:after="0" w:line="206" w:lineRule="auto"/>
        <w:tabs>
          <w:tab w:leader="none" w:pos="931" w:val="left"/>
        </w:tabs>
        <w:numPr>
          <w:ilvl w:val="1"/>
          <w:numId w:val="82"/>
        </w:numPr>
        <w:rPr>
          <w:rFonts w:ascii="Calibri" w:cs="Calibri" w:eastAsia="Calibri" w:hAnsi="Calibri"/>
          <w:sz w:val="19"/>
          <w:szCs w:val="19"/>
          <w:color w:val="auto"/>
        </w:rPr>
      </w:pPr>
      <w:r>
        <w:rPr>
          <w:rFonts w:ascii="Calibri" w:cs="Calibri" w:eastAsia="Calibri" w:hAnsi="Calibri"/>
          <w:sz w:val="19"/>
          <w:szCs w:val="19"/>
          <w:color w:val="auto"/>
        </w:rPr>
        <w:t>Except as set forth in Paragraph 21(c), this Agreement shall be governed by, and construed in accordance with, the laws of the State of Texas without regard to principles of confict of laws, except to the extent that it implicates maters which are the subject of the General Corporaton Law of the State of Delaware, which maters shall be governed by the later law.</w:t>
      </w:r>
    </w:p>
    <w:p>
      <w:pPr>
        <w:spacing w:after="0" w:line="2" w:lineRule="exact"/>
        <w:rPr>
          <w:rFonts w:ascii="Calibri" w:cs="Calibri" w:eastAsia="Calibri" w:hAnsi="Calibri"/>
          <w:sz w:val="19"/>
          <w:szCs w:val="19"/>
          <w:color w:val="auto"/>
        </w:rPr>
      </w:pPr>
    </w:p>
    <w:p>
      <w:pPr>
        <w:jc w:val="both"/>
        <w:ind w:left="927" w:hanging="309"/>
        <w:spacing w:after="0" w:line="195" w:lineRule="auto"/>
        <w:tabs>
          <w:tab w:leader="none" w:pos="980" w:val="left"/>
        </w:tabs>
        <w:numPr>
          <w:ilvl w:val="1"/>
          <w:numId w:val="82"/>
        </w:numPr>
        <w:rPr>
          <w:rFonts w:ascii="Calibri" w:cs="Calibri" w:eastAsia="Calibri" w:hAnsi="Calibri"/>
          <w:sz w:val="19"/>
          <w:szCs w:val="19"/>
          <w:color w:val="auto"/>
        </w:rPr>
      </w:pPr>
      <w:r>
        <w:rPr>
          <w:rFonts w:ascii="Calibri" w:cs="Calibri" w:eastAsia="Calibri" w:hAnsi="Calibri"/>
          <w:sz w:val="19"/>
          <w:szCs w:val="19"/>
          <w:color w:val="auto"/>
        </w:rPr>
        <w:t>For purposes of resolving any dispute that may arise directly or indirectly from this Agreement, the partes hereby agree that any such dispute that cannot be resolved by the partes shall be submited for resoluton through the Halliburton Dispute Resoluton Program, pursuant to which the last step is fnal and binding arbitraton. Notwithstanding the foregoing, the partes agree that in additon to any other rights or remedies they may have, that either party shall be enttled, if it so elects, to insttute a proceeding in any court of competent jurisdicton to obtain a preliminary injuncton (with each waiving the other’s obligaton, if any, to post bond) in order to prevent actvites in violaton of the Agreement and to maintain the status quo pending resoluton of the partes’ dispute in accordance with the Halliburton Dispute Resoluton Program.</w:t>
      </w:r>
    </w:p>
    <w:p>
      <w:pPr>
        <w:spacing w:after="0" w:line="1" w:lineRule="exact"/>
        <w:rPr>
          <w:rFonts w:ascii="Calibri" w:cs="Calibri" w:eastAsia="Calibri" w:hAnsi="Calibri"/>
          <w:sz w:val="19"/>
          <w:szCs w:val="19"/>
          <w:color w:val="auto"/>
        </w:rPr>
      </w:pPr>
    </w:p>
    <w:p>
      <w:pPr>
        <w:jc w:val="both"/>
        <w:ind w:left="927" w:hanging="309"/>
        <w:spacing w:after="0" w:line="198" w:lineRule="auto"/>
        <w:tabs>
          <w:tab w:leader="none" w:pos="920" w:val="left"/>
        </w:tabs>
        <w:numPr>
          <w:ilvl w:val="1"/>
          <w:numId w:val="82"/>
        </w:numPr>
        <w:rPr>
          <w:rFonts w:ascii="Calibri" w:cs="Calibri" w:eastAsia="Calibri" w:hAnsi="Calibri"/>
          <w:sz w:val="19"/>
          <w:szCs w:val="19"/>
          <w:color w:val="auto"/>
        </w:rPr>
      </w:pPr>
      <w:r>
        <w:rPr>
          <w:rFonts w:ascii="Calibri" w:cs="Calibri" w:eastAsia="Calibri" w:hAnsi="Calibri"/>
          <w:sz w:val="19"/>
          <w:szCs w:val="19"/>
          <w:color w:val="auto"/>
        </w:rPr>
        <w:t>If Employee’s ongoing (not temporary or business travel) assignment is in California, Colorado, Louisiana or North Dakota, then Paragraph 5 shall be governed by, and construed in accordance with, the laws of California, Colorado, Louisiana or North Dakota, respectvely.</w:t>
      </w:r>
    </w:p>
    <w:p>
      <w:pPr>
        <w:spacing w:after="0" w:line="187" w:lineRule="exact"/>
        <w:rPr>
          <w:rFonts w:ascii="Calibri" w:cs="Calibri" w:eastAsia="Calibri" w:hAnsi="Calibri"/>
          <w:sz w:val="19"/>
          <w:szCs w:val="19"/>
          <w:color w:val="auto"/>
        </w:rPr>
      </w:pPr>
    </w:p>
    <w:p>
      <w:pPr>
        <w:jc w:val="both"/>
        <w:ind w:left="307" w:hanging="307"/>
        <w:spacing w:after="0" w:line="200" w:lineRule="auto"/>
        <w:tabs>
          <w:tab w:leader="none" w:pos="307" w:val="left"/>
        </w:tabs>
        <w:numPr>
          <w:ilvl w:val="0"/>
          <w:numId w:val="82"/>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U.S. Federal Defend Trade Secrets Act Notce</w:t>
      </w:r>
      <w:r>
        <w:rPr>
          <w:rFonts w:ascii="Calibri" w:cs="Calibri" w:eastAsia="Calibri" w:hAnsi="Calibri"/>
          <w:sz w:val="19"/>
          <w:szCs w:val="19"/>
          <w:color w:val="auto"/>
        </w:rPr>
        <w:t>. Employee is hereby notfed in accordance with the Defend Trade Secrets Act of 2016</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that Employee will not be held criminally or civilly liable under any U.S. federal or state trade secret law for the disclosure of a trade secret that is made in confdence to a U.S. federal, state, or local government ofcial, either directly or indirectly, or to an atorney solely for the purpose of reportng or investgatng a suspected violaton of law, or is made in a complaint or other document that is fled under seal in a lawsuit or other proceeding. If Employee fles a lawsuit for retaliaton against the Company for reportng a suspected violaton of law, Employee may disclose the Company’s trade secrets to the Employee’s atorney and use the trade secret informaton in the court proceeding if the Employee fles any document containing the trade secret under seal, and does not disclose the trade secret, except pursuant to court order.</w:t>
      </w:r>
    </w:p>
    <w:p>
      <w:pPr>
        <w:spacing w:after="0" w:line="207" w:lineRule="exact"/>
        <w:rPr>
          <w:rFonts w:ascii="Calibri" w:cs="Calibri" w:eastAsia="Calibri" w:hAnsi="Calibri"/>
          <w:sz w:val="19"/>
          <w:szCs w:val="19"/>
          <w:color w:val="auto"/>
        </w:rPr>
      </w:pPr>
    </w:p>
    <w:p>
      <w:pPr>
        <w:jc w:val="both"/>
        <w:ind w:left="307" w:hanging="307"/>
        <w:spacing w:after="0" w:line="201" w:lineRule="auto"/>
        <w:tabs>
          <w:tab w:leader="none" w:pos="307" w:val="left"/>
        </w:tabs>
        <w:numPr>
          <w:ilvl w:val="0"/>
          <w:numId w:val="82"/>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Severability</w:t>
      </w:r>
      <w:r>
        <w:rPr>
          <w:rFonts w:ascii="Calibri" w:cs="Calibri" w:eastAsia="Calibri" w:hAnsi="Calibri"/>
          <w:sz w:val="19"/>
          <w:szCs w:val="19"/>
          <w:color w:val="auto"/>
        </w:rPr>
        <w:t>. The provisions of this Agreement are severable and if any one or more of the provisions are determined to be illegal or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otherwise unenforceable, in whole or in part, the Agreement shall be reformed and construed so that it would be enforceable to the maximum extent legally possible, and if it cannot be so reformed and construed, as if such unenforceable provision, or part thereof, had never been contained herein. The covenant in Paragraph 5 of this Agreement shall be separate, independent and concurrently enforceable with other employee agreements that have been signed by Employee. In the event such provisions of an agreement is determined by an adjudicator as not to be enforceable, any other concurrently enforceable provisions may stll be enforced.</w:t>
      </w:r>
    </w:p>
    <w:p>
      <w:pPr>
        <w:sectPr>
          <w:pgSz w:w="11900" w:h="16838" w:orient="portrait"/>
          <w:cols w:equalWidth="0" w:num="1">
            <w:col w:w="10927"/>
          </w:cols>
          <w:pgMar w:left="633" w:top="707" w:right="339" w:bottom="1440" w:gutter="0" w:footer="0" w:header="0"/>
        </w:sectPr>
      </w:pPr>
    </w:p>
    <w:bookmarkStart w:id="129" w:name="page130"/>
    <w:bookmarkEnd w:id="129"/>
    <w:p>
      <w:pPr>
        <w:jc w:val="both"/>
        <w:ind w:left="307" w:hanging="307"/>
        <w:spacing w:after="0" w:line="206" w:lineRule="auto"/>
        <w:tabs>
          <w:tab w:leader="none" w:pos="307" w:val="left"/>
        </w:tabs>
        <w:numPr>
          <w:ilvl w:val="0"/>
          <w:numId w:val="83"/>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Waiver</w:t>
      </w:r>
      <w:r>
        <w:rPr>
          <w:rFonts w:ascii="Calibri" w:cs="Calibri" w:eastAsia="Calibri" w:hAnsi="Calibri"/>
          <w:sz w:val="19"/>
          <w:szCs w:val="19"/>
          <w:color w:val="auto"/>
        </w:rPr>
        <w:t>. The waiver by the Company with respect to Employee’s (or any other partcipant’s) compliance with any provision of this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Agreement shall not operate or be construed as a waiver of any other provision of this Agreement, or of any subsequent breach by such party of a provision of this Agreement.</w:t>
      </w:r>
    </w:p>
    <w:p>
      <w:pPr>
        <w:sectPr>
          <w:pgSz w:w="11900" w:h="16838" w:orient="portrait"/>
          <w:cols w:equalWidth="0" w:num="1">
            <w:col w:w="10927"/>
          </w:cols>
          <w:pgMar w:left="633" w:top="940" w:right="339" w:bottom="1440" w:gutter="0" w:footer="0" w:header="0"/>
        </w:sectPr>
      </w:pPr>
    </w:p>
    <w:bookmarkStart w:id="130" w:name="page131"/>
    <w:bookmarkEnd w:id="130"/>
    <w:p>
      <w:pPr>
        <w:ind w:left="60"/>
        <w:spacing w:after="0"/>
        <w:rPr>
          <w:sz w:val="20"/>
          <w:szCs w:val="20"/>
          <w:color w:val="auto"/>
        </w:rPr>
      </w:pPr>
      <w:r>
        <w:rPr>
          <w:rFonts w:ascii="Calibri" w:cs="Calibri" w:eastAsia="Calibri" w:hAnsi="Calibri"/>
          <w:sz w:val="27"/>
          <w:szCs w:val="27"/>
          <w:color w:val="auto"/>
        </w:rPr>
        <w:t>Halliburton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6532880"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7">
                      <a:extLst>
                        <a:ext uri="{28A0092B-C50C-407E-A947-70E740481C1C}"/>
                      </a:extLst>
                    </a:blip>
                    <a:srcRect/>
                    <a:stretch>
                      <a:fillRect/>
                    </a:stretch>
                  </pic:blipFill>
                  <pic:spPr bwMode="auto">
                    <a:xfrm>
                      <a:off x="0" y="0"/>
                      <a:ext cx="6532880" cy="16510"/>
                    </a:xfrm>
                    <a:prstGeom prst="rect">
                      <a:avLst/>
                    </a:prstGeom>
                    <a:noFill/>
                  </pic:spPr>
                </pic:pic>
              </a:graphicData>
            </a:graphic>
          </wp:anchor>
        </w:drawing>
      </w:r>
    </w:p>
    <w:p>
      <w:pPr>
        <w:ind w:left="60"/>
        <w:spacing w:after="0" w:line="199" w:lineRule="auto"/>
        <w:rPr>
          <w:sz w:val="20"/>
          <w:szCs w:val="20"/>
          <w:color w:val="auto"/>
        </w:rPr>
      </w:pPr>
      <w:r>
        <w:rPr>
          <w:rFonts w:ascii="Calibri" w:cs="Calibri" w:eastAsia="Calibri" w:hAnsi="Calibri"/>
          <w:sz w:val="27"/>
          <w:szCs w:val="27"/>
          <w:color w:val="auto"/>
        </w:rPr>
        <w:t>Stock and Incentve Plan (the “Plan”)</w:t>
      </w:r>
    </w:p>
    <w:p>
      <w:pPr>
        <w:ind w:left="60"/>
        <w:spacing w:after="0" w:line="204" w:lineRule="auto"/>
        <w:rPr>
          <w:sz w:val="20"/>
          <w:szCs w:val="20"/>
          <w:color w:val="auto"/>
        </w:rPr>
      </w:pPr>
      <w:r>
        <w:rPr>
          <w:rFonts w:ascii="Calibri" w:cs="Calibri" w:eastAsia="Calibri" w:hAnsi="Calibri"/>
          <w:sz w:val="27"/>
          <w:szCs w:val="27"/>
          <w:color w:val="auto"/>
        </w:rPr>
        <w:t>Restricted Stock Unit Grant Agreement</w:t>
      </w:r>
    </w:p>
    <w:p>
      <w:pPr>
        <w:ind w:left="60"/>
        <w:spacing w:after="0" w:line="200" w:lineRule="auto"/>
        <w:rPr>
          <w:sz w:val="20"/>
          <w:szCs w:val="20"/>
          <w:color w:val="auto"/>
        </w:rPr>
      </w:pPr>
      <w:r>
        <w:rPr>
          <w:rFonts w:ascii="Calibri" w:cs="Calibri" w:eastAsia="Calibri" w:hAnsi="Calibri"/>
          <w:sz w:val="27"/>
          <w:szCs w:val="27"/>
          <w:color w:val="auto"/>
        </w:rPr>
        <w:t>Country-Specifc Addendum</w:t>
      </w:r>
    </w:p>
    <w:p>
      <w:pPr>
        <w:spacing w:after="0" w:line="230" w:lineRule="exact"/>
        <w:rPr>
          <w:sz w:val="20"/>
          <w:szCs w:val="20"/>
          <w:color w:val="auto"/>
        </w:rPr>
      </w:pPr>
    </w:p>
    <w:p>
      <w:pPr>
        <w:jc w:val="both"/>
        <w:spacing w:after="0" w:line="201" w:lineRule="auto"/>
        <w:rPr>
          <w:sz w:val="20"/>
          <w:szCs w:val="20"/>
          <w:color w:val="auto"/>
        </w:rPr>
      </w:pPr>
      <w:r>
        <w:rPr>
          <w:rFonts w:ascii="Calibri" w:cs="Calibri" w:eastAsia="Calibri" w:hAnsi="Calibri"/>
          <w:sz w:val="19"/>
          <w:szCs w:val="19"/>
          <w:color w:val="auto"/>
        </w:rPr>
        <w:t>This Addendum includes additonal country‐specifc notces, disclaimers, and/or terms and conditons that may apply if Employee lives and/or works in one of the countries listed in this Addendum and that may be material to Employee’s partcipaton in the Plan. This informaton is based on applicable securites, foreign exchange and other laws that may subject Employee to obligatons that Employee solely is responsible for. However, such laws are ofen complex and change frequently, and the informaton provided is general in nature and may not apply to Employee’s specifc situaton. As such, the Company cannot assure Employee of any partcular result, and Employee should seek his/her own professional legal and tax advice. Unless otherwise noted, capitalized terms shall take the defnitons assigned to them under the Plan and the Agreement. This Addendum forms part of the Agreement and should be read in conjuncton with the Plan.</w:t>
      </w:r>
    </w:p>
    <w:p>
      <w:pPr>
        <w:spacing w:after="0" w:line="399" w:lineRule="exact"/>
        <w:rPr>
          <w:sz w:val="20"/>
          <w:szCs w:val="20"/>
          <w:color w:val="auto"/>
        </w:rPr>
      </w:pPr>
    </w:p>
    <w:p>
      <w:pPr>
        <w:ind w:left="80"/>
        <w:spacing w:after="0"/>
        <w:tabs>
          <w:tab w:leader="none" w:pos="1520" w:val="left"/>
        </w:tabs>
        <w:rPr>
          <w:sz w:val="20"/>
          <w:szCs w:val="20"/>
          <w:color w:val="auto"/>
        </w:rPr>
      </w:pPr>
      <w:r>
        <w:rPr>
          <w:rFonts w:ascii="Calibri" w:cs="Calibri" w:eastAsia="Calibri" w:hAnsi="Calibri"/>
          <w:sz w:val="19"/>
          <w:szCs w:val="19"/>
          <w:b w:val="1"/>
          <w:bCs w:val="1"/>
          <w:color w:val="auto"/>
        </w:rPr>
        <w:t>Brazil, European</w:t>
      </w:r>
      <w:r>
        <w:rPr>
          <w:sz w:val="20"/>
          <w:szCs w:val="20"/>
          <w:color w:val="auto"/>
        </w:rPr>
        <w:tab/>
      </w:r>
      <w:r>
        <w:rPr>
          <w:rFonts w:ascii="Calibri" w:cs="Calibri" w:eastAsia="Calibri" w:hAnsi="Calibri"/>
          <w:sz w:val="28"/>
          <w:szCs w:val="28"/>
          <w:b w:val="1"/>
          <w:bCs w:val="1"/>
          <w:color w:val="auto"/>
          <w:vertAlign w:val="superscript"/>
        </w:rPr>
        <w:t>Data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-195580</wp:posOffset>
            </wp:positionV>
            <wp:extent cx="64509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8">
                      <a:extLst>
                        <a:ext uri="{28A0092B-C50C-407E-A947-70E740481C1C}"/>
                      </a:extLst>
                    </a:blip>
                    <a:srcRect/>
                    <a:stretch>
                      <a:fillRect/>
                    </a:stretch>
                  </pic:blipFill>
                  <pic:spPr bwMode="auto">
                    <a:xfrm>
                      <a:off x="0" y="0"/>
                      <a:ext cx="6450965" cy="8255"/>
                    </a:xfrm>
                    <a:prstGeom prst="rect">
                      <a:avLst/>
                    </a:prstGeom>
                    <a:noFill/>
                  </pic:spPr>
                </pic:pic>
              </a:graphicData>
            </a:graphic>
          </wp:anchor>
        </w:drawing>
      </w:r>
    </w:p>
    <w:p>
      <w:pPr>
        <w:sectPr>
          <w:pgSz w:w="11900" w:h="16838" w:orient="portrait"/>
          <w:cols w:equalWidth="0" w:num="1">
            <w:col w:w="11240"/>
          </w:cols>
          <w:pgMar w:left="320" w:top="777" w:right="339" w:bottom="1440" w:gutter="0" w:footer="0" w:header="0"/>
        </w:sectPr>
      </w:pPr>
    </w:p>
    <w:p>
      <w:pPr>
        <w:ind w:left="80"/>
        <w:spacing w:after="0" w:line="194" w:lineRule="auto"/>
        <w:rPr>
          <w:sz w:val="20"/>
          <w:szCs w:val="20"/>
          <w:color w:val="auto"/>
        </w:rPr>
      </w:pPr>
      <w:r>
        <w:rPr>
          <w:rFonts w:ascii="Calibri" w:cs="Calibri" w:eastAsia="Calibri" w:hAnsi="Calibri"/>
          <w:sz w:val="19"/>
          <w:szCs w:val="19"/>
          <w:b w:val="1"/>
          <w:bCs w:val="1"/>
          <w:color w:val="auto"/>
        </w:rPr>
        <w:t>Union (“EU”) /</w:t>
      </w:r>
    </w:p>
    <w:p>
      <w:pPr>
        <w:spacing w:after="0" w:line="26" w:lineRule="exact"/>
        <w:rPr>
          <w:sz w:val="20"/>
          <w:szCs w:val="20"/>
          <w:color w:val="auto"/>
        </w:rPr>
      </w:pPr>
    </w:p>
    <w:p>
      <w:pPr>
        <w:ind w:left="80"/>
        <w:spacing w:after="0"/>
        <w:rPr>
          <w:sz w:val="20"/>
          <w:szCs w:val="20"/>
          <w:color w:val="auto"/>
        </w:rPr>
      </w:pPr>
      <w:r>
        <w:rPr>
          <w:rFonts w:ascii="Calibri" w:cs="Calibri" w:eastAsia="Calibri" w:hAnsi="Calibri"/>
          <w:sz w:val="19"/>
          <w:szCs w:val="19"/>
          <w:b w:val="1"/>
          <w:bCs w:val="1"/>
          <w:color w:val="auto"/>
        </w:rPr>
        <w:t>European</w:t>
      </w:r>
    </w:p>
    <w:p>
      <w:pPr>
        <w:spacing w:after="0" w:line="19" w:lineRule="exact"/>
        <w:rPr>
          <w:sz w:val="20"/>
          <w:szCs w:val="20"/>
          <w:color w:val="auto"/>
        </w:rPr>
      </w:pPr>
    </w:p>
    <w:p>
      <w:pPr>
        <w:ind w:left="80"/>
        <w:spacing w:after="0" w:line="258" w:lineRule="auto"/>
        <w:rPr>
          <w:sz w:val="20"/>
          <w:szCs w:val="20"/>
          <w:color w:val="auto"/>
        </w:rPr>
      </w:pPr>
      <w:r>
        <w:rPr>
          <w:rFonts w:ascii="Calibri" w:cs="Calibri" w:eastAsia="Calibri" w:hAnsi="Calibri"/>
          <w:sz w:val="19"/>
          <w:szCs w:val="19"/>
          <w:b w:val="1"/>
          <w:bCs w:val="1"/>
          <w:color w:val="auto"/>
        </w:rPr>
        <w:t>Economic Area Countries, Switzerland and the United Kingdom</w:t>
      </w:r>
    </w:p>
    <w:p>
      <w:pPr>
        <w:spacing w:after="0" w:line="20" w:lineRule="exact"/>
        <w:rPr>
          <w:sz w:val="20"/>
          <w:szCs w:val="20"/>
          <w:color w:val="auto"/>
        </w:rPr>
      </w:pPr>
      <w:r>
        <w:rPr>
          <w:sz w:val="20"/>
          <w:szCs w:val="20"/>
          <w:color w:val="auto"/>
        </w:rPr>
        <w:br w:type="column"/>
      </w:r>
    </w:p>
    <w:p>
      <w:pPr>
        <w:spacing w:after="0" w:line="194" w:lineRule="auto"/>
        <w:rPr>
          <w:sz w:val="20"/>
          <w:szCs w:val="20"/>
          <w:color w:val="auto"/>
        </w:rPr>
      </w:pPr>
      <w:r>
        <w:rPr>
          <w:rFonts w:ascii="Calibri" w:cs="Calibri" w:eastAsia="Calibri" w:hAnsi="Calibri"/>
          <w:sz w:val="19"/>
          <w:szCs w:val="19"/>
          <w:color w:val="auto"/>
        </w:rPr>
        <w:t>The following provision replaces Paragraph 11 of the Agreement in its entrety:</w:t>
      </w:r>
    </w:p>
    <w:p>
      <w:pPr>
        <w:spacing w:after="0" w:line="71" w:lineRule="exact"/>
        <w:rPr>
          <w:sz w:val="20"/>
          <w:szCs w:val="20"/>
          <w:color w:val="auto"/>
        </w:rPr>
      </w:pPr>
    </w:p>
    <w:p>
      <w:pPr>
        <w:jc w:val="both"/>
        <w:ind w:right="1160"/>
        <w:spacing w:after="0" w:line="206" w:lineRule="auto"/>
        <w:rPr>
          <w:sz w:val="20"/>
          <w:szCs w:val="20"/>
          <w:color w:val="auto"/>
        </w:rPr>
      </w:pPr>
      <w:r>
        <w:rPr>
          <w:rFonts w:ascii="Calibri" w:cs="Calibri" w:eastAsia="Calibri" w:hAnsi="Calibri"/>
          <w:sz w:val="19"/>
          <w:szCs w:val="19"/>
          <w:color w:val="auto"/>
        </w:rPr>
        <w:t>The Company, with its registered address at 3000 North Sam Houston Parkway East, Houston, Texas U.S.A. is the controller responsible for the processing of Employee’s data by the Company and the third partes noted below.</w:t>
      </w:r>
    </w:p>
    <w:p>
      <w:pPr>
        <w:spacing w:after="0" w:line="73" w:lineRule="exact"/>
        <w:rPr>
          <w:sz w:val="20"/>
          <w:szCs w:val="20"/>
          <w:color w:val="auto"/>
        </w:rPr>
      </w:pPr>
    </w:p>
    <w:p>
      <w:pPr>
        <w:jc w:val="both"/>
        <w:ind w:right="1140" w:firstLine="373"/>
        <w:spacing w:after="0" w:line="197" w:lineRule="auto"/>
        <w:tabs>
          <w:tab w:leader="none" w:pos="1186" w:val="left"/>
        </w:tabs>
        <w:numPr>
          <w:ilvl w:val="0"/>
          <w:numId w:val="84"/>
        </w:numPr>
        <w:rPr>
          <w:rFonts w:ascii="Calibri" w:cs="Calibri" w:eastAsia="Calibri" w:hAnsi="Calibri"/>
          <w:sz w:val="19"/>
          <w:szCs w:val="19"/>
          <w:color w:val="auto"/>
        </w:rPr>
      </w:pPr>
      <w:r>
        <w:rPr>
          <w:rFonts w:ascii="Calibri" w:cs="Calibri" w:eastAsia="Calibri" w:hAnsi="Calibri"/>
          <w:sz w:val="19"/>
          <w:szCs w:val="19"/>
          <w:u w:val="single" w:color="auto"/>
          <w:color w:val="auto"/>
        </w:rPr>
        <w:t>Data Collecton and Usage</w:t>
      </w:r>
      <w:r>
        <w:rPr>
          <w:rFonts w:ascii="Calibri" w:cs="Calibri" w:eastAsia="Calibri" w:hAnsi="Calibri"/>
          <w:sz w:val="19"/>
          <w:szCs w:val="19"/>
          <w:color w:val="auto"/>
        </w:rPr>
        <w:t>. Pursuant to applicable data protecton laws, Employee is hereby notfed that the Company collects, processes and uses certain personal informaton about Employee for the legitmate purpose of implementng, administering and managing the Plan and generally administering equity awards; specifcally: Employee’s name, home address, email address and telephone number, date of birth, social insurance number or other identfcaton number, salary, citzenship, job ttle, any shares of Stock or directorships held in the Company, and details of all Restricted Stock Units, any other enttlement to shares of Stock awarded, canceled, exercised, vested, or outstanding in Employee’s favor, which the Company receives from Employee or the Employer (“Personal Data”). In grantng the Restricted Stock Units under the Plan, the Company will collect, process, use and disclose (collectvely, “Processing”) Personal Data for purposes of allocatng shares of Stock and implementng, administering and managing the Plan. The Company’s legal basis for the Processing of Personal Data is the Company’s legitmate business interests of managing the Plan, administering employee equity awards and complying with its contractual and statutory obligatons, as well as the necessity of the Processing for the Company to perform its contractual obligatons under the Agreement and the Plan. Employee’s refusal to provide Personal Data would make it impossible for the Company to perform its contractual obligatons and may afect Employee’s ability to partcipate in the Plan. As such, by partcipatng in the Plan, Employee voluntarily acknowledges the Processing of his/her Personal Data as described herein. More informaton about how the Company collects, processes, protects, and transfers Personal Data, as well as the rights of Employees in relaton to their Personal Data, is found in the Employee Privacy Notce available on HalWorld.</w:t>
      </w:r>
    </w:p>
    <w:p>
      <w:pPr>
        <w:spacing w:after="0" w:line="69" w:lineRule="exact"/>
        <w:rPr>
          <w:rFonts w:ascii="Calibri" w:cs="Calibri" w:eastAsia="Calibri" w:hAnsi="Calibri"/>
          <w:sz w:val="19"/>
          <w:szCs w:val="19"/>
          <w:color w:val="auto"/>
        </w:rPr>
      </w:pPr>
    </w:p>
    <w:p>
      <w:pPr>
        <w:jc w:val="both"/>
        <w:ind w:right="1160" w:firstLine="373"/>
        <w:spacing w:after="0" w:line="199" w:lineRule="auto"/>
        <w:tabs>
          <w:tab w:leader="none" w:pos="1182" w:val="left"/>
        </w:tabs>
        <w:numPr>
          <w:ilvl w:val="0"/>
          <w:numId w:val="84"/>
        </w:numPr>
        <w:rPr>
          <w:rFonts w:ascii="Calibri" w:cs="Calibri" w:eastAsia="Calibri" w:hAnsi="Calibri"/>
          <w:sz w:val="19"/>
          <w:szCs w:val="19"/>
          <w:color w:val="auto"/>
        </w:rPr>
      </w:pPr>
      <w:r>
        <w:rPr>
          <w:rFonts w:ascii="Calibri" w:cs="Calibri" w:eastAsia="Calibri" w:hAnsi="Calibri"/>
          <w:sz w:val="19"/>
          <w:szCs w:val="19"/>
          <w:u w:val="single" w:color="auto"/>
          <w:color w:val="auto"/>
        </w:rPr>
        <w:t>Stock Plan Administraton Service Provider</w:t>
      </w:r>
      <w:r>
        <w:rPr>
          <w:rFonts w:ascii="Calibri" w:cs="Calibri" w:eastAsia="Calibri" w:hAnsi="Calibri"/>
          <w:sz w:val="19"/>
          <w:szCs w:val="19"/>
          <w:color w:val="auto"/>
        </w:rPr>
        <w:t>. The Company transfers Personal Data to Fidelity Stock Plan Services, LLC, an independent service provider based, in relevant part, in the United States, which assists the Company with the implementaton, administraton and management of the Plan. In the future, the Company may select a diferent service provider and share Personal Data with another company that serves in a similar manner. The Company’s service provider will open an account for Employee to receive and trade shares of Stock. The Processing and transfer of Personal Data will take place through both electronic and non-electronic means. Personal Data will only be accessible by those individuals requiring access to it for purposes of implementng, administering and operatng the Plan. When receiving Employee’s Personal Data, Fidelity Stock Plan Services, LLC provides appropriate safeguards in accordance with the EU Standard Contractual Clauses. By partcipatng in the Plan, Employee understands that the service provider will Process and transfer Employee’s Personal Data for the purposes of implementng, administering and managing his/her partcipaton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-975360</wp:posOffset>
            </wp:positionH>
            <wp:positionV relativeFrom="paragraph">
              <wp:posOffset>97790</wp:posOffset>
            </wp:positionV>
            <wp:extent cx="64509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9">
                      <a:extLst>
                        <a:ext uri="{28A0092B-C50C-407E-A947-70E740481C1C}"/>
                      </a:extLst>
                    </a:blip>
                    <a:srcRect/>
                    <a:stretch>
                      <a:fillRect/>
                    </a:stretch>
                  </pic:blipFill>
                  <pic:spPr bwMode="auto">
                    <a:xfrm>
                      <a:off x="0" y="0"/>
                      <a:ext cx="6450965" cy="8255"/>
                    </a:xfrm>
                    <a:prstGeom prst="rect">
                      <a:avLst/>
                    </a:prstGeom>
                    <a:noFill/>
                  </pic:spPr>
                </pic:pic>
              </a:graphicData>
            </a:graphic>
          </wp:anchor>
        </w:drawing>
      </w:r>
    </w:p>
    <w:p>
      <w:pPr>
        <w:sectPr>
          <w:pgSz w:w="11900" w:h="16838" w:orient="portrait"/>
          <w:cols w:equalWidth="0" w:num="2">
            <w:col w:w="1360" w:space="180"/>
            <w:col w:w="9700"/>
          </w:cols>
          <w:pgMar w:left="320" w:top="777" w:right="339" w:bottom="1440" w:gutter="0" w:footer="0" w:header="0"/>
          <w:type w:val="continuous"/>
        </w:sectPr>
      </w:pPr>
    </w:p>
    <w:bookmarkStart w:id="131" w:name="page132"/>
    <w:bookmarkEnd w:id="131"/>
    <w:p>
      <w:pPr>
        <w:spacing w:after="0"/>
        <w:tabs>
          <w:tab w:leader="none" w:pos="1440" w:val="left"/>
        </w:tabs>
        <w:rPr>
          <w:sz w:val="20"/>
          <w:szCs w:val="20"/>
          <w:color w:val="auto"/>
        </w:rPr>
      </w:pPr>
      <w:r>
        <w:rPr>
          <w:rFonts w:ascii="Calibri" w:cs="Calibri" w:eastAsia="Calibri" w:hAnsi="Calibri"/>
          <w:sz w:val="38"/>
          <w:szCs w:val="38"/>
          <w:b w:val="1"/>
          <w:bCs w:val="1"/>
          <w:color w:val="auto"/>
          <w:vertAlign w:val="subscript"/>
        </w:rPr>
        <w:t>Algeria</w:t>
      </w:r>
      <w:r>
        <w:rPr>
          <w:sz w:val="20"/>
          <w:szCs w:val="20"/>
          <w:color w:val="auto"/>
        </w:rPr>
        <w:tab/>
      </w:r>
      <w:r>
        <w:rPr>
          <w:rFonts w:ascii="Calibri" w:cs="Calibri" w:eastAsia="Calibri" w:hAnsi="Calibri"/>
          <w:sz w:val="19"/>
          <w:szCs w:val="19"/>
          <w:b w:val="1"/>
          <w:bCs w:val="1"/>
          <w:color w:val="auto"/>
        </w:rPr>
        <w:t>Setlement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64509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0">
                      <a:extLst>
                        <a:ext uri="{28A0092B-C50C-407E-A947-70E740481C1C}"/>
                      </a:extLst>
                    </a:blip>
                    <a:srcRect/>
                    <a:stretch>
                      <a:fillRect/>
                    </a:stretch>
                  </pic:blipFill>
                  <pic:spPr bwMode="auto">
                    <a:xfrm>
                      <a:off x="0" y="0"/>
                      <a:ext cx="6450965" cy="8255"/>
                    </a:xfrm>
                    <a:prstGeom prst="rect">
                      <a:avLst/>
                    </a:prstGeom>
                    <a:noFill/>
                  </pic:spPr>
                </pic:pic>
              </a:graphicData>
            </a:graphic>
          </wp:anchor>
        </w:drawing>
      </w:r>
    </w:p>
    <w:p>
      <w:pPr>
        <w:spacing w:after="0" w:line="225" w:lineRule="exact"/>
        <w:rPr>
          <w:sz w:val="20"/>
          <w:szCs w:val="20"/>
          <w:color w:val="auto"/>
        </w:rPr>
      </w:pPr>
    </w:p>
    <w:p>
      <w:pPr>
        <w:jc w:val="both"/>
        <w:ind w:left="1460" w:right="59"/>
        <w:spacing w:after="0" w:line="206" w:lineRule="auto"/>
        <w:rPr>
          <w:sz w:val="20"/>
          <w:szCs w:val="20"/>
          <w:color w:val="auto"/>
        </w:rPr>
      </w:pPr>
      <w:r>
        <w:rPr>
          <w:rFonts w:ascii="Calibri" w:cs="Calibri" w:eastAsia="Calibri" w:hAnsi="Calibri"/>
          <w:sz w:val="19"/>
          <w:szCs w:val="19"/>
          <w:color w:val="auto"/>
        </w:rPr>
        <w:t>Notwithstanding any provision in the Agreement to the contrary, pursuant to Paragraph 4 of the Agreement, unless otherwise determined by the Company in its sole discreton, the Restricted Stock Units will be setled in the form of a cash payment.</w:t>
      </w:r>
    </w:p>
    <w:p>
      <w:pPr>
        <w:spacing w:after="0" w:line="186" w:lineRule="auto"/>
        <w:tabs>
          <w:tab w:leader="none" w:pos="1440" w:val="left"/>
        </w:tabs>
        <w:rPr>
          <w:sz w:val="20"/>
          <w:szCs w:val="20"/>
          <w:color w:val="auto"/>
        </w:rPr>
      </w:pPr>
      <w:r>
        <w:rPr>
          <w:rFonts w:ascii="Calibri" w:cs="Calibri" w:eastAsia="Calibri" w:hAnsi="Calibri"/>
          <w:sz w:val="24"/>
          <w:szCs w:val="24"/>
          <w:b w:val="1"/>
          <w:bCs w:val="1"/>
          <w:color w:val="auto"/>
          <w:vertAlign w:val="subscript"/>
        </w:rPr>
        <w:t>Angola</w:t>
      </w:r>
      <w:r>
        <w:rPr>
          <w:sz w:val="20"/>
          <w:szCs w:val="20"/>
          <w:color w:val="auto"/>
        </w:rPr>
        <w:tab/>
      </w:r>
      <w:r>
        <w:rPr>
          <w:rFonts w:ascii="Calibri" w:cs="Calibri" w:eastAsia="Calibri" w:hAnsi="Calibri"/>
          <w:sz w:val="14"/>
          <w:szCs w:val="14"/>
          <w:b w:val="1"/>
          <w:bCs w:val="1"/>
          <w:color w:val="auto"/>
        </w:rPr>
        <w:t>Setlement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-48260</wp:posOffset>
            </wp:positionV>
            <wp:extent cx="64509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1">
                      <a:extLst>
                        <a:ext uri="{28A0092B-C50C-407E-A947-70E740481C1C}"/>
                      </a:extLst>
                    </a:blip>
                    <a:srcRect/>
                    <a:stretch>
                      <a:fillRect/>
                    </a:stretch>
                  </pic:blipFill>
                  <pic:spPr bwMode="auto">
                    <a:xfrm>
                      <a:off x="0" y="0"/>
                      <a:ext cx="6450965" cy="8255"/>
                    </a:xfrm>
                    <a:prstGeom prst="rect">
                      <a:avLst/>
                    </a:prstGeom>
                    <a:noFill/>
                  </pic:spPr>
                </pic:pic>
              </a:graphicData>
            </a:graphic>
          </wp:anchor>
        </w:drawing>
      </w:r>
    </w:p>
    <w:p>
      <w:pPr>
        <w:spacing w:after="0" w:line="187" w:lineRule="exact"/>
        <w:rPr>
          <w:sz w:val="20"/>
          <w:szCs w:val="20"/>
          <w:color w:val="auto"/>
        </w:rPr>
      </w:pPr>
    </w:p>
    <w:p>
      <w:pPr>
        <w:jc w:val="both"/>
        <w:ind w:left="1460" w:right="59"/>
        <w:spacing w:after="0" w:line="206" w:lineRule="auto"/>
        <w:rPr>
          <w:sz w:val="20"/>
          <w:szCs w:val="20"/>
          <w:color w:val="auto"/>
        </w:rPr>
      </w:pPr>
      <w:r>
        <w:rPr>
          <w:rFonts w:ascii="Calibri" w:cs="Calibri" w:eastAsia="Calibri" w:hAnsi="Calibri"/>
          <w:sz w:val="19"/>
          <w:szCs w:val="19"/>
          <w:color w:val="auto"/>
        </w:rPr>
        <w:t>Notwithstanding any provision in the Agreement to the contrary, pursuant to Paragraph 4 of the Agreement, unless otherwise determined by the Company in its sole discreton, the Restricted Stock Units will be setled in the form of a cash payment.</w:t>
      </w:r>
    </w:p>
    <w:p>
      <w:pPr>
        <w:spacing w:after="0" w:line="186" w:lineRule="auto"/>
        <w:tabs>
          <w:tab w:leader="none" w:pos="1440" w:val="left"/>
        </w:tabs>
        <w:rPr>
          <w:sz w:val="20"/>
          <w:szCs w:val="20"/>
          <w:color w:val="auto"/>
        </w:rPr>
      </w:pPr>
      <w:r>
        <w:rPr>
          <w:rFonts w:ascii="Calibri" w:cs="Calibri" w:eastAsia="Calibri" w:hAnsi="Calibri"/>
          <w:sz w:val="24"/>
          <w:szCs w:val="24"/>
          <w:b w:val="1"/>
          <w:bCs w:val="1"/>
          <w:color w:val="auto"/>
          <w:vertAlign w:val="subscript"/>
        </w:rPr>
        <w:t>Argentna</w:t>
      </w:r>
      <w:r>
        <w:rPr>
          <w:sz w:val="20"/>
          <w:szCs w:val="20"/>
          <w:color w:val="auto"/>
        </w:rPr>
        <w:tab/>
      </w:r>
      <w:r>
        <w:rPr>
          <w:rFonts w:ascii="Calibri" w:cs="Calibri" w:eastAsia="Calibri" w:hAnsi="Calibri"/>
          <w:sz w:val="14"/>
          <w:szCs w:val="14"/>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-48260</wp:posOffset>
            </wp:positionV>
            <wp:extent cx="64509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2">
                      <a:extLst>
                        <a:ext uri="{28A0092B-C50C-407E-A947-70E740481C1C}"/>
                      </a:extLst>
                    </a:blip>
                    <a:srcRect/>
                    <a:stretch>
                      <a:fillRect/>
                    </a:stretch>
                  </pic:blipFill>
                  <pic:spPr bwMode="auto">
                    <a:xfrm>
                      <a:off x="0" y="0"/>
                      <a:ext cx="6450965" cy="8255"/>
                    </a:xfrm>
                    <a:prstGeom prst="rect">
                      <a:avLst/>
                    </a:prstGeom>
                    <a:noFill/>
                  </pic:spPr>
                </pic:pic>
              </a:graphicData>
            </a:graphic>
          </wp:anchor>
        </w:drawing>
      </w:r>
    </w:p>
    <w:p>
      <w:pPr>
        <w:spacing w:after="0" w:line="187" w:lineRule="exact"/>
        <w:rPr>
          <w:sz w:val="20"/>
          <w:szCs w:val="20"/>
          <w:color w:val="auto"/>
        </w:rPr>
      </w:pPr>
    </w:p>
    <w:p>
      <w:pPr>
        <w:jc w:val="both"/>
        <w:ind w:left="1460" w:right="59"/>
        <w:spacing w:after="0" w:line="210" w:lineRule="auto"/>
        <w:rPr>
          <w:sz w:val="20"/>
          <w:szCs w:val="20"/>
          <w:color w:val="auto"/>
        </w:rPr>
      </w:pPr>
      <w:r>
        <w:rPr>
          <w:rFonts w:ascii="Calibri" w:cs="Calibri" w:eastAsia="Calibri" w:hAnsi="Calibri"/>
          <w:sz w:val="19"/>
          <w:szCs w:val="19"/>
          <w:color w:val="auto"/>
        </w:rPr>
        <w:t>The Restricted Stock Units and the underlying shares of Stock are not publicly ofered or listed on any stock exchange in Argentna.</w:t>
      </w:r>
    </w:p>
    <w:p>
      <w:pPr>
        <w:spacing w:after="0" w:line="65" w:lineRule="exact"/>
        <w:rPr>
          <w:sz w:val="20"/>
          <w:szCs w:val="20"/>
          <w:color w:val="auto"/>
        </w:rPr>
      </w:pPr>
    </w:p>
    <w:p>
      <w:pPr>
        <w:ind w:left="1460"/>
        <w:spacing w:after="0"/>
        <w:rPr>
          <w:sz w:val="20"/>
          <w:szCs w:val="20"/>
          <w:color w:val="auto"/>
        </w:rPr>
      </w:pPr>
      <w:r>
        <w:rPr>
          <w:rFonts w:ascii="Calibri" w:cs="Calibri" w:eastAsia="Calibri" w:hAnsi="Calibri"/>
          <w:sz w:val="19"/>
          <w:szCs w:val="19"/>
          <w:b w:val="1"/>
          <w:bCs w:val="1"/>
          <w:color w:val="auto"/>
        </w:rPr>
        <w:t>Foreign Exchange Informaton</w:t>
      </w:r>
    </w:p>
    <w:p>
      <w:pPr>
        <w:spacing w:after="0" w:line="71" w:lineRule="exact"/>
        <w:rPr>
          <w:sz w:val="20"/>
          <w:szCs w:val="20"/>
          <w:color w:val="auto"/>
        </w:rPr>
      </w:pPr>
    </w:p>
    <w:p>
      <w:pPr>
        <w:jc w:val="both"/>
        <w:ind w:left="1460" w:right="59"/>
        <w:spacing w:after="0" w:line="210" w:lineRule="auto"/>
        <w:rPr>
          <w:sz w:val="20"/>
          <w:szCs w:val="20"/>
          <w:color w:val="auto"/>
        </w:rPr>
      </w:pPr>
      <w:r>
        <w:rPr>
          <w:rFonts w:ascii="Calibri" w:cs="Calibri" w:eastAsia="Calibri" w:hAnsi="Calibri"/>
          <w:sz w:val="19"/>
          <w:szCs w:val="19"/>
          <w:color w:val="auto"/>
        </w:rPr>
        <w:t>Certain restrictons and requirements may apply if and when Employee transfers proceeds from the sale of shares of Stock into Argentna.</w:t>
      </w:r>
    </w:p>
    <w:p>
      <w:pPr>
        <w:spacing w:after="0" w:line="71" w:lineRule="exact"/>
        <w:rPr>
          <w:sz w:val="20"/>
          <w:szCs w:val="20"/>
          <w:color w:val="auto"/>
        </w:rPr>
      </w:pPr>
    </w:p>
    <w:p>
      <w:pPr>
        <w:jc w:val="both"/>
        <w:ind w:left="1460" w:right="59"/>
        <w:spacing w:after="0" w:line="205" w:lineRule="auto"/>
        <w:rPr>
          <w:sz w:val="20"/>
          <w:szCs w:val="20"/>
          <w:color w:val="auto"/>
        </w:rPr>
      </w:pPr>
      <w:r>
        <w:rPr>
          <w:rFonts w:ascii="Calibri" w:cs="Calibri" w:eastAsia="Calibri" w:hAnsi="Calibri"/>
          <w:sz w:val="19"/>
          <w:szCs w:val="19"/>
          <w:i w:val="1"/>
          <w:iCs w:val="1"/>
          <w:color w:val="auto"/>
        </w:rPr>
        <w:t>Please note that exchange control regulatons in Argentna are subject to change. Employee should speak with his/her personal legal advisor regarding any exchange control obligatons that Employee may have prior to acquiring or selling shares of Stock or remitng funds into Argentna, as Employee is personally responsible for complying with applicable exchange control laws.</w:t>
      </w:r>
    </w:p>
    <w:p>
      <w:pPr>
        <w:spacing w:after="0" w:line="65" w:lineRule="exact"/>
        <w:rPr>
          <w:sz w:val="20"/>
          <w:szCs w:val="20"/>
          <w:color w:val="auto"/>
        </w:rPr>
      </w:pPr>
    </w:p>
    <w:p>
      <w:pPr>
        <w:ind w:left="1460"/>
        <w:spacing w:after="0"/>
        <w:rPr>
          <w:sz w:val="20"/>
          <w:szCs w:val="20"/>
          <w:color w:val="auto"/>
        </w:rPr>
      </w:pPr>
      <w:r>
        <w:rPr>
          <w:rFonts w:ascii="Calibri" w:cs="Calibri" w:eastAsia="Calibri" w:hAnsi="Calibri"/>
          <w:sz w:val="19"/>
          <w:szCs w:val="19"/>
          <w:b w:val="1"/>
          <w:bCs w:val="1"/>
          <w:color w:val="auto"/>
        </w:rPr>
        <w:t>Foreign Asset/Account Reportng Informaton</w:t>
      </w:r>
    </w:p>
    <w:p>
      <w:pPr>
        <w:spacing w:after="0" w:line="58" w:lineRule="exact"/>
        <w:rPr>
          <w:sz w:val="20"/>
          <w:szCs w:val="20"/>
          <w:color w:val="auto"/>
        </w:rPr>
      </w:pPr>
    </w:p>
    <w:p>
      <w:pPr>
        <w:jc w:val="both"/>
        <w:ind w:left="1460" w:right="59"/>
        <w:spacing w:after="0" w:line="216" w:lineRule="auto"/>
        <w:rPr>
          <w:sz w:val="20"/>
          <w:szCs w:val="20"/>
          <w:color w:val="auto"/>
        </w:rPr>
      </w:pPr>
      <w:r>
        <w:rPr>
          <w:rFonts w:ascii="Calibri" w:cs="Calibri" w:eastAsia="Calibri" w:hAnsi="Calibri"/>
          <w:sz w:val="19"/>
          <w:szCs w:val="19"/>
          <w:color w:val="auto"/>
        </w:rPr>
        <w:t>If Employee is an Argentne tax resident, Employee must report any shares of Stock acquired under the Plan and held by Employee on December 31st of each year on Employee's annual tax return for that year.</w:t>
      </w:r>
    </w:p>
    <w:p>
      <w:pPr>
        <w:spacing w:after="0" w:line="186" w:lineRule="auto"/>
        <w:tabs>
          <w:tab w:leader="none" w:pos="1440" w:val="left"/>
        </w:tabs>
        <w:rPr>
          <w:sz w:val="20"/>
          <w:szCs w:val="20"/>
          <w:color w:val="auto"/>
        </w:rPr>
      </w:pPr>
      <w:r>
        <w:rPr>
          <w:rFonts w:ascii="Calibri" w:cs="Calibri" w:eastAsia="Calibri" w:hAnsi="Calibri"/>
          <w:sz w:val="24"/>
          <w:szCs w:val="24"/>
          <w:b w:val="1"/>
          <w:bCs w:val="1"/>
          <w:color w:val="auto"/>
          <w:vertAlign w:val="subscript"/>
        </w:rPr>
        <w:t>Australia</w:t>
      </w:r>
      <w:r>
        <w:rPr>
          <w:sz w:val="20"/>
          <w:szCs w:val="20"/>
          <w:color w:val="auto"/>
        </w:rPr>
        <w:tab/>
      </w:r>
      <w:r>
        <w:rPr>
          <w:rFonts w:ascii="Calibri" w:cs="Calibri" w:eastAsia="Calibri" w:hAnsi="Calibri"/>
          <w:sz w:val="14"/>
          <w:szCs w:val="14"/>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-48895</wp:posOffset>
            </wp:positionV>
            <wp:extent cx="64509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3">
                      <a:extLst>
                        <a:ext uri="{28A0092B-C50C-407E-A947-70E740481C1C}"/>
                      </a:extLst>
                    </a:blip>
                    <a:srcRect/>
                    <a:stretch>
                      <a:fillRect/>
                    </a:stretch>
                  </pic:blipFill>
                  <pic:spPr bwMode="auto">
                    <a:xfrm>
                      <a:off x="0" y="0"/>
                      <a:ext cx="6450965" cy="8255"/>
                    </a:xfrm>
                    <a:prstGeom prst="rect">
                      <a:avLst/>
                    </a:prstGeom>
                    <a:noFill/>
                  </pic:spPr>
                </pic:pic>
              </a:graphicData>
            </a:graphic>
          </wp:anchor>
        </w:drawing>
      </w:r>
    </w:p>
    <w:p>
      <w:pPr>
        <w:spacing w:after="0" w:line="186" w:lineRule="exact"/>
        <w:rPr>
          <w:sz w:val="20"/>
          <w:szCs w:val="20"/>
          <w:color w:val="auto"/>
        </w:rPr>
      </w:pPr>
    </w:p>
    <w:p>
      <w:pPr>
        <w:jc w:val="both"/>
        <w:ind w:left="1460" w:right="59"/>
        <w:spacing w:after="0" w:line="205" w:lineRule="auto"/>
        <w:rPr>
          <w:sz w:val="20"/>
          <w:szCs w:val="20"/>
          <w:color w:val="auto"/>
        </w:rPr>
      </w:pPr>
      <w:r>
        <w:rPr>
          <w:rFonts w:ascii="Calibri" w:cs="Calibri" w:eastAsia="Calibri" w:hAnsi="Calibri"/>
          <w:sz w:val="19"/>
          <w:szCs w:val="19"/>
          <w:color w:val="auto"/>
        </w:rPr>
        <w:t>The grant of the Restricted Stock Units is being made pursuant to Division 1A, Part 7.12 of the Corporatons Act 2001 (Cth). If the Employee ofers shares of Stock for sale to a person or entty resident in Australia, the ofer may be subject to disclosure requirements under Australian law. The Employee personally should obtain legal advice on applicable disclosure obligatons prior to making any such ofer.</w:t>
      </w:r>
    </w:p>
    <w:p>
      <w:pPr>
        <w:spacing w:after="0" w:line="52" w:lineRule="exact"/>
        <w:rPr>
          <w:sz w:val="20"/>
          <w:szCs w:val="20"/>
          <w:color w:val="auto"/>
        </w:rPr>
      </w:pPr>
    </w:p>
    <w:p>
      <w:pPr>
        <w:ind w:left="1460"/>
        <w:spacing w:after="0"/>
        <w:rPr>
          <w:sz w:val="20"/>
          <w:szCs w:val="20"/>
          <w:color w:val="auto"/>
        </w:rPr>
      </w:pPr>
      <w:r>
        <w:rPr>
          <w:rFonts w:ascii="Calibri" w:cs="Calibri" w:eastAsia="Calibri" w:hAnsi="Calibri"/>
          <w:sz w:val="19"/>
          <w:szCs w:val="19"/>
          <w:b w:val="1"/>
          <w:bCs w:val="1"/>
          <w:color w:val="auto"/>
        </w:rPr>
        <w:t>Foreign Exchange Informaton</w:t>
      </w:r>
    </w:p>
    <w:p>
      <w:pPr>
        <w:spacing w:after="0" w:line="71" w:lineRule="exact"/>
        <w:rPr>
          <w:sz w:val="20"/>
          <w:szCs w:val="20"/>
          <w:color w:val="auto"/>
        </w:rPr>
      </w:pPr>
    </w:p>
    <w:p>
      <w:pPr>
        <w:jc w:val="both"/>
        <w:ind w:left="1460" w:right="59"/>
        <w:spacing w:after="0" w:line="205" w:lineRule="auto"/>
        <w:rPr>
          <w:sz w:val="20"/>
          <w:szCs w:val="20"/>
          <w:color w:val="auto"/>
        </w:rPr>
      </w:pPr>
      <w:r>
        <w:rPr>
          <w:rFonts w:ascii="Calibri" w:cs="Calibri" w:eastAsia="Calibri" w:hAnsi="Calibri"/>
          <w:sz w:val="19"/>
          <w:szCs w:val="19"/>
          <w:color w:val="auto"/>
        </w:rPr>
        <w:t>Exchange control reportng is required for cash transactons exceeding a specifed amount (currently AUD 10,000) and internatonal fund transfers. The Australian bank assistng with the transacton will fle the report. If there is no Australian bank involved in the transfer, Employee will be required to fle the report. Employee is personally responsible for complying with applicable exchange control requirements.</w:t>
      </w:r>
    </w:p>
    <w:p>
      <w:pPr>
        <w:spacing w:after="0" w:line="65" w:lineRule="exact"/>
        <w:rPr>
          <w:sz w:val="20"/>
          <w:szCs w:val="20"/>
          <w:color w:val="auto"/>
        </w:rPr>
      </w:pPr>
    </w:p>
    <w:p>
      <w:pPr>
        <w:ind w:left="1460"/>
        <w:spacing w:after="0"/>
        <w:rPr>
          <w:sz w:val="20"/>
          <w:szCs w:val="20"/>
          <w:color w:val="auto"/>
        </w:rPr>
      </w:pPr>
      <w:r>
        <w:rPr>
          <w:rFonts w:ascii="Calibri" w:cs="Calibri" w:eastAsia="Calibri" w:hAnsi="Calibri"/>
          <w:sz w:val="19"/>
          <w:szCs w:val="19"/>
          <w:b w:val="1"/>
          <w:bCs w:val="1"/>
          <w:color w:val="auto"/>
        </w:rPr>
        <w:t>Tax Informaton</w:t>
      </w:r>
    </w:p>
    <w:p>
      <w:pPr>
        <w:spacing w:after="0" w:line="58" w:lineRule="exact"/>
        <w:rPr>
          <w:sz w:val="20"/>
          <w:szCs w:val="20"/>
          <w:color w:val="auto"/>
        </w:rPr>
      </w:pPr>
    </w:p>
    <w:p>
      <w:pPr>
        <w:jc w:val="both"/>
        <w:ind w:left="1460" w:right="59"/>
        <w:spacing w:after="0" w:line="216" w:lineRule="auto"/>
        <w:rPr>
          <w:sz w:val="20"/>
          <w:szCs w:val="20"/>
          <w:color w:val="auto"/>
        </w:rPr>
      </w:pPr>
      <w:r>
        <w:rPr>
          <w:rFonts w:ascii="Calibri" w:cs="Calibri" w:eastAsia="Calibri" w:hAnsi="Calibri"/>
          <w:sz w:val="19"/>
          <w:szCs w:val="19"/>
          <w:color w:val="auto"/>
        </w:rPr>
        <w:t>The Plan is a program to which Subdivision 83A-C of the Income Tax Assessment Act 1997 (Cth) (the “ITAA”) applies (subject to the conditons in the ITAA).</w:t>
      </w:r>
    </w:p>
    <w:p>
      <w:pPr>
        <w:spacing w:after="0" w:line="186" w:lineRule="auto"/>
        <w:tabs>
          <w:tab w:leader="none" w:pos="1440" w:val="left"/>
        </w:tabs>
        <w:rPr>
          <w:sz w:val="20"/>
          <w:szCs w:val="20"/>
          <w:color w:val="auto"/>
        </w:rPr>
      </w:pPr>
      <w:r>
        <w:rPr>
          <w:rFonts w:ascii="Calibri" w:cs="Calibri" w:eastAsia="Calibri" w:hAnsi="Calibri"/>
          <w:sz w:val="24"/>
          <w:szCs w:val="24"/>
          <w:b w:val="1"/>
          <w:bCs w:val="1"/>
          <w:color w:val="auto"/>
          <w:vertAlign w:val="subscript"/>
        </w:rPr>
        <w:t>Azerbaijan</w:t>
      </w:r>
      <w:r>
        <w:rPr>
          <w:sz w:val="20"/>
          <w:szCs w:val="20"/>
          <w:color w:val="auto"/>
        </w:rPr>
        <w:tab/>
      </w:r>
      <w:r>
        <w:rPr>
          <w:rFonts w:ascii="Calibri" w:cs="Calibri" w:eastAsia="Calibri" w:hAnsi="Calibri"/>
          <w:sz w:val="14"/>
          <w:szCs w:val="14"/>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-48895</wp:posOffset>
            </wp:positionV>
            <wp:extent cx="64509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4">
                      <a:extLst>
                        <a:ext uri="{28A0092B-C50C-407E-A947-70E740481C1C}"/>
                      </a:extLst>
                    </a:blip>
                    <a:srcRect/>
                    <a:stretch>
                      <a:fillRect/>
                    </a:stretch>
                  </pic:blipFill>
                  <pic:spPr bwMode="auto">
                    <a:xfrm>
                      <a:off x="0" y="0"/>
                      <a:ext cx="6450965" cy="8255"/>
                    </a:xfrm>
                    <a:prstGeom prst="rect">
                      <a:avLst/>
                    </a:prstGeom>
                    <a:noFill/>
                  </pic:spPr>
                </pic:pic>
              </a:graphicData>
            </a:graphic>
          </wp:anchor>
        </w:drawing>
      </w:r>
    </w:p>
    <w:p>
      <w:pPr>
        <w:spacing w:after="0" w:line="186" w:lineRule="exact"/>
        <w:rPr>
          <w:sz w:val="20"/>
          <w:szCs w:val="20"/>
          <w:color w:val="auto"/>
        </w:rPr>
      </w:pPr>
    </w:p>
    <w:p>
      <w:pPr>
        <w:jc w:val="both"/>
        <w:ind w:left="1460" w:right="59"/>
        <w:spacing w:after="0" w:line="199" w:lineRule="auto"/>
        <w:rPr>
          <w:sz w:val="20"/>
          <w:szCs w:val="20"/>
          <w:color w:val="auto"/>
        </w:rPr>
      </w:pPr>
      <w:r>
        <w:rPr>
          <w:rFonts w:ascii="Calibri" w:cs="Calibri" w:eastAsia="Calibri" w:hAnsi="Calibri"/>
          <w:sz w:val="19"/>
          <w:szCs w:val="19"/>
          <w:color w:val="auto"/>
        </w:rPr>
        <w:t>By acceptng the Restricted Stock Units, Employee understands that the Agreement, the Plan and all other materials Employee may receive regarding Employee’s partcipaton in the Plan does not consttute advertsing or the ofering of securites in Azerbaijan. The issuance of securites pursuant to the Plan has not been and will not be registered in Azerbaijan and therefore, the securites described in any Plan related documents may not be used for sale or public circulaton in Azerbaijan. Further, Employee understands that the shares of Stock delivered upon setlement of the Restricted Stock Units will be deposited into a designated brokerage account in the United States and in no event will the shares of Stock be delivered to Employee in Azerbaijan. Any dispositon or sale of such shares of Stock must take place outside of Azerbaijan, which will be the case if the shares of Stock are sold on the New York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95885</wp:posOffset>
            </wp:positionV>
            <wp:extent cx="64509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5">
                      <a:extLst>
                        <a:ext uri="{28A0092B-C50C-407E-A947-70E740481C1C}"/>
                      </a:extLst>
                    </a:blip>
                    <a:srcRect/>
                    <a:stretch>
                      <a:fillRect/>
                    </a:stretch>
                  </pic:blipFill>
                  <pic:spPr bwMode="auto">
                    <a:xfrm>
                      <a:off x="0" y="0"/>
                      <a:ext cx="6450965" cy="8255"/>
                    </a:xfrm>
                    <a:prstGeom prst="rect">
                      <a:avLst/>
                    </a:prstGeom>
                    <a:noFill/>
                  </pic:spPr>
                </pic:pic>
              </a:graphicData>
            </a:graphic>
          </wp:anchor>
        </w:drawing>
      </w:r>
    </w:p>
    <w:p>
      <w:pPr>
        <w:sectPr>
          <w:pgSz w:w="11900" w:h="16838" w:orient="portrait"/>
          <w:cols w:equalWidth="0" w:num="1">
            <w:col w:w="10059"/>
          </w:cols>
          <w:pgMar w:left="400" w:top="360" w:right="1440"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52"/>
        </w:trPr>
        <w:tc>
          <w:tcPr>
            <w:tcW w:w="1260" w:type="dxa"/>
            <w:vAlign w:val="bottom"/>
            <w:tcBorders>
              <w:top w:val="single" w:sz="8" w:color="auto"/>
            </w:tcBorders>
          </w:tcPr>
          <w:p>
            <w:pPr>
              <w:ind w:left="80"/>
              <w:spacing w:after="0"/>
              <w:rPr>
                <w:sz w:val="20"/>
                <w:szCs w:val="20"/>
                <w:color w:val="auto"/>
              </w:rPr>
            </w:pPr>
            <w:r>
              <w:rPr>
                <w:rFonts w:ascii="Calibri" w:cs="Calibri" w:eastAsia="Calibri" w:hAnsi="Calibri"/>
                <w:sz w:val="19"/>
                <w:szCs w:val="19"/>
                <w:b w:val="1"/>
                <w:bCs w:val="1"/>
                <w:color w:val="auto"/>
              </w:rPr>
              <w:t>Bangladesh</w:t>
            </w:r>
          </w:p>
        </w:tc>
        <w:tc>
          <w:tcPr>
            <w:tcW w:w="8900" w:type="dxa"/>
            <w:vAlign w:val="bottom"/>
            <w:tcBorders>
              <w:top w:val="single" w:sz="8" w:color="auto"/>
            </w:tcBorders>
          </w:tcPr>
          <w:p>
            <w:pPr>
              <w:ind w:left="280"/>
              <w:spacing w:after="0"/>
              <w:rPr>
                <w:sz w:val="20"/>
                <w:szCs w:val="20"/>
                <w:color w:val="auto"/>
              </w:rPr>
            </w:pPr>
            <w:r>
              <w:rPr>
                <w:rFonts w:ascii="Calibri" w:cs="Calibri" w:eastAsia="Calibri" w:hAnsi="Calibri"/>
                <w:sz w:val="19"/>
                <w:szCs w:val="19"/>
                <w:b w:val="1"/>
                <w:bCs w:val="1"/>
                <w:color w:val="auto"/>
              </w:rPr>
              <w:t>Securites Law Notce</w:t>
            </w:r>
          </w:p>
        </w:tc>
      </w:tr>
      <w:tr>
        <w:trPr>
          <w:trHeight w:val="213"/>
        </w:trPr>
        <w:tc>
          <w:tcPr>
            <w:tcW w:w="1260" w:type="dxa"/>
            <w:vAlign w:val="bottom"/>
          </w:tcPr>
          <w:p>
            <w:pPr>
              <w:spacing w:after="0"/>
              <w:rPr>
                <w:sz w:val="18"/>
                <w:szCs w:val="18"/>
                <w:color w:val="auto"/>
              </w:rPr>
            </w:pPr>
          </w:p>
        </w:tc>
        <w:tc>
          <w:tcPr>
            <w:tcW w:w="8900" w:type="dxa"/>
            <w:vAlign w:val="bottom"/>
          </w:tcPr>
          <w:p>
            <w:pPr>
              <w:ind w:left="280"/>
              <w:spacing w:after="0" w:line="212" w:lineRule="exact"/>
              <w:rPr>
                <w:sz w:val="20"/>
                <w:szCs w:val="20"/>
                <w:color w:val="auto"/>
              </w:rPr>
            </w:pPr>
            <w:r>
              <w:rPr>
                <w:rFonts w:ascii="Calibri" w:cs="Calibri" w:eastAsia="Calibri" w:hAnsi="Calibri"/>
                <w:sz w:val="19"/>
                <w:szCs w:val="19"/>
                <w:color w:val="auto"/>
              </w:rPr>
              <w:t>The Restricted Stock Units shall not be publicly ofered or listed on any stock exchange in Bangladesh. The</w:t>
            </w:r>
          </w:p>
        </w:tc>
      </w:tr>
      <w:tr>
        <w:trPr>
          <w:trHeight w:val="193"/>
        </w:trPr>
        <w:tc>
          <w:tcPr>
            <w:tcW w:w="1260" w:type="dxa"/>
            <w:vAlign w:val="bottom"/>
          </w:tcPr>
          <w:p>
            <w:pPr>
              <w:spacing w:after="0"/>
              <w:rPr>
                <w:sz w:val="16"/>
                <w:szCs w:val="16"/>
                <w:color w:val="auto"/>
              </w:rPr>
            </w:pPr>
          </w:p>
        </w:tc>
        <w:tc>
          <w:tcPr>
            <w:tcW w:w="8900" w:type="dxa"/>
            <w:vAlign w:val="bottom"/>
          </w:tcPr>
          <w:p>
            <w:pPr>
              <w:ind w:left="280"/>
              <w:spacing w:after="0" w:line="194" w:lineRule="exact"/>
              <w:rPr>
                <w:sz w:val="20"/>
                <w:szCs w:val="20"/>
                <w:color w:val="auto"/>
              </w:rPr>
            </w:pPr>
            <w:r>
              <w:rPr>
                <w:rFonts w:ascii="Calibri" w:cs="Calibri" w:eastAsia="Calibri" w:hAnsi="Calibri"/>
                <w:sz w:val="19"/>
                <w:szCs w:val="19"/>
                <w:color w:val="auto"/>
              </w:rPr>
              <w:t>ofer is intended to be private and the Agreement does not consttute a prospectus for purposes of the 1969</w:t>
            </w:r>
          </w:p>
        </w:tc>
      </w:tr>
      <w:tr>
        <w:trPr>
          <w:trHeight w:val="226"/>
        </w:trPr>
        <w:tc>
          <w:tcPr>
            <w:tcW w:w="1260" w:type="dxa"/>
            <w:vAlign w:val="bottom"/>
          </w:tcPr>
          <w:p>
            <w:pPr>
              <w:spacing w:after="0"/>
              <w:rPr>
                <w:sz w:val="19"/>
                <w:szCs w:val="19"/>
                <w:color w:val="auto"/>
              </w:rPr>
            </w:pPr>
          </w:p>
        </w:tc>
        <w:tc>
          <w:tcPr>
            <w:tcW w:w="8900" w:type="dxa"/>
            <w:vAlign w:val="bottom"/>
          </w:tcPr>
          <w:p>
            <w:pPr>
              <w:ind w:left="280"/>
              <w:spacing w:after="0" w:line="226" w:lineRule="exact"/>
              <w:rPr>
                <w:sz w:val="20"/>
                <w:szCs w:val="20"/>
                <w:color w:val="auto"/>
              </w:rPr>
            </w:pPr>
            <w:r>
              <w:rPr>
                <w:rFonts w:ascii="Calibri" w:cs="Calibri" w:eastAsia="Calibri" w:hAnsi="Calibri"/>
                <w:sz w:val="19"/>
                <w:szCs w:val="19"/>
                <w:color w:val="auto"/>
              </w:rPr>
              <w:t>Securites and Exchange Ordinance, as amended.</w:t>
            </w: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120" w:type="dxa"/>
            <w:vAlign w:val="bottom"/>
            <w:tcBorders>
              <w:top w:val="single" w:sz="8" w:color="auto"/>
            </w:tcBorders>
          </w:tcPr>
          <w:p>
            <w:pPr>
              <w:ind w:left="80"/>
              <w:spacing w:after="0"/>
              <w:rPr>
                <w:sz w:val="20"/>
                <w:szCs w:val="20"/>
                <w:color w:val="auto"/>
              </w:rPr>
            </w:pPr>
            <w:r>
              <w:rPr>
                <w:rFonts w:ascii="Calibri" w:cs="Calibri" w:eastAsia="Calibri" w:hAnsi="Calibri"/>
                <w:sz w:val="19"/>
                <w:szCs w:val="19"/>
                <w:b w:val="1"/>
                <w:bCs w:val="1"/>
                <w:color w:val="auto"/>
              </w:rPr>
              <w:t>Belgium</w:t>
            </w:r>
          </w:p>
        </w:tc>
        <w:tc>
          <w:tcPr>
            <w:tcW w:w="9040" w:type="dxa"/>
            <w:vAlign w:val="bottom"/>
            <w:tcBorders>
              <w:top w:val="single" w:sz="8" w:color="auto"/>
            </w:tcBorders>
          </w:tcPr>
          <w:p>
            <w:pPr>
              <w:ind w:left="420"/>
              <w:spacing w:after="0"/>
              <w:rPr>
                <w:sz w:val="20"/>
                <w:szCs w:val="20"/>
                <w:color w:val="auto"/>
              </w:rPr>
            </w:pPr>
            <w:r>
              <w:rPr>
                <w:rFonts w:ascii="Calibri" w:cs="Calibri" w:eastAsia="Calibri" w:hAnsi="Calibri"/>
                <w:sz w:val="19"/>
                <w:szCs w:val="19"/>
                <w:b w:val="1"/>
                <w:bCs w:val="1"/>
                <w:color w:val="auto"/>
              </w:rPr>
              <w:t>Foreign Ownership / Exchange Informaton</w:t>
            </w:r>
          </w:p>
        </w:tc>
      </w:tr>
      <w:tr>
        <w:trPr>
          <w:trHeight w:val="213"/>
        </w:trPr>
        <w:tc>
          <w:tcPr>
            <w:tcW w:w="1120" w:type="dxa"/>
            <w:vAlign w:val="bottom"/>
          </w:tcPr>
          <w:p>
            <w:pPr>
              <w:spacing w:after="0"/>
              <w:rPr>
                <w:sz w:val="18"/>
                <w:szCs w:val="18"/>
                <w:color w:val="auto"/>
              </w:rPr>
            </w:pPr>
          </w:p>
        </w:tc>
        <w:tc>
          <w:tcPr>
            <w:tcW w:w="9040" w:type="dxa"/>
            <w:vAlign w:val="bottom"/>
          </w:tcPr>
          <w:p>
            <w:pPr>
              <w:ind w:left="420"/>
              <w:spacing w:after="0" w:line="212" w:lineRule="exact"/>
              <w:rPr>
                <w:sz w:val="20"/>
                <w:szCs w:val="20"/>
                <w:color w:val="auto"/>
              </w:rPr>
            </w:pPr>
            <w:r>
              <w:rPr>
                <w:rFonts w:ascii="Calibri" w:cs="Calibri" w:eastAsia="Calibri" w:hAnsi="Calibri"/>
                <w:sz w:val="19"/>
                <w:szCs w:val="19"/>
                <w:color w:val="auto"/>
              </w:rPr>
              <w:t>If Employee is a Belgian resident, Employee is required to report any securites (</w:t>
            </w:r>
            <w:r>
              <w:rPr>
                <w:rFonts w:ascii="Calibri" w:cs="Calibri" w:eastAsia="Calibri" w:hAnsi="Calibri"/>
                <w:sz w:val="19"/>
                <w:szCs w:val="19"/>
                <w:i w:val="1"/>
                <w:iCs w:val="1"/>
                <w:color w:val="auto"/>
              </w:rPr>
              <w:t>e.g.</w:t>
            </w:r>
            <w:r>
              <w:rPr>
                <w:rFonts w:ascii="Calibri" w:cs="Calibri" w:eastAsia="Calibri" w:hAnsi="Calibri"/>
                <w:sz w:val="19"/>
                <w:szCs w:val="19"/>
                <w:color w:val="auto"/>
              </w:rPr>
              <w:t>, shares of Stock acquired</w:t>
            </w:r>
          </w:p>
        </w:tc>
      </w:tr>
      <w:tr>
        <w:trPr>
          <w:trHeight w:val="193"/>
        </w:trPr>
        <w:tc>
          <w:tcPr>
            <w:tcW w:w="1120" w:type="dxa"/>
            <w:vAlign w:val="bottom"/>
          </w:tcPr>
          <w:p>
            <w:pPr>
              <w:spacing w:after="0"/>
              <w:rPr>
                <w:sz w:val="16"/>
                <w:szCs w:val="16"/>
                <w:color w:val="auto"/>
              </w:rPr>
            </w:pPr>
          </w:p>
        </w:tc>
        <w:tc>
          <w:tcPr>
            <w:tcW w:w="9040" w:type="dxa"/>
            <w:vAlign w:val="bottom"/>
          </w:tcPr>
          <w:p>
            <w:pPr>
              <w:ind w:left="420"/>
              <w:spacing w:after="0" w:line="194" w:lineRule="exact"/>
              <w:rPr>
                <w:sz w:val="20"/>
                <w:szCs w:val="20"/>
                <w:color w:val="auto"/>
              </w:rPr>
            </w:pPr>
            <w:r>
              <w:rPr>
                <w:rFonts w:ascii="Calibri" w:cs="Calibri" w:eastAsia="Calibri" w:hAnsi="Calibri"/>
                <w:sz w:val="19"/>
                <w:szCs w:val="19"/>
                <w:color w:val="auto"/>
              </w:rPr>
              <w:t>under the Plan) or bank account (including brokerage account) established outside of Belgium on Employee’s</w:t>
            </w:r>
          </w:p>
        </w:tc>
      </w:tr>
      <w:tr>
        <w:trPr>
          <w:trHeight w:val="193"/>
        </w:trPr>
        <w:tc>
          <w:tcPr>
            <w:tcW w:w="1120" w:type="dxa"/>
            <w:vAlign w:val="bottom"/>
          </w:tcPr>
          <w:p>
            <w:pPr>
              <w:spacing w:after="0"/>
              <w:rPr>
                <w:sz w:val="16"/>
                <w:szCs w:val="16"/>
                <w:color w:val="auto"/>
              </w:rPr>
            </w:pPr>
          </w:p>
        </w:tc>
        <w:tc>
          <w:tcPr>
            <w:tcW w:w="9040" w:type="dxa"/>
            <w:vAlign w:val="bottom"/>
          </w:tcPr>
          <w:p>
            <w:pPr>
              <w:ind w:left="420"/>
              <w:spacing w:after="0" w:line="194" w:lineRule="exact"/>
              <w:rPr>
                <w:sz w:val="20"/>
                <w:szCs w:val="20"/>
                <w:color w:val="auto"/>
              </w:rPr>
            </w:pPr>
            <w:r>
              <w:rPr>
                <w:rFonts w:ascii="Calibri" w:cs="Calibri" w:eastAsia="Calibri" w:hAnsi="Calibri"/>
                <w:sz w:val="19"/>
                <w:szCs w:val="19"/>
                <w:color w:val="auto"/>
              </w:rPr>
              <w:t>annual tax return. In a separate report, Employee is required to provide the Natonal Bank of Belgium with</w:t>
            </w:r>
          </w:p>
        </w:tc>
      </w:tr>
      <w:tr>
        <w:trPr>
          <w:trHeight w:val="180"/>
        </w:trPr>
        <w:tc>
          <w:tcPr>
            <w:tcW w:w="1120" w:type="dxa"/>
            <w:vAlign w:val="bottom"/>
          </w:tcPr>
          <w:p>
            <w:pPr>
              <w:spacing w:after="0"/>
              <w:rPr>
                <w:sz w:val="15"/>
                <w:szCs w:val="15"/>
                <w:color w:val="auto"/>
              </w:rPr>
            </w:pPr>
          </w:p>
        </w:tc>
        <w:tc>
          <w:tcPr>
            <w:tcW w:w="9040" w:type="dxa"/>
            <w:vAlign w:val="bottom"/>
          </w:tcPr>
          <w:p>
            <w:pPr>
              <w:ind w:left="420"/>
              <w:spacing w:after="0" w:line="180" w:lineRule="exact"/>
              <w:rPr>
                <w:sz w:val="20"/>
                <w:szCs w:val="20"/>
                <w:color w:val="auto"/>
              </w:rPr>
            </w:pPr>
            <w:r>
              <w:rPr>
                <w:rFonts w:ascii="Calibri" w:cs="Calibri" w:eastAsia="Calibri" w:hAnsi="Calibri"/>
                <w:sz w:val="19"/>
                <w:szCs w:val="19"/>
                <w:color w:val="auto"/>
              </w:rPr>
              <w:t>the account details of any such foreign accounts. Employee should consult with his/her personal tax advisor</w:t>
            </w:r>
          </w:p>
        </w:tc>
      </w:tr>
      <w:tr>
        <w:trPr>
          <w:trHeight w:val="226"/>
        </w:trPr>
        <w:tc>
          <w:tcPr>
            <w:tcW w:w="1120" w:type="dxa"/>
            <w:vAlign w:val="bottom"/>
          </w:tcPr>
          <w:p>
            <w:pPr>
              <w:spacing w:after="0"/>
              <w:rPr>
                <w:sz w:val="19"/>
                <w:szCs w:val="19"/>
                <w:color w:val="auto"/>
              </w:rPr>
            </w:pPr>
          </w:p>
        </w:tc>
        <w:tc>
          <w:tcPr>
            <w:tcW w:w="9040" w:type="dxa"/>
            <w:vAlign w:val="bottom"/>
          </w:tcPr>
          <w:p>
            <w:pPr>
              <w:ind w:left="420"/>
              <w:spacing w:after="0" w:line="226" w:lineRule="exact"/>
              <w:rPr>
                <w:sz w:val="20"/>
                <w:szCs w:val="20"/>
                <w:color w:val="auto"/>
              </w:rPr>
            </w:pPr>
            <w:r>
              <w:rPr>
                <w:rFonts w:ascii="Calibri" w:cs="Calibri" w:eastAsia="Calibri" w:hAnsi="Calibri"/>
                <w:sz w:val="19"/>
                <w:szCs w:val="19"/>
                <w:color w:val="auto"/>
              </w:rPr>
              <w:t>to determine Employee’s personal reportng obligatons.</w:t>
            </w:r>
          </w:p>
        </w:tc>
      </w:tr>
      <w:tr>
        <w:trPr>
          <w:trHeight w:val="297"/>
        </w:trPr>
        <w:tc>
          <w:tcPr>
            <w:tcW w:w="1120" w:type="dxa"/>
            <w:vAlign w:val="bottom"/>
          </w:tcPr>
          <w:p>
            <w:pPr>
              <w:spacing w:after="0"/>
              <w:rPr>
                <w:sz w:val="24"/>
                <w:szCs w:val="24"/>
                <w:color w:val="auto"/>
              </w:rPr>
            </w:pPr>
          </w:p>
        </w:tc>
        <w:tc>
          <w:tcPr>
            <w:tcW w:w="9040" w:type="dxa"/>
            <w:vAlign w:val="bottom"/>
          </w:tcPr>
          <w:p>
            <w:pPr>
              <w:ind w:left="420"/>
              <w:spacing w:after="0"/>
              <w:rPr>
                <w:sz w:val="20"/>
                <w:szCs w:val="20"/>
                <w:color w:val="auto"/>
              </w:rPr>
            </w:pPr>
            <w:r>
              <w:rPr>
                <w:rFonts w:ascii="Calibri" w:cs="Calibri" w:eastAsia="Calibri" w:hAnsi="Calibri"/>
                <w:sz w:val="19"/>
                <w:szCs w:val="19"/>
                <w:b w:val="1"/>
                <w:bCs w:val="1"/>
                <w:color w:val="auto"/>
              </w:rPr>
              <w:t>Stock Exchange Tax Informaton</w:t>
            </w:r>
          </w:p>
        </w:tc>
      </w:tr>
      <w:tr>
        <w:trPr>
          <w:trHeight w:val="251"/>
        </w:trPr>
        <w:tc>
          <w:tcPr>
            <w:tcW w:w="1120" w:type="dxa"/>
            <w:vAlign w:val="bottom"/>
          </w:tcPr>
          <w:p>
            <w:pPr>
              <w:spacing w:after="0"/>
              <w:rPr>
                <w:sz w:val="21"/>
                <w:szCs w:val="21"/>
                <w:color w:val="auto"/>
              </w:rPr>
            </w:pPr>
          </w:p>
        </w:tc>
        <w:tc>
          <w:tcPr>
            <w:tcW w:w="9040" w:type="dxa"/>
            <w:vAlign w:val="bottom"/>
          </w:tcPr>
          <w:p>
            <w:pPr>
              <w:ind w:left="420"/>
              <w:spacing w:after="0"/>
              <w:rPr>
                <w:sz w:val="20"/>
                <w:szCs w:val="20"/>
                <w:color w:val="auto"/>
              </w:rPr>
            </w:pPr>
            <w:r>
              <w:rPr>
                <w:rFonts w:ascii="Calibri" w:cs="Calibri" w:eastAsia="Calibri" w:hAnsi="Calibri"/>
                <w:sz w:val="19"/>
                <w:szCs w:val="19"/>
                <w:color w:val="auto"/>
              </w:rPr>
              <w:t>A stock exchange tax will apply to transactons executed by a Belgian resident through a non-Belgian fnancial</w:t>
            </w:r>
          </w:p>
        </w:tc>
      </w:tr>
      <w:tr>
        <w:trPr>
          <w:trHeight w:val="193"/>
        </w:trPr>
        <w:tc>
          <w:tcPr>
            <w:tcW w:w="1120" w:type="dxa"/>
            <w:vAlign w:val="bottom"/>
          </w:tcPr>
          <w:p>
            <w:pPr>
              <w:spacing w:after="0"/>
              <w:rPr>
                <w:sz w:val="16"/>
                <w:szCs w:val="16"/>
                <w:color w:val="auto"/>
              </w:rPr>
            </w:pPr>
          </w:p>
        </w:tc>
        <w:tc>
          <w:tcPr>
            <w:tcW w:w="9040" w:type="dxa"/>
            <w:vAlign w:val="bottom"/>
          </w:tcPr>
          <w:p>
            <w:pPr>
              <w:ind w:left="420"/>
              <w:spacing w:after="0" w:line="194" w:lineRule="exact"/>
              <w:rPr>
                <w:sz w:val="20"/>
                <w:szCs w:val="20"/>
                <w:color w:val="auto"/>
              </w:rPr>
            </w:pPr>
            <w:r>
              <w:rPr>
                <w:rFonts w:ascii="Calibri" w:cs="Calibri" w:eastAsia="Calibri" w:hAnsi="Calibri"/>
                <w:sz w:val="19"/>
                <w:szCs w:val="19"/>
                <w:color w:val="auto"/>
              </w:rPr>
              <w:t>intermediary, such as a U.S. broker. The stock exchange tax likely will apply when shares of Stock acquired</w:t>
            </w:r>
          </w:p>
        </w:tc>
      </w:tr>
      <w:tr>
        <w:trPr>
          <w:trHeight w:val="193"/>
        </w:trPr>
        <w:tc>
          <w:tcPr>
            <w:tcW w:w="1120" w:type="dxa"/>
            <w:vAlign w:val="bottom"/>
          </w:tcPr>
          <w:p>
            <w:pPr>
              <w:spacing w:after="0"/>
              <w:rPr>
                <w:sz w:val="16"/>
                <w:szCs w:val="16"/>
                <w:color w:val="auto"/>
              </w:rPr>
            </w:pPr>
          </w:p>
        </w:tc>
        <w:tc>
          <w:tcPr>
            <w:tcW w:w="9040" w:type="dxa"/>
            <w:vAlign w:val="bottom"/>
          </w:tcPr>
          <w:p>
            <w:pPr>
              <w:ind w:left="420"/>
              <w:spacing w:after="0" w:line="194" w:lineRule="exact"/>
              <w:rPr>
                <w:sz w:val="20"/>
                <w:szCs w:val="20"/>
                <w:color w:val="auto"/>
              </w:rPr>
            </w:pPr>
            <w:r>
              <w:rPr>
                <w:rFonts w:ascii="Calibri" w:cs="Calibri" w:eastAsia="Calibri" w:hAnsi="Calibri"/>
                <w:sz w:val="19"/>
                <w:szCs w:val="19"/>
                <w:color w:val="auto"/>
              </w:rPr>
              <w:t>under the Plan are sold. Belgian residents should consult with a personal tax or fnancial advisor for</w:t>
            </w:r>
          </w:p>
        </w:tc>
      </w:tr>
      <w:tr>
        <w:trPr>
          <w:trHeight w:val="226"/>
        </w:trPr>
        <w:tc>
          <w:tcPr>
            <w:tcW w:w="1120" w:type="dxa"/>
            <w:vAlign w:val="bottom"/>
          </w:tcPr>
          <w:p>
            <w:pPr>
              <w:spacing w:after="0"/>
              <w:rPr>
                <w:sz w:val="19"/>
                <w:szCs w:val="19"/>
                <w:color w:val="auto"/>
              </w:rPr>
            </w:pPr>
          </w:p>
        </w:tc>
        <w:tc>
          <w:tcPr>
            <w:tcW w:w="9040" w:type="dxa"/>
            <w:vAlign w:val="bottom"/>
          </w:tcPr>
          <w:p>
            <w:pPr>
              <w:ind w:left="420"/>
              <w:spacing w:after="0" w:line="226" w:lineRule="exact"/>
              <w:rPr>
                <w:sz w:val="20"/>
                <w:szCs w:val="20"/>
                <w:color w:val="auto"/>
              </w:rPr>
            </w:pPr>
            <w:r>
              <w:rPr>
                <w:rFonts w:ascii="Calibri" w:cs="Calibri" w:eastAsia="Calibri" w:hAnsi="Calibri"/>
                <w:sz w:val="19"/>
                <w:szCs w:val="19"/>
                <w:color w:val="auto"/>
              </w:rPr>
              <w:t>additonal details on their obligatons with respect to the stock exchange tax.</w:t>
            </w:r>
          </w:p>
        </w:tc>
      </w:tr>
      <w:tr>
        <w:trPr>
          <w:trHeight w:val="284"/>
        </w:trPr>
        <w:tc>
          <w:tcPr>
            <w:tcW w:w="1120" w:type="dxa"/>
            <w:vAlign w:val="bottom"/>
          </w:tcPr>
          <w:p>
            <w:pPr>
              <w:spacing w:after="0"/>
              <w:rPr>
                <w:sz w:val="24"/>
                <w:szCs w:val="24"/>
                <w:color w:val="auto"/>
              </w:rPr>
            </w:pPr>
          </w:p>
        </w:tc>
        <w:tc>
          <w:tcPr>
            <w:tcW w:w="9040" w:type="dxa"/>
            <w:vAlign w:val="bottom"/>
          </w:tcPr>
          <w:p>
            <w:pPr>
              <w:ind w:left="420"/>
              <w:spacing w:after="0"/>
              <w:rPr>
                <w:sz w:val="20"/>
                <w:szCs w:val="20"/>
                <w:color w:val="auto"/>
              </w:rPr>
            </w:pPr>
            <w:r>
              <w:rPr>
                <w:rFonts w:ascii="Calibri" w:cs="Calibri" w:eastAsia="Calibri" w:hAnsi="Calibri"/>
                <w:sz w:val="19"/>
                <w:szCs w:val="19"/>
                <w:b w:val="1"/>
                <w:bCs w:val="1"/>
                <w:color w:val="auto"/>
              </w:rPr>
              <w:t>Annual Securites Accounts Tax Informaton</w:t>
            </w:r>
          </w:p>
        </w:tc>
      </w:tr>
      <w:tr>
        <w:trPr>
          <w:trHeight w:val="264"/>
        </w:trPr>
        <w:tc>
          <w:tcPr>
            <w:tcW w:w="1120" w:type="dxa"/>
            <w:vAlign w:val="bottom"/>
          </w:tcPr>
          <w:p>
            <w:pPr>
              <w:spacing w:after="0"/>
              <w:rPr>
                <w:sz w:val="22"/>
                <w:szCs w:val="22"/>
                <w:color w:val="auto"/>
              </w:rPr>
            </w:pPr>
          </w:p>
        </w:tc>
        <w:tc>
          <w:tcPr>
            <w:tcW w:w="9040" w:type="dxa"/>
            <w:vAlign w:val="bottom"/>
          </w:tcPr>
          <w:p>
            <w:pPr>
              <w:ind w:left="420"/>
              <w:spacing w:after="0"/>
              <w:rPr>
                <w:sz w:val="20"/>
                <w:szCs w:val="20"/>
                <w:color w:val="auto"/>
              </w:rPr>
            </w:pPr>
            <w:r>
              <w:rPr>
                <w:rFonts w:ascii="Calibri" w:cs="Calibri" w:eastAsia="Calibri" w:hAnsi="Calibri"/>
                <w:sz w:val="19"/>
                <w:szCs w:val="19"/>
                <w:color w:val="auto"/>
              </w:rPr>
              <w:t>An annual securites accounts tax may be payable if the total value of the securites held in a Belgian or</w:t>
            </w:r>
          </w:p>
        </w:tc>
      </w:tr>
      <w:tr>
        <w:trPr>
          <w:trHeight w:val="180"/>
        </w:trPr>
        <w:tc>
          <w:tcPr>
            <w:tcW w:w="1120" w:type="dxa"/>
            <w:vAlign w:val="bottom"/>
          </w:tcPr>
          <w:p>
            <w:pPr>
              <w:spacing w:after="0"/>
              <w:rPr>
                <w:sz w:val="15"/>
                <w:szCs w:val="15"/>
                <w:color w:val="auto"/>
              </w:rPr>
            </w:pPr>
          </w:p>
        </w:tc>
        <w:tc>
          <w:tcPr>
            <w:tcW w:w="9040" w:type="dxa"/>
            <w:vAlign w:val="bottom"/>
          </w:tcPr>
          <w:p>
            <w:pPr>
              <w:ind w:left="420"/>
              <w:spacing w:after="0" w:line="180" w:lineRule="exact"/>
              <w:rPr>
                <w:sz w:val="20"/>
                <w:szCs w:val="20"/>
                <w:color w:val="auto"/>
              </w:rPr>
            </w:pPr>
            <w:r>
              <w:rPr>
                <w:rFonts w:ascii="Calibri" w:cs="Calibri" w:eastAsia="Calibri" w:hAnsi="Calibri"/>
                <w:sz w:val="19"/>
                <w:szCs w:val="19"/>
                <w:color w:val="auto"/>
              </w:rPr>
              <w:t>foreign securites account (</w:t>
            </w:r>
            <w:r>
              <w:rPr>
                <w:rFonts w:ascii="Calibri" w:cs="Calibri" w:eastAsia="Calibri" w:hAnsi="Calibri"/>
                <w:sz w:val="19"/>
                <w:szCs w:val="19"/>
                <w:i w:val="1"/>
                <w:iCs w:val="1"/>
                <w:color w:val="auto"/>
              </w:rPr>
              <w:t>e.g.</w:t>
            </w:r>
            <w:r>
              <w:rPr>
                <w:rFonts w:ascii="Calibri" w:cs="Calibri" w:eastAsia="Calibri" w:hAnsi="Calibri"/>
                <w:sz w:val="19"/>
                <w:szCs w:val="19"/>
                <w:color w:val="auto"/>
              </w:rPr>
              <w:t>, shares of Stock acquired under the Plan) exceeds a certain threshold on four</w:t>
            </w:r>
          </w:p>
        </w:tc>
      </w:tr>
      <w:tr>
        <w:trPr>
          <w:trHeight w:val="193"/>
        </w:trPr>
        <w:tc>
          <w:tcPr>
            <w:tcW w:w="1120" w:type="dxa"/>
            <w:vAlign w:val="bottom"/>
          </w:tcPr>
          <w:p>
            <w:pPr>
              <w:spacing w:after="0"/>
              <w:rPr>
                <w:sz w:val="16"/>
                <w:szCs w:val="16"/>
                <w:color w:val="auto"/>
              </w:rPr>
            </w:pPr>
          </w:p>
        </w:tc>
        <w:tc>
          <w:tcPr>
            <w:tcW w:w="9040" w:type="dxa"/>
            <w:vAlign w:val="bottom"/>
          </w:tcPr>
          <w:p>
            <w:pPr>
              <w:ind w:left="420"/>
              <w:spacing w:after="0" w:line="194" w:lineRule="exact"/>
              <w:rPr>
                <w:sz w:val="20"/>
                <w:szCs w:val="20"/>
                <w:color w:val="auto"/>
              </w:rPr>
            </w:pPr>
            <w:r>
              <w:rPr>
                <w:rFonts w:ascii="Calibri" w:cs="Calibri" w:eastAsia="Calibri" w:hAnsi="Calibri"/>
                <w:sz w:val="19"/>
                <w:szCs w:val="19"/>
                <w:color w:val="auto"/>
              </w:rPr>
              <w:t>reference dates within the relevant reportng period (</w:t>
            </w:r>
            <w:r>
              <w:rPr>
                <w:rFonts w:ascii="Calibri" w:cs="Calibri" w:eastAsia="Calibri" w:hAnsi="Calibri"/>
                <w:sz w:val="19"/>
                <w:szCs w:val="19"/>
                <w:i w:val="1"/>
                <w:iCs w:val="1"/>
                <w:color w:val="auto"/>
              </w:rPr>
              <w:t>i.e.</w:t>
            </w:r>
            <w:r>
              <w:rPr>
                <w:rFonts w:ascii="Calibri" w:cs="Calibri" w:eastAsia="Calibri" w:hAnsi="Calibri"/>
                <w:sz w:val="19"/>
                <w:szCs w:val="19"/>
                <w:color w:val="auto"/>
              </w:rPr>
              <w:t>, December 31, March 31, June 30 and September</w:t>
            </w:r>
          </w:p>
        </w:tc>
      </w:tr>
      <w:tr>
        <w:trPr>
          <w:trHeight w:val="226"/>
        </w:trPr>
        <w:tc>
          <w:tcPr>
            <w:tcW w:w="1120" w:type="dxa"/>
            <w:vAlign w:val="bottom"/>
          </w:tcPr>
          <w:p>
            <w:pPr>
              <w:spacing w:after="0"/>
              <w:rPr>
                <w:sz w:val="19"/>
                <w:szCs w:val="19"/>
                <w:color w:val="auto"/>
              </w:rPr>
            </w:pPr>
          </w:p>
        </w:tc>
        <w:tc>
          <w:tcPr>
            <w:tcW w:w="9040" w:type="dxa"/>
            <w:vAlign w:val="bottom"/>
          </w:tcPr>
          <w:p>
            <w:pPr>
              <w:ind w:left="420"/>
              <w:spacing w:after="0" w:line="226" w:lineRule="exact"/>
              <w:rPr>
                <w:sz w:val="20"/>
                <w:szCs w:val="20"/>
                <w:color w:val="auto"/>
              </w:rPr>
            </w:pPr>
            <w:r>
              <w:rPr>
                <w:rFonts w:ascii="Calibri" w:cs="Calibri" w:eastAsia="Calibri" w:hAnsi="Calibri"/>
                <w:sz w:val="19"/>
                <w:szCs w:val="19"/>
                <w:color w:val="auto"/>
              </w:rPr>
              <w:t>30). In such case, the tax will be due on the value of the qualifying securites held in such account.</w:t>
            </w:r>
          </w:p>
        </w:tc>
      </w:tr>
      <w:tr>
        <w:trPr>
          <w:trHeight w:val="147"/>
        </w:trPr>
        <w:tc>
          <w:tcPr>
            <w:tcW w:w="1120" w:type="dxa"/>
            <w:vAlign w:val="bottom"/>
            <w:tcBorders>
              <w:bottom w:val="single" w:sz="8" w:color="auto"/>
            </w:tcBorders>
          </w:tcPr>
          <w:p>
            <w:pPr>
              <w:spacing w:after="0"/>
              <w:rPr>
                <w:sz w:val="12"/>
                <w:szCs w:val="12"/>
                <w:color w:val="auto"/>
              </w:rPr>
            </w:pPr>
          </w:p>
        </w:tc>
        <w:tc>
          <w:tcPr>
            <w:tcW w:w="9040" w:type="dxa"/>
            <w:vAlign w:val="bottom"/>
            <w:tcBorders>
              <w:bottom w:val="single" w:sz="8" w:color="auto"/>
            </w:tcBorders>
          </w:tcPr>
          <w:p>
            <w:pPr>
              <w:spacing w:after="0"/>
              <w:rPr>
                <w:sz w:val="12"/>
                <w:szCs w:val="12"/>
                <w:color w:val="auto"/>
              </w:rPr>
            </w:pPr>
          </w:p>
        </w:tc>
      </w:tr>
      <w:tr>
        <w:trPr>
          <w:trHeight w:val="232"/>
        </w:trPr>
        <w:tc>
          <w:tcPr>
            <w:tcW w:w="1120" w:type="dxa"/>
            <w:vAlign w:val="bottom"/>
          </w:tcPr>
          <w:p>
            <w:pPr>
              <w:ind w:left="80"/>
              <w:spacing w:after="0"/>
              <w:rPr>
                <w:sz w:val="20"/>
                <w:szCs w:val="20"/>
                <w:color w:val="auto"/>
              </w:rPr>
            </w:pPr>
            <w:r>
              <w:rPr>
                <w:rFonts w:ascii="Calibri" w:cs="Calibri" w:eastAsia="Calibri" w:hAnsi="Calibri"/>
                <w:sz w:val="19"/>
                <w:szCs w:val="19"/>
                <w:b w:val="1"/>
                <w:bCs w:val="1"/>
                <w:color w:val="auto"/>
              </w:rPr>
              <w:t>Bolivia</w:t>
            </w:r>
          </w:p>
        </w:tc>
        <w:tc>
          <w:tcPr>
            <w:tcW w:w="9040" w:type="dxa"/>
            <w:vAlign w:val="bottom"/>
          </w:tcPr>
          <w:p>
            <w:pPr>
              <w:ind w:left="420"/>
              <w:spacing w:after="0" w:line="226" w:lineRule="exact"/>
              <w:rPr>
                <w:sz w:val="20"/>
                <w:szCs w:val="20"/>
                <w:color w:val="auto"/>
              </w:rPr>
            </w:pPr>
            <w:r>
              <w:rPr>
                <w:rFonts w:ascii="Calibri" w:cs="Calibri" w:eastAsia="Calibri" w:hAnsi="Calibri"/>
                <w:sz w:val="19"/>
                <w:szCs w:val="19"/>
                <w:b w:val="1"/>
                <w:bCs w:val="1"/>
                <w:color w:val="auto"/>
              </w:rPr>
              <w:t>Securites Law Notce</w:t>
            </w:r>
          </w:p>
        </w:tc>
      </w:tr>
      <w:tr>
        <w:trPr>
          <w:trHeight w:val="290"/>
        </w:trPr>
        <w:tc>
          <w:tcPr>
            <w:tcW w:w="1120" w:type="dxa"/>
            <w:vAlign w:val="bottom"/>
          </w:tcPr>
          <w:p>
            <w:pPr>
              <w:spacing w:after="0"/>
              <w:rPr>
                <w:sz w:val="24"/>
                <w:szCs w:val="24"/>
                <w:color w:val="auto"/>
              </w:rPr>
            </w:pPr>
          </w:p>
        </w:tc>
        <w:tc>
          <w:tcPr>
            <w:tcW w:w="9040" w:type="dxa"/>
            <w:vAlign w:val="bottom"/>
          </w:tcPr>
          <w:p>
            <w:pPr>
              <w:ind w:left="420"/>
              <w:spacing w:after="0"/>
              <w:rPr>
                <w:sz w:val="20"/>
                <w:szCs w:val="20"/>
                <w:color w:val="auto"/>
              </w:rPr>
            </w:pPr>
            <w:r>
              <w:rPr>
                <w:rFonts w:ascii="Calibri" w:cs="Calibri" w:eastAsia="Calibri" w:hAnsi="Calibri"/>
                <w:sz w:val="19"/>
                <w:szCs w:val="19"/>
                <w:color w:val="auto"/>
              </w:rPr>
              <w:t>The Restricted Stock Units and the underlying shares of Stock are not publicly ofered or listed on any stock</w:t>
            </w:r>
          </w:p>
        </w:tc>
      </w:tr>
      <w:tr>
        <w:trPr>
          <w:trHeight w:val="180"/>
        </w:trPr>
        <w:tc>
          <w:tcPr>
            <w:tcW w:w="1120" w:type="dxa"/>
            <w:vAlign w:val="bottom"/>
          </w:tcPr>
          <w:p>
            <w:pPr>
              <w:spacing w:after="0"/>
              <w:rPr>
                <w:sz w:val="15"/>
                <w:szCs w:val="15"/>
                <w:color w:val="auto"/>
              </w:rPr>
            </w:pPr>
          </w:p>
        </w:tc>
        <w:tc>
          <w:tcPr>
            <w:tcW w:w="9040" w:type="dxa"/>
            <w:vAlign w:val="bottom"/>
          </w:tcPr>
          <w:p>
            <w:pPr>
              <w:ind w:left="420"/>
              <w:spacing w:after="0" w:line="180" w:lineRule="exact"/>
              <w:rPr>
                <w:sz w:val="20"/>
                <w:szCs w:val="20"/>
                <w:color w:val="auto"/>
              </w:rPr>
            </w:pPr>
            <w:r>
              <w:rPr>
                <w:rFonts w:ascii="Calibri" w:cs="Calibri" w:eastAsia="Calibri" w:hAnsi="Calibri"/>
                <w:sz w:val="19"/>
                <w:szCs w:val="19"/>
                <w:color w:val="auto"/>
              </w:rPr>
              <w:t>exchange in Bolivia. The ofer is private and not subject to the supervision of any Bolivian governmental</w:t>
            </w:r>
          </w:p>
        </w:tc>
      </w:tr>
      <w:tr>
        <w:trPr>
          <w:trHeight w:val="226"/>
        </w:trPr>
        <w:tc>
          <w:tcPr>
            <w:tcW w:w="1120" w:type="dxa"/>
            <w:vAlign w:val="bottom"/>
          </w:tcPr>
          <w:p>
            <w:pPr>
              <w:spacing w:after="0"/>
              <w:rPr>
                <w:sz w:val="19"/>
                <w:szCs w:val="19"/>
                <w:color w:val="auto"/>
              </w:rPr>
            </w:pPr>
          </w:p>
        </w:tc>
        <w:tc>
          <w:tcPr>
            <w:tcW w:w="9040" w:type="dxa"/>
            <w:vAlign w:val="bottom"/>
          </w:tcPr>
          <w:p>
            <w:pPr>
              <w:ind w:left="420"/>
              <w:spacing w:after="0" w:line="226" w:lineRule="exact"/>
              <w:rPr>
                <w:sz w:val="20"/>
                <w:szCs w:val="20"/>
                <w:color w:val="auto"/>
              </w:rPr>
            </w:pPr>
            <w:r>
              <w:rPr>
                <w:rFonts w:ascii="Calibri" w:cs="Calibri" w:eastAsia="Calibri" w:hAnsi="Calibri"/>
                <w:sz w:val="19"/>
                <w:szCs w:val="19"/>
                <w:color w:val="auto"/>
              </w:rPr>
              <w:t>authority.</w:t>
            </w:r>
          </w:p>
        </w:tc>
      </w:tr>
      <w:tr>
        <w:trPr>
          <w:trHeight w:val="212"/>
        </w:trPr>
        <w:tc>
          <w:tcPr>
            <w:tcW w:w="1120" w:type="dxa"/>
            <w:vAlign w:val="bottom"/>
            <w:tcBorders>
              <w:bottom w:val="single" w:sz="8" w:color="auto"/>
            </w:tcBorders>
          </w:tcPr>
          <w:p>
            <w:pPr>
              <w:spacing w:after="0"/>
              <w:rPr>
                <w:sz w:val="18"/>
                <w:szCs w:val="18"/>
                <w:color w:val="auto"/>
              </w:rPr>
            </w:pPr>
          </w:p>
        </w:tc>
        <w:tc>
          <w:tcPr>
            <w:tcW w:w="9040" w:type="dxa"/>
            <w:vAlign w:val="bottom"/>
            <w:tcBorders>
              <w:bottom w:val="single" w:sz="8" w:color="auto"/>
            </w:tcBorders>
          </w:tcPr>
          <w:p>
            <w:pPr>
              <w:spacing w:after="0"/>
              <w:rPr>
                <w:sz w:val="18"/>
                <w:szCs w:val="18"/>
                <w:color w:val="auto"/>
              </w:rPr>
            </w:pPr>
          </w:p>
        </w:tc>
      </w:tr>
      <w:tr>
        <w:trPr>
          <w:trHeight w:val="232"/>
        </w:trPr>
        <w:tc>
          <w:tcPr>
            <w:tcW w:w="1120" w:type="dxa"/>
            <w:vAlign w:val="bottom"/>
          </w:tcPr>
          <w:p>
            <w:pPr>
              <w:ind w:left="80"/>
              <w:spacing w:after="0"/>
              <w:rPr>
                <w:sz w:val="20"/>
                <w:szCs w:val="20"/>
                <w:color w:val="auto"/>
              </w:rPr>
            </w:pPr>
            <w:r>
              <w:rPr>
                <w:rFonts w:ascii="Calibri" w:cs="Calibri" w:eastAsia="Calibri" w:hAnsi="Calibri"/>
                <w:sz w:val="19"/>
                <w:szCs w:val="19"/>
                <w:b w:val="1"/>
                <w:bCs w:val="1"/>
                <w:color w:val="auto"/>
              </w:rPr>
              <w:t>Brazil</w:t>
            </w:r>
          </w:p>
        </w:tc>
        <w:tc>
          <w:tcPr>
            <w:tcW w:w="9040" w:type="dxa"/>
            <w:vAlign w:val="bottom"/>
          </w:tcPr>
          <w:p>
            <w:pPr>
              <w:ind w:left="420"/>
              <w:spacing w:after="0" w:line="226" w:lineRule="exact"/>
              <w:rPr>
                <w:sz w:val="20"/>
                <w:szCs w:val="20"/>
                <w:color w:val="auto"/>
              </w:rPr>
            </w:pPr>
            <w:r>
              <w:rPr>
                <w:rFonts w:ascii="Calibri" w:cs="Calibri" w:eastAsia="Calibri" w:hAnsi="Calibri"/>
                <w:sz w:val="19"/>
                <w:szCs w:val="19"/>
                <w:b w:val="1"/>
                <w:bCs w:val="1"/>
                <w:color w:val="auto"/>
              </w:rPr>
              <w:t>Labor Law Acknowledgement</w:t>
            </w:r>
          </w:p>
        </w:tc>
      </w:tr>
      <w:tr>
        <w:trPr>
          <w:trHeight w:val="290"/>
        </w:trPr>
        <w:tc>
          <w:tcPr>
            <w:tcW w:w="1120" w:type="dxa"/>
            <w:vAlign w:val="bottom"/>
          </w:tcPr>
          <w:p>
            <w:pPr>
              <w:spacing w:after="0"/>
              <w:rPr>
                <w:sz w:val="24"/>
                <w:szCs w:val="24"/>
                <w:color w:val="auto"/>
              </w:rPr>
            </w:pPr>
          </w:p>
        </w:tc>
        <w:tc>
          <w:tcPr>
            <w:tcW w:w="9040" w:type="dxa"/>
            <w:vAlign w:val="bottom"/>
          </w:tcPr>
          <w:p>
            <w:pPr>
              <w:ind w:left="420"/>
              <w:spacing w:after="0"/>
              <w:rPr>
                <w:sz w:val="20"/>
                <w:szCs w:val="20"/>
                <w:color w:val="auto"/>
              </w:rPr>
            </w:pPr>
            <w:r>
              <w:rPr>
                <w:rFonts w:ascii="Calibri" w:cs="Calibri" w:eastAsia="Calibri" w:hAnsi="Calibri"/>
                <w:sz w:val="19"/>
                <w:szCs w:val="19"/>
                <w:color w:val="auto"/>
              </w:rPr>
              <w:t>By acceptng the Restricted Stock Units, Employee expressly acknowledges and agrees that for all legal</w:t>
            </w:r>
          </w:p>
        </w:tc>
      </w:tr>
      <w:tr>
        <w:trPr>
          <w:trHeight w:val="180"/>
        </w:trPr>
        <w:tc>
          <w:tcPr>
            <w:tcW w:w="1120" w:type="dxa"/>
            <w:vAlign w:val="bottom"/>
          </w:tcPr>
          <w:p>
            <w:pPr>
              <w:spacing w:after="0"/>
              <w:rPr>
                <w:sz w:val="15"/>
                <w:szCs w:val="15"/>
                <w:color w:val="auto"/>
              </w:rPr>
            </w:pPr>
          </w:p>
        </w:tc>
        <w:tc>
          <w:tcPr>
            <w:tcW w:w="9040" w:type="dxa"/>
            <w:vAlign w:val="bottom"/>
          </w:tcPr>
          <w:p>
            <w:pPr>
              <w:ind w:left="420"/>
              <w:spacing w:after="0" w:line="180" w:lineRule="exact"/>
              <w:rPr>
                <w:sz w:val="20"/>
                <w:szCs w:val="20"/>
                <w:color w:val="auto"/>
              </w:rPr>
            </w:pPr>
            <w:r>
              <w:rPr>
                <w:rFonts w:ascii="Calibri" w:cs="Calibri" w:eastAsia="Calibri" w:hAnsi="Calibri"/>
                <w:sz w:val="19"/>
                <w:szCs w:val="19"/>
                <w:color w:val="auto"/>
              </w:rPr>
              <w:t>purposes, (i) the benefts provided under the Agreement and the Plan are the result of commercial</w:t>
            </w:r>
          </w:p>
        </w:tc>
      </w:tr>
      <w:tr>
        <w:trPr>
          <w:trHeight w:val="193"/>
        </w:trPr>
        <w:tc>
          <w:tcPr>
            <w:tcW w:w="1120" w:type="dxa"/>
            <w:vAlign w:val="bottom"/>
          </w:tcPr>
          <w:p>
            <w:pPr>
              <w:spacing w:after="0"/>
              <w:rPr>
                <w:sz w:val="16"/>
                <w:szCs w:val="16"/>
                <w:color w:val="auto"/>
              </w:rPr>
            </w:pPr>
          </w:p>
        </w:tc>
        <w:tc>
          <w:tcPr>
            <w:tcW w:w="9040" w:type="dxa"/>
            <w:vAlign w:val="bottom"/>
          </w:tcPr>
          <w:p>
            <w:pPr>
              <w:ind w:left="420"/>
              <w:spacing w:after="0" w:line="194" w:lineRule="exact"/>
              <w:rPr>
                <w:sz w:val="20"/>
                <w:szCs w:val="20"/>
                <w:color w:val="auto"/>
              </w:rPr>
            </w:pPr>
            <w:r>
              <w:rPr>
                <w:rFonts w:ascii="Calibri" w:cs="Calibri" w:eastAsia="Calibri" w:hAnsi="Calibri"/>
                <w:sz w:val="19"/>
                <w:szCs w:val="19"/>
                <w:color w:val="auto"/>
              </w:rPr>
              <w:t>transactons unrelated to Employee’s employment; (ii) the Agreement and the Plan are not part of the terms</w:t>
            </w:r>
          </w:p>
        </w:tc>
      </w:tr>
      <w:tr>
        <w:trPr>
          <w:trHeight w:val="193"/>
        </w:trPr>
        <w:tc>
          <w:tcPr>
            <w:tcW w:w="1120" w:type="dxa"/>
            <w:vAlign w:val="bottom"/>
          </w:tcPr>
          <w:p>
            <w:pPr>
              <w:spacing w:after="0"/>
              <w:rPr>
                <w:sz w:val="16"/>
                <w:szCs w:val="16"/>
                <w:color w:val="auto"/>
              </w:rPr>
            </w:pPr>
          </w:p>
        </w:tc>
        <w:tc>
          <w:tcPr>
            <w:tcW w:w="9040" w:type="dxa"/>
            <w:vAlign w:val="bottom"/>
          </w:tcPr>
          <w:p>
            <w:pPr>
              <w:ind w:left="420"/>
              <w:spacing w:after="0" w:line="194" w:lineRule="exact"/>
              <w:rPr>
                <w:sz w:val="20"/>
                <w:szCs w:val="20"/>
                <w:color w:val="auto"/>
              </w:rPr>
            </w:pPr>
            <w:r>
              <w:rPr>
                <w:rFonts w:ascii="Calibri" w:cs="Calibri" w:eastAsia="Calibri" w:hAnsi="Calibri"/>
                <w:sz w:val="19"/>
                <w:szCs w:val="19"/>
                <w:color w:val="auto"/>
              </w:rPr>
              <w:t>and conditons of Employee’s employment; and (iii) the income from the Restricted Stock Units, if any, is not</w:t>
            </w:r>
          </w:p>
        </w:tc>
      </w:tr>
      <w:tr>
        <w:trPr>
          <w:trHeight w:val="226"/>
        </w:trPr>
        <w:tc>
          <w:tcPr>
            <w:tcW w:w="1120" w:type="dxa"/>
            <w:vAlign w:val="bottom"/>
          </w:tcPr>
          <w:p>
            <w:pPr>
              <w:spacing w:after="0"/>
              <w:rPr>
                <w:sz w:val="19"/>
                <w:szCs w:val="19"/>
                <w:color w:val="auto"/>
              </w:rPr>
            </w:pPr>
          </w:p>
        </w:tc>
        <w:tc>
          <w:tcPr>
            <w:tcW w:w="9040" w:type="dxa"/>
            <w:vAlign w:val="bottom"/>
          </w:tcPr>
          <w:p>
            <w:pPr>
              <w:ind w:left="420"/>
              <w:spacing w:after="0" w:line="226" w:lineRule="exact"/>
              <w:rPr>
                <w:sz w:val="20"/>
                <w:szCs w:val="20"/>
                <w:color w:val="auto"/>
              </w:rPr>
            </w:pPr>
            <w:r>
              <w:rPr>
                <w:rFonts w:ascii="Calibri" w:cs="Calibri" w:eastAsia="Calibri" w:hAnsi="Calibri"/>
                <w:sz w:val="19"/>
                <w:szCs w:val="19"/>
                <w:color w:val="auto"/>
              </w:rPr>
              <w:t>part of Employee’s remuneraton from employment.</w:t>
            </w:r>
          </w:p>
        </w:tc>
      </w:tr>
      <w:tr>
        <w:trPr>
          <w:trHeight w:val="251"/>
        </w:trPr>
        <w:tc>
          <w:tcPr>
            <w:tcW w:w="1120" w:type="dxa"/>
            <w:vAlign w:val="bottom"/>
          </w:tcPr>
          <w:p>
            <w:pPr>
              <w:spacing w:after="0"/>
              <w:rPr>
                <w:sz w:val="21"/>
                <w:szCs w:val="21"/>
                <w:color w:val="auto"/>
              </w:rPr>
            </w:pPr>
          </w:p>
        </w:tc>
        <w:tc>
          <w:tcPr>
            <w:tcW w:w="9040" w:type="dxa"/>
            <w:vAlign w:val="bottom"/>
          </w:tcPr>
          <w:p>
            <w:pPr>
              <w:ind w:left="420"/>
              <w:spacing w:after="0"/>
              <w:rPr>
                <w:sz w:val="20"/>
                <w:szCs w:val="20"/>
                <w:color w:val="auto"/>
              </w:rPr>
            </w:pPr>
            <w:r>
              <w:rPr>
                <w:rFonts w:ascii="Calibri" w:cs="Calibri" w:eastAsia="Calibri" w:hAnsi="Calibri"/>
                <w:sz w:val="19"/>
                <w:szCs w:val="19"/>
                <w:color w:val="auto"/>
              </w:rPr>
              <w:t>Further, Employee acknowledges that (x) Employee is making an investment decision and (y) the value of the</w:t>
            </w:r>
          </w:p>
        </w:tc>
      </w:tr>
      <w:tr>
        <w:trPr>
          <w:trHeight w:val="193"/>
        </w:trPr>
        <w:tc>
          <w:tcPr>
            <w:tcW w:w="1120" w:type="dxa"/>
            <w:vAlign w:val="bottom"/>
          </w:tcPr>
          <w:p>
            <w:pPr>
              <w:spacing w:after="0"/>
              <w:rPr>
                <w:sz w:val="16"/>
                <w:szCs w:val="16"/>
                <w:color w:val="auto"/>
              </w:rPr>
            </w:pPr>
          </w:p>
        </w:tc>
        <w:tc>
          <w:tcPr>
            <w:tcW w:w="9040" w:type="dxa"/>
            <w:vAlign w:val="bottom"/>
          </w:tcPr>
          <w:p>
            <w:pPr>
              <w:ind w:left="420"/>
              <w:spacing w:after="0" w:line="194" w:lineRule="exact"/>
              <w:rPr>
                <w:sz w:val="20"/>
                <w:szCs w:val="20"/>
                <w:color w:val="auto"/>
              </w:rPr>
            </w:pPr>
            <w:r>
              <w:rPr>
                <w:rFonts w:ascii="Calibri" w:cs="Calibri" w:eastAsia="Calibri" w:hAnsi="Calibri"/>
                <w:sz w:val="19"/>
                <w:szCs w:val="19"/>
                <w:color w:val="auto"/>
              </w:rPr>
              <w:t>underlying shares of Stock is not fxed and may increase or decrease in value over the vestng period without</w:t>
            </w:r>
          </w:p>
        </w:tc>
      </w:tr>
      <w:tr>
        <w:trPr>
          <w:trHeight w:val="226"/>
        </w:trPr>
        <w:tc>
          <w:tcPr>
            <w:tcW w:w="1120" w:type="dxa"/>
            <w:vAlign w:val="bottom"/>
          </w:tcPr>
          <w:p>
            <w:pPr>
              <w:spacing w:after="0"/>
              <w:rPr>
                <w:sz w:val="19"/>
                <w:szCs w:val="19"/>
                <w:color w:val="auto"/>
              </w:rPr>
            </w:pPr>
          </w:p>
        </w:tc>
        <w:tc>
          <w:tcPr>
            <w:tcW w:w="9040" w:type="dxa"/>
            <w:vAlign w:val="bottom"/>
          </w:tcPr>
          <w:p>
            <w:pPr>
              <w:ind w:left="420"/>
              <w:spacing w:after="0" w:line="226" w:lineRule="exact"/>
              <w:rPr>
                <w:sz w:val="20"/>
                <w:szCs w:val="20"/>
                <w:color w:val="auto"/>
              </w:rPr>
            </w:pPr>
            <w:r>
              <w:rPr>
                <w:rFonts w:ascii="Calibri" w:cs="Calibri" w:eastAsia="Calibri" w:hAnsi="Calibri"/>
                <w:sz w:val="19"/>
                <w:szCs w:val="19"/>
                <w:color w:val="auto"/>
              </w:rPr>
              <w:t>compensaton to Employee.</w:t>
            </w:r>
          </w:p>
        </w:tc>
      </w:tr>
      <w:tr>
        <w:trPr>
          <w:trHeight w:val="284"/>
        </w:trPr>
        <w:tc>
          <w:tcPr>
            <w:tcW w:w="1120" w:type="dxa"/>
            <w:vAlign w:val="bottom"/>
          </w:tcPr>
          <w:p>
            <w:pPr>
              <w:spacing w:after="0"/>
              <w:rPr>
                <w:sz w:val="24"/>
                <w:szCs w:val="24"/>
                <w:color w:val="auto"/>
              </w:rPr>
            </w:pPr>
          </w:p>
        </w:tc>
        <w:tc>
          <w:tcPr>
            <w:tcW w:w="9040" w:type="dxa"/>
            <w:vAlign w:val="bottom"/>
          </w:tcPr>
          <w:p>
            <w:pPr>
              <w:ind w:left="420"/>
              <w:spacing w:after="0"/>
              <w:rPr>
                <w:sz w:val="20"/>
                <w:szCs w:val="20"/>
                <w:color w:val="auto"/>
              </w:rPr>
            </w:pPr>
            <w:r>
              <w:rPr>
                <w:rFonts w:ascii="Calibri" w:cs="Calibri" w:eastAsia="Calibri" w:hAnsi="Calibri"/>
                <w:sz w:val="19"/>
                <w:szCs w:val="19"/>
                <w:b w:val="1"/>
                <w:bCs w:val="1"/>
                <w:color w:val="auto"/>
              </w:rPr>
              <w:t>Compliance with Law</w:t>
            </w:r>
          </w:p>
        </w:tc>
      </w:tr>
      <w:tr>
        <w:trPr>
          <w:trHeight w:val="329"/>
        </w:trPr>
        <w:tc>
          <w:tcPr>
            <w:tcW w:w="1120" w:type="dxa"/>
            <w:vAlign w:val="bottom"/>
          </w:tcPr>
          <w:p>
            <w:pPr>
              <w:spacing w:after="0"/>
              <w:rPr>
                <w:sz w:val="24"/>
                <w:szCs w:val="24"/>
                <w:color w:val="auto"/>
              </w:rPr>
            </w:pPr>
          </w:p>
        </w:tc>
        <w:tc>
          <w:tcPr>
            <w:tcW w:w="9040" w:type="dxa"/>
            <w:vAlign w:val="bottom"/>
          </w:tcPr>
          <w:p>
            <w:pPr>
              <w:ind w:left="420"/>
              <w:spacing w:after="0"/>
              <w:rPr>
                <w:sz w:val="20"/>
                <w:szCs w:val="20"/>
                <w:color w:val="auto"/>
              </w:rPr>
            </w:pPr>
            <w:r>
              <w:rPr>
                <w:rFonts w:ascii="Calibri" w:cs="Calibri" w:eastAsia="Calibri" w:hAnsi="Calibri"/>
                <w:sz w:val="19"/>
                <w:szCs w:val="19"/>
                <w:color w:val="auto"/>
              </w:rPr>
              <w:t>By acceptng the Restricted Stock Units, Employee expressly acknowledges and agrees to comply with</w:t>
            </w:r>
          </w:p>
        </w:tc>
      </w:tr>
      <w:tr>
        <w:trPr>
          <w:trHeight w:val="193"/>
        </w:trPr>
        <w:tc>
          <w:tcPr>
            <w:tcW w:w="1120" w:type="dxa"/>
            <w:vAlign w:val="bottom"/>
          </w:tcPr>
          <w:p>
            <w:pPr>
              <w:spacing w:after="0"/>
              <w:rPr>
                <w:sz w:val="16"/>
                <w:szCs w:val="16"/>
                <w:color w:val="auto"/>
              </w:rPr>
            </w:pPr>
          </w:p>
        </w:tc>
        <w:tc>
          <w:tcPr>
            <w:tcW w:w="9040" w:type="dxa"/>
            <w:vAlign w:val="bottom"/>
          </w:tcPr>
          <w:p>
            <w:pPr>
              <w:ind w:left="420"/>
              <w:spacing w:after="0" w:line="194" w:lineRule="exact"/>
              <w:rPr>
                <w:sz w:val="20"/>
                <w:szCs w:val="20"/>
                <w:color w:val="auto"/>
              </w:rPr>
            </w:pPr>
            <w:r>
              <w:rPr>
                <w:rFonts w:ascii="Calibri" w:cs="Calibri" w:eastAsia="Calibri" w:hAnsi="Calibri"/>
                <w:sz w:val="19"/>
                <w:szCs w:val="19"/>
                <w:color w:val="auto"/>
              </w:rPr>
              <w:t>applicable Brazilian laws and to pay any and all applicable Tax-Related Items associated with the vestng of</w:t>
            </w:r>
          </w:p>
        </w:tc>
      </w:tr>
      <w:tr>
        <w:trPr>
          <w:trHeight w:val="180"/>
        </w:trPr>
        <w:tc>
          <w:tcPr>
            <w:tcW w:w="1120" w:type="dxa"/>
            <w:vAlign w:val="bottom"/>
          </w:tcPr>
          <w:p>
            <w:pPr>
              <w:spacing w:after="0"/>
              <w:rPr>
                <w:sz w:val="15"/>
                <w:szCs w:val="15"/>
                <w:color w:val="auto"/>
              </w:rPr>
            </w:pPr>
          </w:p>
        </w:tc>
        <w:tc>
          <w:tcPr>
            <w:tcW w:w="9040" w:type="dxa"/>
            <w:vAlign w:val="bottom"/>
          </w:tcPr>
          <w:p>
            <w:pPr>
              <w:ind w:left="420"/>
              <w:spacing w:after="0" w:line="180" w:lineRule="exact"/>
              <w:rPr>
                <w:sz w:val="20"/>
                <w:szCs w:val="20"/>
                <w:color w:val="auto"/>
              </w:rPr>
            </w:pPr>
            <w:r>
              <w:rPr>
                <w:rFonts w:ascii="Calibri" w:cs="Calibri" w:eastAsia="Calibri" w:hAnsi="Calibri"/>
                <w:sz w:val="19"/>
                <w:szCs w:val="19"/>
                <w:color w:val="auto"/>
              </w:rPr>
              <w:t>the Restricted Stock Units, the receipt of any dividends, and the sale of any shares of Stock acquired under</w:t>
            </w:r>
          </w:p>
        </w:tc>
      </w:tr>
      <w:tr>
        <w:trPr>
          <w:trHeight w:val="226"/>
        </w:trPr>
        <w:tc>
          <w:tcPr>
            <w:tcW w:w="1120" w:type="dxa"/>
            <w:vAlign w:val="bottom"/>
          </w:tcPr>
          <w:p>
            <w:pPr>
              <w:spacing w:after="0"/>
              <w:rPr>
                <w:sz w:val="19"/>
                <w:szCs w:val="19"/>
                <w:color w:val="auto"/>
              </w:rPr>
            </w:pPr>
          </w:p>
        </w:tc>
        <w:tc>
          <w:tcPr>
            <w:tcW w:w="9040" w:type="dxa"/>
            <w:vAlign w:val="bottom"/>
          </w:tcPr>
          <w:p>
            <w:pPr>
              <w:ind w:left="420"/>
              <w:spacing w:after="0" w:line="226" w:lineRule="exact"/>
              <w:rPr>
                <w:sz w:val="20"/>
                <w:szCs w:val="20"/>
                <w:color w:val="auto"/>
              </w:rPr>
            </w:pPr>
            <w:r>
              <w:rPr>
                <w:rFonts w:ascii="Calibri" w:cs="Calibri" w:eastAsia="Calibri" w:hAnsi="Calibri"/>
                <w:sz w:val="19"/>
                <w:szCs w:val="19"/>
                <w:color w:val="auto"/>
              </w:rPr>
              <w:t>the Plan.</w:t>
            </w:r>
          </w:p>
        </w:tc>
      </w:tr>
      <w:tr>
        <w:trPr>
          <w:trHeight w:val="297"/>
        </w:trPr>
        <w:tc>
          <w:tcPr>
            <w:tcW w:w="1120" w:type="dxa"/>
            <w:vAlign w:val="bottom"/>
          </w:tcPr>
          <w:p>
            <w:pPr>
              <w:spacing w:after="0"/>
              <w:rPr>
                <w:sz w:val="24"/>
                <w:szCs w:val="24"/>
                <w:color w:val="auto"/>
              </w:rPr>
            </w:pPr>
          </w:p>
        </w:tc>
        <w:tc>
          <w:tcPr>
            <w:tcW w:w="9040" w:type="dxa"/>
            <w:vAlign w:val="bottom"/>
          </w:tcPr>
          <w:p>
            <w:pPr>
              <w:ind w:left="420"/>
              <w:spacing w:after="0"/>
              <w:rPr>
                <w:sz w:val="20"/>
                <w:szCs w:val="20"/>
                <w:color w:val="auto"/>
              </w:rPr>
            </w:pPr>
            <w:r>
              <w:rPr>
                <w:rFonts w:ascii="Calibri" w:cs="Calibri" w:eastAsia="Calibri" w:hAnsi="Calibri"/>
                <w:sz w:val="19"/>
                <w:szCs w:val="19"/>
                <w:b w:val="1"/>
                <w:bCs w:val="1"/>
                <w:color w:val="auto"/>
              </w:rPr>
              <w:t>Foreign Ownership / Exchange Informaton</w:t>
            </w:r>
          </w:p>
        </w:tc>
      </w:tr>
      <w:tr>
        <w:trPr>
          <w:trHeight w:val="251"/>
        </w:trPr>
        <w:tc>
          <w:tcPr>
            <w:tcW w:w="1120" w:type="dxa"/>
            <w:vAlign w:val="bottom"/>
          </w:tcPr>
          <w:p>
            <w:pPr>
              <w:spacing w:after="0"/>
              <w:rPr>
                <w:sz w:val="21"/>
                <w:szCs w:val="21"/>
                <w:color w:val="auto"/>
              </w:rPr>
            </w:pPr>
          </w:p>
        </w:tc>
        <w:tc>
          <w:tcPr>
            <w:tcW w:w="9040" w:type="dxa"/>
            <w:vAlign w:val="bottom"/>
          </w:tcPr>
          <w:p>
            <w:pPr>
              <w:ind w:left="420"/>
              <w:spacing w:after="0"/>
              <w:rPr>
                <w:sz w:val="20"/>
                <w:szCs w:val="20"/>
                <w:color w:val="auto"/>
              </w:rPr>
            </w:pPr>
            <w:r>
              <w:rPr>
                <w:rFonts w:ascii="Calibri" w:cs="Calibri" w:eastAsia="Calibri" w:hAnsi="Calibri"/>
                <w:sz w:val="19"/>
                <w:szCs w:val="19"/>
                <w:color w:val="auto"/>
              </w:rPr>
              <w:t>The regulatons of the Central Bank of Brazil governing investments abroad are subject to change at any tme,</w:t>
            </w:r>
          </w:p>
        </w:tc>
      </w:tr>
      <w:tr>
        <w:trPr>
          <w:trHeight w:val="193"/>
        </w:trPr>
        <w:tc>
          <w:tcPr>
            <w:tcW w:w="1120" w:type="dxa"/>
            <w:vAlign w:val="bottom"/>
          </w:tcPr>
          <w:p>
            <w:pPr>
              <w:spacing w:after="0"/>
              <w:rPr>
                <w:sz w:val="16"/>
                <w:szCs w:val="16"/>
                <w:color w:val="auto"/>
              </w:rPr>
            </w:pPr>
          </w:p>
        </w:tc>
        <w:tc>
          <w:tcPr>
            <w:tcW w:w="9040" w:type="dxa"/>
            <w:vAlign w:val="bottom"/>
          </w:tcPr>
          <w:p>
            <w:pPr>
              <w:ind w:left="420"/>
              <w:spacing w:after="0" w:line="194" w:lineRule="exact"/>
              <w:rPr>
                <w:sz w:val="20"/>
                <w:szCs w:val="20"/>
                <w:color w:val="auto"/>
              </w:rPr>
            </w:pPr>
            <w:r>
              <w:rPr>
                <w:rFonts w:ascii="Calibri" w:cs="Calibri" w:eastAsia="Calibri" w:hAnsi="Calibri"/>
                <w:sz w:val="19"/>
                <w:szCs w:val="19"/>
                <w:color w:val="auto"/>
              </w:rPr>
              <w:t>and such changes could afect Employee’s ability to receive cash proceeds from Employee’s awards.</w:t>
            </w:r>
          </w:p>
        </w:tc>
      </w:tr>
      <w:tr>
        <w:trPr>
          <w:trHeight w:val="180"/>
        </w:trPr>
        <w:tc>
          <w:tcPr>
            <w:tcW w:w="1120" w:type="dxa"/>
            <w:vAlign w:val="bottom"/>
          </w:tcPr>
          <w:p>
            <w:pPr>
              <w:spacing w:after="0"/>
              <w:rPr>
                <w:sz w:val="15"/>
                <w:szCs w:val="15"/>
                <w:color w:val="auto"/>
              </w:rPr>
            </w:pPr>
          </w:p>
        </w:tc>
        <w:tc>
          <w:tcPr>
            <w:tcW w:w="9040" w:type="dxa"/>
            <w:vAlign w:val="bottom"/>
          </w:tcPr>
          <w:p>
            <w:pPr>
              <w:ind w:left="420"/>
              <w:spacing w:after="0" w:line="180" w:lineRule="exact"/>
              <w:rPr>
                <w:sz w:val="20"/>
                <w:szCs w:val="20"/>
                <w:color w:val="auto"/>
              </w:rPr>
            </w:pPr>
            <w:r>
              <w:rPr>
                <w:rFonts w:ascii="Calibri" w:cs="Calibri" w:eastAsia="Calibri" w:hAnsi="Calibri"/>
                <w:sz w:val="19"/>
                <w:szCs w:val="19"/>
                <w:color w:val="auto"/>
              </w:rPr>
              <w:t>Employee is required to report to the Central Bank of Brazil, on a yearly basis, the value of any and all assets</w:t>
            </w:r>
          </w:p>
        </w:tc>
      </w:tr>
      <w:tr>
        <w:trPr>
          <w:trHeight w:val="193"/>
        </w:trPr>
        <w:tc>
          <w:tcPr>
            <w:tcW w:w="1120" w:type="dxa"/>
            <w:vAlign w:val="bottom"/>
          </w:tcPr>
          <w:p>
            <w:pPr>
              <w:spacing w:after="0"/>
              <w:rPr>
                <w:sz w:val="16"/>
                <w:szCs w:val="16"/>
                <w:color w:val="auto"/>
              </w:rPr>
            </w:pPr>
          </w:p>
        </w:tc>
        <w:tc>
          <w:tcPr>
            <w:tcW w:w="9040" w:type="dxa"/>
            <w:vAlign w:val="bottom"/>
          </w:tcPr>
          <w:p>
            <w:pPr>
              <w:ind w:left="420"/>
              <w:spacing w:after="0" w:line="194" w:lineRule="exact"/>
              <w:rPr>
                <w:sz w:val="20"/>
                <w:szCs w:val="20"/>
                <w:color w:val="auto"/>
              </w:rPr>
            </w:pPr>
            <w:r>
              <w:rPr>
                <w:rFonts w:ascii="Calibri" w:cs="Calibri" w:eastAsia="Calibri" w:hAnsi="Calibri"/>
                <w:sz w:val="19"/>
                <w:szCs w:val="19"/>
                <w:color w:val="auto"/>
              </w:rPr>
              <w:t>held abroad (including Company shares) if the value of such assets equals or exceeds a specifed threshold</w:t>
            </w:r>
          </w:p>
        </w:tc>
      </w:tr>
      <w:tr>
        <w:trPr>
          <w:trHeight w:val="193"/>
        </w:trPr>
        <w:tc>
          <w:tcPr>
            <w:tcW w:w="1120" w:type="dxa"/>
            <w:vAlign w:val="bottom"/>
          </w:tcPr>
          <w:p>
            <w:pPr>
              <w:spacing w:after="0"/>
              <w:rPr>
                <w:sz w:val="16"/>
                <w:szCs w:val="16"/>
                <w:color w:val="auto"/>
              </w:rPr>
            </w:pPr>
          </w:p>
        </w:tc>
        <w:tc>
          <w:tcPr>
            <w:tcW w:w="9040" w:type="dxa"/>
            <w:vAlign w:val="bottom"/>
          </w:tcPr>
          <w:p>
            <w:pPr>
              <w:ind w:left="420"/>
              <w:spacing w:after="0" w:line="194" w:lineRule="exact"/>
              <w:rPr>
                <w:sz w:val="20"/>
                <w:szCs w:val="20"/>
                <w:color w:val="auto"/>
              </w:rPr>
            </w:pPr>
            <w:r>
              <w:rPr>
                <w:rFonts w:ascii="Calibri" w:cs="Calibri" w:eastAsia="Calibri" w:hAnsi="Calibri"/>
                <w:sz w:val="19"/>
                <w:szCs w:val="19"/>
                <w:color w:val="auto"/>
              </w:rPr>
              <w:t>(currently USD 1,000,000 for annual declaratons and USD 100,000,000 for quarterly declaratons), as well as</w:t>
            </w:r>
          </w:p>
        </w:tc>
      </w:tr>
      <w:tr>
        <w:trPr>
          <w:trHeight w:val="226"/>
        </w:trPr>
        <w:tc>
          <w:tcPr>
            <w:tcW w:w="1120" w:type="dxa"/>
            <w:vAlign w:val="bottom"/>
          </w:tcPr>
          <w:p>
            <w:pPr>
              <w:spacing w:after="0"/>
              <w:rPr>
                <w:sz w:val="19"/>
                <w:szCs w:val="19"/>
                <w:color w:val="auto"/>
              </w:rPr>
            </w:pPr>
          </w:p>
        </w:tc>
        <w:tc>
          <w:tcPr>
            <w:tcW w:w="9040" w:type="dxa"/>
            <w:vAlign w:val="bottom"/>
          </w:tcPr>
          <w:p>
            <w:pPr>
              <w:ind w:left="420"/>
              <w:spacing w:after="0" w:line="226" w:lineRule="exact"/>
              <w:rPr>
                <w:sz w:val="20"/>
                <w:szCs w:val="20"/>
                <w:color w:val="auto"/>
              </w:rPr>
            </w:pPr>
            <w:r>
              <w:rPr>
                <w:rFonts w:ascii="Calibri" w:cs="Calibri" w:eastAsia="Calibri" w:hAnsi="Calibri"/>
                <w:sz w:val="19"/>
                <w:szCs w:val="19"/>
                <w:color w:val="auto"/>
              </w:rPr>
              <w:t>any capital gain, dividend or proft atributable to such assets.</w:t>
            </w:r>
          </w:p>
        </w:tc>
      </w:tr>
      <w:tr>
        <w:trPr>
          <w:trHeight w:val="134"/>
        </w:trPr>
        <w:tc>
          <w:tcPr>
            <w:tcW w:w="1120" w:type="dxa"/>
            <w:vAlign w:val="bottom"/>
            <w:tcBorders>
              <w:bottom w:val="single" w:sz="8" w:color="auto"/>
            </w:tcBorders>
          </w:tcPr>
          <w:p>
            <w:pPr>
              <w:spacing w:after="0"/>
              <w:rPr>
                <w:sz w:val="11"/>
                <w:szCs w:val="11"/>
                <w:color w:val="auto"/>
              </w:rPr>
            </w:pPr>
          </w:p>
        </w:tc>
        <w:tc>
          <w:tcPr>
            <w:tcW w:w="9040" w:type="dxa"/>
            <w:vAlign w:val="bottom"/>
            <w:tcBorders>
              <w:bottom w:val="single" w:sz="8" w:color="auto"/>
            </w:tcBorders>
          </w:tcPr>
          <w:p>
            <w:pPr>
              <w:spacing w:after="0"/>
              <w:rPr>
                <w:sz w:val="11"/>
                <w:szCs w:val="11"/>
                <w:color w:val="auto"/>
              </w:rPr>
            </w:pPr>
          </w:p>
        </w:tc>
      </w:tr>
    </w:tbl>
    <w:p>
      <w:pPr>
        <w:sectPr>
          <w:pgSz w:w="11900" w:h="16838" w:orient="portrait"/>
          <w:cols w:equalWidth="0" w:num="1">
            <w:col w:w="10160"/>
          </w:cols>
          <w:pgMar w:left="320" w:top="764" w:right="1419" w:bottom="1440" w:gutter="0" w:footer="0" w:header="0"/>
        </w:sectPr>
      </w:pPr>
    </w:p>
    <w:bookmarkStart w:id="133" w:name="page134"/>
    <w:bookmarkEnd w:id="133"/>
    <w:p>
      <w:pPr>
        <w:spacing w:after="0" w:line="45" w:lineRule="exact"/>
        <w:rPr>
          <w:sz w:val="20"/>
          <w:szCs w:val="20"/>
          <w:color w:val="auto"/>
        </w:rPr>
      </w:pPr>
    </w:p>
    <w:p>
      <w:pPr>
        <w:spacing w:after="0" w:line="260" w:lineRule="auto"/>
        <w:rPr>
          <w:sz w:val="20"/>
          <w:szCs w:val="20"/>
          <w:color w:val="auto"/>
        </w:rPr>
      </w:pPr>
      <w:r>
        <w:rPr>
          <w:rFonts w:ascii="Calibri" w:cs="Calibri" w:eastAsia="Calibri" w:hAnsi="Calibri"/>
          <w:sz w:val="19"/>
          <w:szCs w:val="19"/>
          <w:b w:val="1"/>
          <w:bCs w:val="1"/>
          <w:color w:val="auto"/>
        </w:rPr>
        <w:t>Brunei Darussalam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9"/>
          <w:szCs w:val="19"/>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-975360</wp:posOffset>
            </wp:positionH>
            <wp:positionV relativeFrom="paragraph">
              <wp:posOffset>-135255</wp:posOffset>
            </wp:positionV>
            <wp:extent cx="64509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6">
                      <a:extLst>
                        <a:ext uri="{28A0092B-C50C-407E-A947-70E740481C1C}"/>
                      </a:extLst>
                    </a:blip>
                    <a:srcRect/>
                    <a:stretch>
                      <a:fillRect/>
                    </a:stretch>
                  </pic:blipFill>
                  <pic:spPr bwMode="auto">
                    <a:xfrm>
                      <a:off x="0" y="0"/>
                      <a:ext cx="6450965" cy="8255"/>
                    </a:xfrm>
                    <a:prstGeom prst="rect">
                      <a:avLst/>
                    </a:prstGeom>
                    <a:noFill/>
                  </pic:spPr>
                </pic:pic>
              </a:graphicData>
            </a:graphic>
          </wp:anchor>
        </w:drawing>
      </w:r>
    </w:p>
    <w:p>
      <w:pPr>
        <w:spacing w:after="0" w:line="51" w:lineRule="exact"/>
        <w:rPr>
          <w:sz w:val="20"/>
          <w:szCs w:val="20"/>
          <w:color w:val="auto"/>
        </w:rPr>
      </w:pPr>
    </w:p>
    <w:p>
      <w:pPr>
        <w:jc w:val="both"/>
        <w:ind w:right="59"/>
        <w:spacing w:after="0" w:line="201" w:lineRule="auto"/>
        <w:rPr>
          <w:sz w:val="20"/>
          <w:szCs w:val="20"/>
          <w:color w:val="auto"/>
        </w:rPr>
      </w:pPr>
      <w:r>
        <w:rPr>
          <w:rFonts w:ascii="Calibri" w:cs="Calibri" w:eastAsia="Calibri" w:hAnsi="Calibri"/>
          <w:sz w:val="19"/>
          <w:szCs w:val="19"/>
          <w:color w:val="auto"/>
        </w:rPr>
        <w:t>The grant of Restricted Stock Units is made pursuant to a private ofering exempton under Secton 117 of the Securites Markets Order, 2013 (“SMO”) on which basis it is exempt from the prospectus and registraton requirements under the SMO and is also exempt from the capital markets services licensing requirements under Secton 159(1)(d) as being the administraton of an employee partcipaton scheme. In additon, by acceptng this grant, Employee agrees not to sell any shares of Stock within two (2) years of the date of grant. The Plan has not been lodged or registered as a prospectus with the Autorit Monetari Brunei Darussalam.</w:t>
      </w:r>
    </w:p>
    <w:p>
      <w:pPr>
        <w:spacing w:after="0" w:line="1" w:lineRule="exact"/>
        <w:rPr>
          <w:sz w:val="20"/>
          <w:szCs w:val="20"/>
          <w:color w:val="auto"/>
        </w:rPr>
      </w:pPr>
    </w:p>
    <w:p>
      <w:pPr>
        <w:sectPr>
          <w:pgSz w:w="11900" w:h="16838" w:orient="portrait"/>
          <w:cols w:equalWidth="0" w:num="2">
            <w:col w:w="940" w:space="520"/>
            <w:col w:w="8599"/>
          </w:cols>
          <w:pgMar w:left="400" w:top="766" w:right="1440" w:bottom="1440" w:gutter="0" w:footer="0" w:header="0"/>
        </w:sectPr>
      </w:pPr>
    </w:p>
    <w:p>
      <w:pPr>
        <w:spacing w:after="0" w:line="186" w:lineRule="auto"/>
        <w:tabs>
          <w:tab w:leader="none" w:pos="1440" w:val="left"/>
        </w:tabs>
        <w:rPr>
          <w:sz w:val="20"/>
          <w:szCs w:val="20"/>
          <w:color w:val="auto"/>
        </w:rPr>
      </w:pPr>
      <w:r>
        <w:rPr>
          <w:rFonts w:ascii="Calibri" w:cs="Calibri" w:eastAsia="Calibri" w:hAnsi="Calibri"/>
          <w:sz w:val="24"/>
          <w:szCs w:val="24"/>
          <w:b w:val="1"/>
          <w:bCs w:val="1"/>
          <w:color w:val="auto"/>
          <w:vertAlign w:val="subscript"/>
        </w:rPr>
        <w:t>Bulgaria</w:t>
      </w:r>
      <w:r>
        <w:rPr>
          <w:sz w:val="20"/>
          <w:szCs w:val="20"/>
          <w:color w:val="auto"/>
        </w:rPr>
        <w:tab/>
      </w:r>
      <w:r>
        <w:rPr>
          <w:rFonts w:ascii="Calibri" w:cs="Calibri" w:eastAsia="Calibri" w:hAnsi="Calibri"/>
          <w:sz w:val="14"/>
          <w:szCs w:val="14"/>
          <w:b w:val="1"/>
          <w:bCs w:val="1"/>
          <w:color w:val="auto"/>
        </w:rPr>
        <w:t>Foreign Exchange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-48895</wp:posOffset>
            </wp:positionV>
            <wp:extent cx="64509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7">
                      <a:extLst>
                        <a:ext uri="{28A0092B-C50C-407E-A947-70E740481C1C}"/>
                      </a:extLst>
                    </a:blip>
                    <a:srcRect/>
                    <a:stretch>
                      <a:fillRect/>
                    </a:stretch>
                  </pic:blipFill>
                  <pic:spPr bwMode="auto">
                    <a:xfrm>
                      <a:off x="0" y="0"/>
                      <a:ext cx="6450965" cy="8255"/>
                    </a:xfrm>
                    <a:prstGeom prst="rect">
                      <a:avLst/>
                    </a:prstGeom>
                    <a:noFill/>
                  </pic:spPr>
                </pic:pic>
              </a:graphicData>
            </a:graphic>
          </wp:anchor>
        </w:drawing>
      </w:r>
    </w:p>
    <w:p>
      <w:pPr>
        <w:spacing w:after="0" w:line="186" w:lineRule="exact"/>
        <w:rPr>
          <w:sz w:val="20"/>
          <w:szCs w:val="20"/>
          <w:color w:val="auto"/>
        </w:rPr>
      </w:pPr>
    </w:p>
    <w:p>
      <w:pPr>
        <w:jc w:val="both"/>
        <w:ind w:left="1460" w:right="59"/>
        <w:spacing w:after="0" w:line="201" w:lineRule="auto"/>
        <w:rPr>
          <w:sz w:val="20"/>
          <w:szCs w:val="20"/>
          <w:color w:val="auto"/>
        </w:rPr>
      </w:pPr>
      <w:r>
        <w:rPr>
          <w:rFonts w:ascii="Calibri" w:cs="Calibri" w:eastAsia="Calibri" w:hAnsi="Calibri"/>
          <w:sz w:val="19"/>
          <w:szCs w:val="19"/>
          <w:color w:val="auto"/>
        </w:rPr>
        <w:t>Employee will be required to fle statstcal forms with the Bulgarian Natonal Bank annually regarding Employee’s receivables in foreign bank accounts as well as securites held abroad (</w:t>
      </w:r>
      <w:r>
        <w:rPr>
          <w:rFonts w:ascii="Calibri" w:cs="Calibri" w:eastAsia="Calibri" w:hAnsi="Calibri"/>
          <w:sz w:val="19"/>
          <w:szCs w:val="19"/>
          <w:i w:val="1"/>
          <w:iCs w:val="1"/>
          <w:color w:val="auto"/>
        </w:rPr>
        <w:t>e.g.</w:t>
      </w:r>
      <w:r>
        <w:rPr>
          <w:rFonts w:ascii="Calibri" w:cs="Calibri" w:eastAsia="Calibri" w:hAnsi="Calibri"/>
          <w:sz w:val="19"/>
          <w:szCs w:val="19"/>
          <w:color w:val="auto"/>
        </w:rPr>
        <w:t>, shares of Stock acquired under the Plan) if the total sum of all such receivables and securites equals or exceeds a specifed threshold (currently BGN 50,000) as of the previous calendar year-end. Employee is personally responsible for complying with the applicable exchange control requirements in Bulgaria.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95250</wp:posOffset>
            </wp:positionV>
            <wp:extent cx="64509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8">
                      <a:extLst>
                        <a:ext uri="{28A0092B-C50C-407E-A947-70E740481C1C}"/>
                      </a:extLst>
                    </a:blip>
                    <a:srcRect/>
                    <a:stretch>
                      <a:fillRect/>
                    </a:stretch>
                  </pic:blipFill>
                  <pic:spPr bwMode="auto">
                    <a:xfrm>
                      <a:off x="0" y="0"/>
                      <a:ext cx="6450965" cy="8255"/>
                    </a:xfrm>
                    <a:prstGeom prst="rect">
                      <a:avLst/>
                    </a:prstGeom>
                    <a:noFill/>
                  </pic:spPr>
                </pic:pic>
              </a:graphicData>
            </a:graphic>
          </wp:anchor>
        </w:drawing>
      </w:r>
    </w:p>
    <w:p>
      <w:pPr>
        <w:sectPr>
          <w:pgSz w:w="11900" w:h="16838" w:orient="portrait"/>
          <w:cols w:equalWidth="0" w:num="1">
            <w:col w:w="10059"/>
          </w:cols>
          <w:pgMar w:left="400" w:top="766" w:right="1440" w:bottom="1440" w:gutter="0" w:footer="0" w:header="0"/>
          <w:type w:val="continuous"/>
        </w:sectPr>
      </w:pPr>
    </w:p>
    <w:bookmarkStart w:id="134" w:name="page135"/>
    <w:bookmarkEnd w:id="134"/>
    <w:p>
      <w:pPr>
        <w:spacing w:after="0"/>
        <w:tabs>
          <w:tab w:leader="none" w:pos="1440" w:val="left"/>
        </w:tabs>
        <w:rPr>
          <w:sz w:val="20"/>
          <w:szCs w:val="20"/>
          <w:color w:val="auto"/>
        </w:rPr>
      </w:pPr>
      <w:r>
        <w:rPr>
          <w:rFonts w:ascii="Calibri" w:cs="Calibri" w:eastAsia="Calibri" w:hAnsi="Calibri"/>
          <w:sz w:val="38"/>
          <w:szCs w:val="38"/>
          <w:b w:val="1"/>
          <w:bCs w:val="1"/>
          <w:color w:val="auto"/>
          <w:vertAlign w:val="subscript"/>
        </w:rPr>
        <w:t>Canada</w:t>
      </w:r>
      <w:r>
        <w:rPr>
          <w:sz w:val="20"/>
          <w:szCs w:val="20"/>
          <w:color w:val="auto"/>
        </w:rPr>
        <w:tab/>
      </w:r>
      <w:r>
        <w:rPr>
          <w:rFonts w:ascii="Calibri" w:cs="Calibri" w:eastAsia="Calibri" w:hAnsi="Calibri"/>
          <w:sz w:val="15"/>
          <w:szCs w:val="15"/>
          <w:b w:val="1"/>
          <w:bCs w:val="1"/>
          <w:color w:val="auto"/>
        </w:rPr>
        <w:t>Setlement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wp:posOffset>
            </wp:positionV>
            <wp:extent cx="64509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9">
                      <a:extLst>
                        <a:ext uri="{28A0092B-C50C-407E-A947-70E740481C1C}"/>
                      </a:extLst>
                    </a:blip>
                    <a:srcRect/>
                    <a:stretch>
                      <a:fillRect/>
                    </a:stretch>
                  </pic:blipFill>
                  <pic:spPr bwMode="auto">
                    <a:xfrm>
                      <a:off x="0" y="0"/>
                      <a:ext cx="6450965" cy="8255"/>
                    </a:xfrm>
                    <a:prstGeom prst="rect">
                      <a:avLst/>
                    </a:prstGeom>
                    <a:noFill/>
                  </pic:spPr>
                </pic:pic>
              </a:graphicData>
            </a:graphic>
          </wp:anchor>
        </w:drawing>
      </w:r>
    </w:p>
    <w:p>
      <w:pPr>
        <w:spacing w:after="0" w:line="313" w:lineRule="exact"/>
        <w:rPr>
          <w:sz w:val="20"/>
          <w:szCs w:val="20"/>
          <w:color w:val="auto"/>
        </w:rPr>
      </w:pPr>
    </w:p>
    <w:p>
      <w:pPr>
        <w:jc w:val="both"/>
        <w:ind w:left="1460" w:right="59"/>
        <w:spacing w:after="0" w:line="221" w:lineRule="auto"/>
        <w:rPr>
          <w:sz w:val="20"/>
          <w:szCs w:val="20"/>
          <w:color w:val="auto"/>
        </w:rPr>
      </w:pPr>
      <w:r>
        <w:rPr>
          <w:rFonts w:ascii="Calibri" w:cs="Calibri" w:eastAsia="Calibri" w:hAnsi="Calibri"/>
          <w:sz w:val="15"/>
          <w:szCs w:val="15"/>
          <w:color w:val="auto"/>
        </w:rPr>
        <w:t>The grant of the Restricted Stock Units does not provide any right for Employee to receive a cash payment; the Restricted Stock Units will be setled only in shares of Stock.</w:t>
      </w:r>
    </w:p>
    <w:p>
      <w:pPr>
        <w:spacing w:after="0" w:line="153" w:lineRule="exact"/>
        <w:rPr>
          <w:sz w:val="20"/>
          <w:szCs w:val="20"/>
          <w:color w:val="auto"/>
        </w:rPr>
      </w:pPr>
    </w:p>
    <w:p>
      <w:pPr>
        <w:ind w:left="1460"/>
        <w:spacing w:after="0"/>
        <w:rPr>
          <w:sz w:val="20"/>
          <w:szCs w:val="20"/>
          <w:color w:val="auto"/>
        </w:rPr>
      </w:pPr>
      <w:r>
        <w:rPr>
          <w:rFonts w:ascii="Calibri" w:cs="Calibri" w:eastAsia="Calibri" w:hAnsi="Calibri"/>
          <w:sz w:val="15"/>
          <w:szCs w:val="15"/>
          <w:b w:val="1"/>
          <w:bCs w:val="1"/>
          <w:color w:val="auto"/>
        </w:rPr>
        <w:t>Terminaton of Employment</w:t>
      </w:r>
    </w:p>
    <w:p>
      <w:pPr>
        <w:spacing w:after="0" w:line="139" w:lineRule="exact"/>
        <w:rPr>
          <w:sz w:val="20"/>
          <w:szCs w:val="20"/>
          <w:color w:val="auto"/>
        </w:rPr>
      </w:pPr>
    </w:p>
    <w:p>
      <w:pPr>
        <w:ind w:left="1460"/>
        <w:spacing w:after="0"/>
        <w:rPr>
          <w:sz w:val="20"/>
          <w:szCs w:val="20"/>
          <w:color w:val="auto"/>
        </w:rPr>
      </w:pPr>
      <w:r>
        <w:rPr>
          <w:rFonts w:ascii="Calibri" w:cs="Calibri" w:eastAsia="Calibri" w:hAnsi="Calibri"/>
          <w:sz w:val="15"/>
          <w:szCs w:val="15"/>
          <w:color w:val="auto"/>
        </w:rPr>
        <w:t>This provision replaces Paragraph 3(c) of the Agreement:</w:t>
      </w:r>
    </w:p>
    <w:p>
      <w:pPr>
        <w:spacing w:after="0" w:line="139" w:lineRule="exact"/>
        <w:rPr>
          <w:sz w:val="20"/>
          <w:szCs w:val="20"/>
          <w:color w:val="auto"/>
        </w:rPr>
      </w:pPr>
    </w:p>
    <w:p>
      <w:pPr>
        <w:jc w:val="both"/>
        <w:ind w:left="1460" w:right="39"/>
        <w:spacing w:after="0" w:line="210" w:lineRule="auto"/>
        <w:rPr>
          <w:sz w:val="20"/>
          <w:szCs w:val="20"/>
          <w:color w:val="auto"/>
        </w:rPr>
      </w:pPr>
      <w:r>
        <w:rPr>
          <w:rFonts w:ascii="Calibri" w:cs="Calibri" w:eastAsia="Calibri" w:hAnsi="Calibri"/>
          <w:sz w:val="15"/>
          <w:szCs w:val="15"/>
          <w:color w:val="auto"/>
        </w:rPr>
        <w:t>In the event of a terminaton of Employee’s employment with the Company or any Subsidiary or afliated companies for any reason except as otherwise provided in this Paragraph 3, Employee shall, for no consideraton, forfeit all Restricted Stock Units to the extent they are not fully vested as of the Terminaton Date. For purposes of the Restricted Stock Units, Employee's Terminaton Date will occur on, and Employee's right (if any) to earn, seek damages in lieu of, vest in or otherwise beneft from any porton of the Restricted Stock Units pursuant to this Agreement will be measured by, the date that is the earliest of:</w:t>
      </w:r>
    </w:p>
    <w:p>
      <w:pPr>
        <w:spacing w:after="0" w:line="153" w:lineRule="exact"/>
        <w:rPr>
          <w:sz w:val="20"/>
          <w:szCs w:val="20"/>
          <w:color w:val="auto"/>
        </w:rPr>
      </w:pPr>
    </w:p>
    <w:p>
      <w:pPr>
        <w:ind w:left="2380" w:hanging="311"/>
        <w:spacing w:after="0"/>
        <w:tabs>
          <w:tab w:leader="none" w:pos="2380" w:val="left"/>
        </w:tabs>
        <w:numPr>
          <w:ilvl w:val="0"/>
          <w:numId w:val="85"/>
        </w:numPr>
        <w:rPr>
          <w:rFonts w:ascii="Calibri" w:cs="Calibri" w:eastAsia="Calibri" w:hAnsi="Calibri"/>
          <w:sz w:val="15"/>
          <w:szCs w:val="15"/>
          <w:color w:val="auto"/>
        </w:rPr>
      </w:pPr>
      <w:r>
        <w:rPr>
          <w:rFonts w:ascii="Calibri" w:cs="Calibri" w:eastAsia="Calibri" w:hAnsi="Calibri"/>
          <w:sz w:val="15"/>
          <w:szCs w:val="15"/>
          <w:color w:val="auto"/>
        </w:rPr>
        <w:t>the date Employee's employment with the Employer is terminated for any reason; and</w:t>
      </w:r>
    </w:p>
    <w:p>
      <w:pPr>
        <w:spacing w:after="0" w:line="139" w:lineRule="exact"/>
        <w:rPr>
          <w:rFonts w:ascii="Calibri" w:cs="Calibri" w:eastAsia="Calibri" w:hAnsi="Calibri"/>
          <w:sz w:val="15"/>
          <w:szCs w:val="15"/>
          <w:color w:val="auto"/>
        </w:rPr>
      </w:pPr>
    </w:p>
    <w:p>
      <w:pPr>
        <w:ind w:left="2380" w:hanging="311"/>
        <w:spacing w:after="0"/>
        <w:tabs>
          <w:tab w:leader="none" w:pos="2380" w:val="left"/>
        </w:tabs>
        <w:numPr>
          <w:ilvl w:val="0"/>
          <w:numId w:val="85"/>
        </w:numPr>
        <w:rPr>
          <w:rFonts w:ascii="Calibri" w:cs="Calibri" w:eastAsia="Calibri" w:hAnsi="Calibri"/>
          <w:sz w:val="15"/>
          <w:szCs w:val="15"/>
          <w:color w:val="auto"/>
        </w:rPr>
      </w:pPr>
      <w:r>
        <w:rPr>
          <w:rFonts w:ascii="Calibri" w:cs="Calibri" w:eastAsia="Calibri" w:hAnsi="Calibri"/>
          <w:sz w:val="15"/>
          <w:szCs w:val="15"/>
          <w:color w:val="auto"/>
        </w:rPr>
        <w:t>the date Employee receives writen notce of terminaton from the Employer;</w:t>
      </w:r>
    </w:p>
    <w:p>
      <w:pPr>
        <w:spacing w:after="0" w:line="139" w:lineRule="exact"/>
        <w:rPr>
          <w:sz w:val="20"/>
          <w:szCs w:val="20"/>
          <w:color w:val="auto"/>
        </w:rPr>
      </w:pPr>
    </w:p>
    <w:p>
      <w:pPr>
        <w:jc w:val="both"/>
        <w:ind w:left="1460" w:right="59"/>
        <w:spacing w:after="0" w:line="215" w:lineRule="auto"/>
        <w:rPr>
          <w:sz w:val="20"/>
          <w:szCs w:val="20"/>
          <w:color w:val="auto"/>
        </w:rPr>
      </w:pPr>
      <w:r>
        <w:rPr>
          <w:rFonts w:ascii="Calibri" w:cs="Calibri" w:eastAsia="Calibri" w:hAnsi="Calibri"/>
          <w:sz w:val="15"/>
          <w:szCs w:val="15"/>
          <w:color w:val="auto"/>
        </w:rPr>
        <w:t>regardless of any period during which notce, pay in lieu of notce or related payments or damages are provided or required to be provided under local law. For greater certainty, Employee will not earn or be enttled to any pro-rated vestng for that porton of tme before the date on which Employee's right to vest terminates, nor will Employee be enttled to any compensaton for lost vestng.</w:t>
      </w:r>
    </w:p>
    <w:p>
      <w:pPr>
        <w:spacing w:after="0" w:line="152" w:lineRule="exact"/>
        <w:rPr>
          <w:sz w:val="20"/>
          <w:szCs w:val="20"/>
          <w:color w:val="auto"/>
        </w:rPr>
      </w:pPr>
    </w:p>
    <w:p>
      <w:pPr>
        <w:jc w:val="both"/>
        <w:ind w:left="1460" w:right="59"/>
        <w:spacing w:after="0" w:line="212" w:lineRule="auto"/>
        <w:rPr>
          <w:sz w:val="20"/>
          <w:szCs w:val="20"/>
          <w:color w:val="auto"/>
        </w:rPr>
      </w:pPr>
      <w:r>
        <w:rPr>
          <w:rFonts w:ascii="Calibri" w:cs="Calibri" w:eastAsia="Calibri" w:hAnsi="Calibri"/>
          <w:sz w:val="15"/>
          <w:szCs w:val="15"/>
          <w:color w:val="auto"/>
        </w:rPr>
        <w:t>Notwithstanding the foregoing, if applicable employment standards legislaton explicitly requires contnued vestng during a statutory notce period, Employee's right to vest in the Restricted Stock Units, if any, will terminate efectve upon the expiry of the minimum statutory notce period, but Employee will not earn or be enttled to pro-rated vestng if the vestng date falls afer the end of the statutory notce period, nor will Employee be enttled to any compensaton for lost vestng.</w:t>
      </w:r>
    </w:p>
    <w:p>
      <w:pPr>
        <w:spacing w:after="0" w:line="139" w:lineRule="exact"/>
        <w:rPr>
          <w:sz w:val="20"/>
          <w:szCs w:val="20"/>
          <w:color w:val="auto"/>
        </w:rPr>
      </w:pPr>
    </w:p>
    <w:p>
      <w:pPr>
        <w:ind w:left="1460"/>
        <w:spacing w:after="0"/>
        <w:rPr>
          <w:sz w:val="20"/>
          <w:szCs w:val="20"/>
          <w:color w:val="auto"/>
        </w:rPr>
      </w:pPr>
      <w:r>
        <w:rPr>
          <w:rFonts w:ascii="Calibri" w:cs="Calibri" w:eastAsia="Calibri" w:hAnsi="Calibri"/>
          <w:sz w:val="15"/>
          <w:szCs w:val="15"/>
          <w:b w:val="1"/>
          <w:bCs w:val="1"/>
          <w:color w:val="auto"/>
        </w:rPr>
        <w:t>Foreign Ownership Informaton</w:t>
      </w:r>
    </w:p>
    <w:p>
      <w:pPr>
        <w:spacing w:after="0" w:line="139" w:lineRule="exact"/>
        <w:rPr>
          <w:sz w:val="20"/>
          <w:szCs w:val="20"/>
          <w:color w:val="auto"/>
        </w:rPr>
      </w:pPr>
    </w:p>
    <w:p>
      <w:pPr>
        <w:jc w:val="both"/>
        <w:ind w:left="1460" w:right="59"/>
        <w:spacing w:after="0" w:line="212" w:lineRule="auto"/>
        <w:rPr>
          <w:sz w:val="20"/>
          <w:szCs w:val="20"/>
          <w:color w:val="auto"/>
        </w:rPr>
      </w:pPr>
      <w:r>
        <w:rPr>
          <w:rFonts w:ascii="Calibri" w:cs="Calibri" w:eastAsia="Calibri" w:hAnsi="Calibri"/>
          <w:sz w:val="15"/>
          <w:szCs w:val="15"/>
          <w:color w:val="auto"/>
        </w:rPr>
        <w:t>If Employee is a Canadian resident, Employee’s ownership of certain foreign property (including shares of foreign corporatons) in excess of a specifed threshold (currently CAD 100,000) may be subject to ongoing annual reportng obligatons. Employee should refer to CRA Form T1135 (Foreign Income Verifcaton Statement) and consult his/her tax advisor for further details. It is Employee’s responsibility to comply with all applicable tax reportng requirements.</w:t>
      </w:r>
    </w:p>
    <w:p>
      <w:pPr>
        <w:spacing w:after="0" w:line="152" w:lineRule="exact"/>
        <w:rPr>
          <w:sz w:val="20"/>
          <w:szCs w:val="20"/>
          <w:color w:val="auto"/>
        </w:rPr>
      </w:pPr>
    </w:p>
    <w:p>
      <w:pPr>
        <w:ind w:left="1460"/>
        <w:spacing w:after="0"/>
        <w:rPr>
          <w:sz w:val="20"/>
          <w:szCs w:val="20"/>
          <w:color w:val="auto"/>
        </w:rPr>
      </w:pPr>
      <w:r>
        <w:rPr>
          <w:rFonts w:ascii="Calibri" w:cs="Calibri" w:eastAsia="Calibri" w:hAnsi="Calibri"/>
          <w:sz w:val="15"/>
          <w:szCs w:val="15"/>
          <w:b w:val="1"/>
          <w:bCs w:val="1"/>
          <w:color w:val="auto"/>
        </w:rPr>
        <w:t>Data Privacy</w:t>
      </w:r>
    </w:p>
    <w:p>
      <w:pPr>
        <w:spacing w:after="0" w:line="75" w:lineRule="exact"/>
        <w:rPr>
          <w:sz w:val="20"/>
          <w:szCs w:val="20"/>
          <w:color w:val="auto"/>
        </w:rPr>
      </w:pPr>
    </w:p>
    <w:p>
      <w:pPr>
        <w:ind w:left="1460"/>
        <w:spacing w:after="0"/>
        <w:rPr>
          <w:sz w:val="20"/>
          <w:szCs w:val="20"/>
          <w:color w:val="auto"/>
        </w:rPr>
      </w:pPr>
      <w:r>
        <w:rPr>
          <w:rFonts w:ascii="Calibri" w:cs="Calibri" w:eastAsia="Calibri" w:hAnsi="Calibri"/>
          <w:sz w:val="15"/>
          <w:szCs w:val="15"/>
          <w:color w:val="auto"/>
        </w:rPr>
        <w:t>The following provision supplements Paragraph 11 of the Agreement:</w:t>
      </w:r>
    </w:p>
    <w:p>
      <w:pPr>
        <w:spacing w:after="0" w:line="75" w:lineRule="exact"/>
        <w:rPr>
          <w:sz w:val="20"/>
          <w:szCs w:val="20"/>
          <w:color w:val="auto"/>
        </w:rPr>
      </w:pPr>
    </w:p>
    <w:p>
      <w:pPr>
        <w:jc w:val="both"/>
        <w:ind w:left="1460" w:right="39"/>
        <w:spacing w:after="0" w:line="210" w:lineRule="auto"/>
        <w:rPr>
          <w:sz w:val="20"/>
          <w:szCs w:val="20"/>
          <w:color w:val="auto"/>
        </w:rPr>
      </w:pPr>
      <w:r>
        <w:rPr>
          <w:rFonts w:ascii="Calibri" w:cs="Calibri" w:eastAsia="Calibri" w:hAnsi="Calibri"/>
          <w:sz w:val="15"/>
          <w:szCs w:val="15"/>
          <w:color w:val="auto"/>
        </w:rPr>
        <w:t>Employee hereby authorizes the Company and the Company’s representatves to discuss with and obtain all relevant informaton from all personnel, professional or not, involved in the administraton and operaton of the Plan. Employee further authorizes the Company and any Subsidiary or afliated company and the administrator of the Plan to disclose and discuss the Plan with their advisors. Employee further authorizes the Company and any Subsidiary or afliated company to record such informaton and to keep such informaton in Employee’s employee fle.</w:t>
      </w:r>
    </w:p>
    <w:p>
      <w:pPr>
        <w:spacing w:after="0" w:line="140" w:lineRule="exact"/>
        <w:rPr>
          <w:sz w:val="20"/>
          <w:szCs w:val="20"/>
          <w:color w:val="auto"/>
        </w:rPr>
      </w:pPr>
    </w:p>
    <w:p>
      <w:pPr>
        <w:ind w:left="1460"/>
        <w:spacing w:after="0"/>
        <w:rPr>
          <w:sz w:val="20"/>
          <w:szCs w:val="20"/>
          <w:color w:val="auto"/>
        </w:rPr>
      </w:pPr>
      <w:r>
        <w:rPr>
          <w:rFonts w:ascii="Calibri" w:cs="Calibri" w:eastAsia="Calibri" w:hAnsi="Calibri"/>
          <w:sz w:val="15"/>
          <w:szCs w:val="15"/>
          <w:b w:val="1"/>
          <w:bCs w:val="1"/>
          <w:color w:val="auto"/>
        </w:rPr>
        <w:t>French Language Documents (Quebec Employees)</w:t>
      </w:r>
    </w:p>
    <w:p>
      <w:pPr>
        <w:spacing w:after="0" w:line="75" w:lineRule="exact"/>
        <w:rPr>
          <w:sz w:val="20"/>
          <w:szCs w:val="20"/>
          <w:color w:val="auto"/>
        </w:rPr>
      </w:pPr>
    </w:p>
    <w:p>
      <w:pPr>
        <w:jc w:val="both"/>
        <w:ind w:left="1460" w:right="39"/>
        <w:spacing w:after="0"/>
        <w:rPr>
          <w:sz w:val="20"/>
          <w:szCs w:val="20"/>
          <w:color w:val="auto"/>
        </w:rPr>
      </w:pPr>
      <w:r>
        <w:rPr>
          <w:rFonts w:ascii="Calibri" w:cs="Calibri" w:eastAsia="Calibri" w:hAnsi="Calibri"/>
          <w:sz w:val="15"/>
          <w:szCs w:val="15"/>
          <w:color w:val="auto"/>
        </w:rPr>
        <w:t>A French translaton of the Plan and the Agreement will be made available to Employee as soon as reasonably practcable. Employee understands that, from tme to tme, additonal informaton related to the ofering of the Plan might be provided in English and such informaton may not be immediately available in French. Notwithstanding anything to the contrary in the Plan or the Agreement, and unless Employee indicates otherwise, the French translaton of the Plan and the Agreement will govern Employee's partcipaton in the Plan.</w:t>
      </w:r>
    </w:p>
    <w:p>
      <w:pPr>
        <w:spacing w:after="0" w:line="144" w:lineRule="exact"/>
        <w:rPr>
          <w:sz w:val="20"/>
          <w:szCs w:val="20"/>
          <w:color w:val="auto"/>
        </w:rPr>
      </w:pPr>
    </w:p>
    <w:p>
      <w:pPr>
        <w:jc w:val="both"/>
        <w:ind w:left="1460" w:right="39"/>
        <w:spacing w:after="0"/>
        <w:rPr>
          <w:sz w:val="20"/>
          <w:szCs w:val="20"/>
          <w:color w:val="auto"/>
        </w:rPr>
      </w:pPr>
      <w:r>
        <w:rPr>
          <w:rFonts w:ascii="Calibri" w:cs="Calibri" w:eastAsia="Calibri" w:hAnsi="Calibri"/>
          <w:sz w:val="15"/>
          <w:szCs w:val="15"/>
          <w:i w:val="1"/>
          <w:iCs w:val="1"/>
          <w:color w:val="auto"/>
        </w:rPr>
        <w:t>Une traducton en français du Plan et de le Contrat sera mise à la dispositon de le Salarié dès que raisonnablement possible. Le Salarié comprend que, de temps à autre, des renseignements supplémentaires liés à l’ofre du Plan peuvent être fournies en anglais et que ces informatons peuvent ne pas être immédiatement disponibles en français. Nonobstant toute dispositon contraire dans le Plan ou le Contrat, et à moins que le Salarié n’indiquiez le contraire, la traducton française de Plan et de le Contract régira la partcipaton de le Salarié au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167640</wp:posOffset>
            </wp:positionV>
            <wp:extent cx="64509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0">
                      <a:extLst>
                        <a:ext uri="{28A0092B-C50C-407E-A947-70E740481C1C}"/>
                      </a:extLst>
                    </a:blip>
                    <a:srcRect/>
                    <a:stretch>
                      <a:fillRect/>
                    </a:stretch>
                  </pic:blipFill>
                  <pic:spPr bwMode="auto">
                    <a:xfrm>
                      <a:off x="0" y="0"/>
                      <a:ext cx="6450965" cy="8255"/>
                    </a:xfrm>
                    <a:prstGeom prst="rect">
                      <a:avLst/>
                    </a:prstGeom>
                    <a:noFill/>
                  </pic:spPr>
                </pic:pic>
              </a:graphicData>
            </a:graphic>
          </wp:anchor>
        </w:drawing>
      </w:r>
    </w:p>
    <w:p>
      <w:pPr>
        <w:sectPr>
          <w:pgSz w:w="11900" w:h="16838" w:orient="portrait"/>
          <w:cols w:equalWidth="0" w:num="1">
            <w:col w:w="10059"/>
          </w:cols>
          <w:pgMar w:left="400" w:top="318" w:right="1440" w:bottom="1440" w:gutter="0" w:footer="0" w:header="0"/>
        </w:sectPr>
      </w:pPr>
    </w:p>
    <w:bookmarkStart w:id="135" w:name="page136"/>
    <w:bookmarkEnd w:id="135"/>
    <w:p>
      <w:pPr>
        <w:spacing w:after="0"/>
        <w:tabs>
          <w:tab w:leader="none" w:pos="1440" w:val="left"/>
        </w:tabs>
        <w:rPr>
          <w:sz w:val="20"/>
          <w:szCs w:val="20"/>
          <w:color w:val="auto"/>
        </w:rPr>
      </w:pPr>
      <w:r>
        <w:rPr>
          <w:rFonts w:ascii="Calibri" w:cs="Calibri" w:eastAsia="Calibri" w:hAnsi="Calibri"/>
          <w:sz w:val="38"/>
          <w:szCs w:val="38"/>
          <w:b w:val="1"/>
          <w:bCs w:val="1"/>
          <w:color w:val="auto"/>
          <w:vertAlign w:val="subscript"/>
        </w:rPr>
        <w:t>China</w:t>
      </w:r>
      <w:r>
        <w:rPr>
          <w:sz w:val="20"/>
          <w:szCs w:val="20"/>
          <w:color w:val="auto"/>
        </w:rPr>
        <w:tab/>
      </w:r>
      <w:r>
        <w:rPr>
          <w:rFonts w:ascii="Calibri" w:cs="Calibri" w:eastAsia="Calibri" w:hAnsi="Calibri"/>
          <w:sz w:val="15"/>
          <w:szCs w:val="15"/>
          <w:b w:val="1"/>
          <w:bCs w:val="1"/>
          <w:color w:val="auto"/>
        </w:rPr>
        <w:t>Foreign Exchange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wp:posOffset>
            </wp:positionV>
            <wp:extent cx="64509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1">
                      <a:extLst>
                        <a:ext uri="{28A0092B-C50C-407E-A947-70E740481C1C}"/>
                      </a:extLst>
                    </a:blip>
                    <a:srcRect/>
                    <a:stretch>
                      <a:fillRect/>
                    </a:stretch>
                  </pic:blipFill>
                  <pic:spPr bwMode="auto">
                    <a:xfrm>
                      <a:off x="0" y="0"/>
                      <a:ext cx="6450965" cy="8255"/>
                    </a:xfrm>
                    <a:prstGeom prst="rect">
                      <a:avLst/>
                    </a:prstGeom>
                    <a:noFill/>
                  </pic:spPr>
                </pic:pic>
              </a:graphicData>
            </a:graphic>
          </wp:anchor>
        </w:drawing>
      </w:r>
    </w:p>
    <w:p>
      <w:pPr>
        <w:spacing w:after="0" w:line="249" w:lineRule="exact"/>
        <w:rPr>
          <w:sz w:val="20"/>
          <w:szCs w:val="20"/>
          <w:color w:val="auto"/>
        </w:rPr>
      </w:pPr>
    </w:p>
    <w:p>
      <w:pPr>
        <w:jc w:val="both"/>
        <w:ind w:left="1460" w:right="59"/>
        <w:spacing w:after="0" w:line="221" w:lineRule="auto"/>
        <w:rPr>
          <w:sz w:val="20"/>
          <w:szCs w:val="20"/>
          <w:color w:val="auto"/>
        </w:rPr>
      </w:pPr>
      <w:r>
        <w:rPr>
          <w:rFonts w:ascii="Calibri" w:cs="Calibri" w:eastAsia="Calibri" w:hAnsi="Calibri"/>
          <w:sz w:val="15"/>
          <w:szCs w:val="15"/>
          <w:i w:val="1"/>
          <w:iCs w:val="1"/>
          <w:color w:val="auto"/>
        </w:rPr>
        <w:t>The following terms apply only to natonals of the People’s Republic of China (“China” or the “PRC”) residing in mainland China, unless otherwise determined by the Company</w:t>
      </w:r>
      <w:r>
        <w:rPr>
          <w:rFonts w:ascii="Calibri" w:cs="Calibri" w:eastAsia="Calibri" w:hAnsi="Calibri"/>
          <w:sz w:val="15"/>
          <w:szCs w:val="15"/>
          <w:color w:val="auto"/>
        </w:rPr>
        <w:t>:</w:t>
      </w:r>
    </w:p>
    <w:p>
      <w:pPr>
        <w:spacing w:after="0" w:line="140" w:lineRule="exact"/>
        <w:rPr>
          <w:sz w:val="20"/>
          <w:szCs w:val="20"/>
          <w:color w:val="auto"/>
        </w:rPr>
      </w:pPr>
    </w:p>
    <w:p>
      <w:pPr>
        <w:jc w:val="both"/>
        <w:ind w:left="1460" w:right="39"/>
        <w:spacing w:after="0" w:line="209" w:lineRule="auto"/>
        <w:rPr>
          <w:sz w:val="20"/>
          <w:szCs w:val="20"/>
          <w:color w:val="auto"/>
        </w:rPr>
      </w:pPr>
      <w:r>
        <w:rPr>
          <w:rFonts w:ascii="Calibri" w:cs="Calibri" w:eastAsia="Calibri" w:hAnsi="Calibri"/>
          <w:sz w:val="15"/>
          <w:szCs w:val="15"/>
          <w:color w:val="auto"/>
        </w:rPr>
        <w:t>Employee agrees to hold the shares of Stock received upon setlement of the Restricted Stock Units with the Company’s Stock Plan Administrator untl the shares of Stock are sold. In additon, if the Company changes its designated Stock Plan Administrator, Employee acknowledges and agrees that the Company may transfer any/all shares of Stock acquired under the Plan to the new Stock Plan Administrator, if necessary for legal or administratve reasons, and hereby directs, instructs and authorizes the Company to issue transfer instructons on Employees' behalf. Employee agrees to sign (electronically or otherwise, in the manner designated by the Company) any documentaton necessary to facilitate such transfer of shares of Stock.</w:t>
      </w:r>
    </w:p>
    <w:p>
      <w:pPr>
        <w:spacing w:after="0" w:line="178" w:lineRule="exact"/>
        <w:rPr>
          <w:sz w:val="20"/>
          <w:szCs w:val="20"/>
          <w:color w:val="auto"/>
        </w:rPr>
      </w:pPr>
    </w:p>
    <w:p>
      <w:pPr>
        <w:jc w:val="both"/>
        <w:ind w:left="1460" w:right="39"/>
        <w:spacing w:after="0" w:line="208" w:lineRule="auto"/>
        <w:rPr>
          <w:sz w:val="20"/>
          <w:szCs w:val="20"/>
          <w:color w:val="auto"/>
        </w:rPr>
      </w:pPr>
      <w:r>
        <w:rPr>
          <w:rFonts w:ascii="Calibri" w:cs="Calibri" w:eastAsia="Calibri" w:hAnsi="Calibri"/>
          <w:sz w:val="15"/>
          <w:szCs w:val="15"/>
          <w:color w:val="auto"/>
        </w:rPr>
        <w:t>By acceptng the Restricted Stock Units, Employee understands and agrees that Employee will be required to immediately repatriate all proceeds due to Employee from the sale of shares of Stock acquired under the Plan. Further, Employee understands that such repatriaton will need to be efected through a special exchange control account established by the Company or its afliated company in the PRC, and Employee hereby agrees that the proceeds may be transferred to such special account prior to being delivered to Employee and that no interest shall be paid with respect to funds held in such account. Employee acknowledges that neither the Company nor the Stock Plan Administrator is under any obligaton to arrange for the sale of shares of Stock at any partcular price (it being understood that the sale will occur in the market) and that broker’s fees and similar expenses may be incurred in any such sale.</w:t>
      </w:r>
    </w:p>
    <w:p>
      <w:pPr>
        <w:spacing w:after="0" w:line="178" w:lineRule="exact"/>
        <w:rPr>
          <w:sz w:val="20"/>
          <w:szCs w:val="20"/>
          <w:color w:val="auto"/>
        </w:rPr>
      </w:pPr>
    </w:p>
    <w:p>
      <w:pPr>
        <w:jc w:val="both"/>
        <w:ind w:left="1460" w:right="59"/>
        <w:spacing w:after="0" w:line="206" w:lineRule="auto"/>
        <w:rPr>
          <w:sz w:val="20"/>
          <w:szCs w:val="20"/>
          <w:color w:val="auto"/>
        </w:rPr>
      </w:pPr>
      <w:r>
        <w:rPr>
          <w:rFonts w:ascii="Calibri" w:cs="Calibri" w:eastAsia="Calibri" w:hAnsi="Calibri"/>
          <w:sz w:val="15"/>
          <w:szCs w:val="15"/>
          <w:color w:val="auto"/>
        </w:rPr>
        <w:t>The proceeds may be paid to Employee in U.S. dollars or in local currency, at the Company’s discreton. If the proceeds are paid in U.S. dollars, Employee understands that Employee will be required to set up and maintain a U.S. dollar bank account in the PRC so that the proceeds may be deposited into this account. Employee understands that if Employee fails to set up such account or fails to provide the requested details to the Company, Employee might not be able to receive sale proceeds or the delivery of proceeds may be delayed. If the proceeds are paid in local currency, Employee acknowledges that neither the Company nor any of its Subsidiaries or afliated companies is under an obligaton to secure any partcular currency conversion rate and that the Company or any Subsidiaries and afliated companies may face delays in convertng the proceeds to local currency due to exchange control requirements in the PRC. Employee agrees to bear any currency fuctuaton risk between the tme the shares of Stock are sold and the tme the proceeds are converted into local currency and distributed to Employee. Employee further agrees to comply with any other requirements that may be imposed by the Company in the future to facilitate compliance with PRC exchange control requirements.</w:t>
      </w:r>
    </w:p>
    <w:p>
      <w:pPr>
        <w:spacing w:after="0" w:line="182" w:lineRule="exact"/>
        <w:rPr>
          <w:sz w:val="20"/>
          <w:szCs w:val="20"/>
          <w:color w:val="auto"/>
        </w:rPr>
      </w:pPr>
    </w:p>
    <w:p>
      <w:pPr>
        <w:jc w:val="both"/>
        <w:ind w:left="1460" w:right="59"/>
        <w:spacing w:after="0" w:line="207" w:lineRule="auto"/>
        <w:rPr>
          <w:sz w:val="20"/>
          <w:szCs w:val="20"/>
          <w:color w:val="auto"/>
        </w:rPr>
      </w:pPr>
      <w:r>
        <w:rPr>
          <w:rFonts w:ascii="Calibri" w:cs="Calibri" w:eastAsia="Calibri" w:hAnsi="Calibri"/>
          <w:sz w:val="15"/>
          <w:szCs w:val="15"/>
          <w:color w:val="auto"/>
        </w:rPr>
        <w:t>Notwithstanding any provision in the Agreement or the Plan to the contrary, due to exchange control regulatons in the PRC, Employee understands and agrees that, to the extent Restricted Stock Units remain outstanding afer Employee’s terminaton of employment, such Restricted Stock Units will be cancelled on the 90th day following Employee’s terminaton of employment or within such other period as determined by the Company or required by the China State Administraton of Foreign Exchange (“SAFE”). Further, Employee will be required to sell shares of Stock Employee holds within 90 days following Employee’s terminaton of employment or within such other period as determined by the Company or required by the SAFE (the “Mandatory Sale Date”). This includes any porton of shares of Stock that vest upon Employee’s terminaton of employment. Employee understands that any shares of Stock held by Employee under the Plan that have not been sold by the Mandatory Sale Date will automatcally be sold by the Company’s Stock Plan Administrator at the Company’s directon (on Employee’s behalf pursuant to this authorizaton without further consent).</w:t>
      </w:r>
    </w:p>
    <w:p>
      <w:pPr>
        <w:spacing w:after="0" w:line="177" w:lineRule="exact"/>
        <w:rPr>
          <w:sz w:val="20"/>
          <w:szCs w:val="20"/>
          <w:color w:val="auto"/>
        </w:rPr>
      </w:pPr>
    </w:p>
    <w:p>
      <w:pPr>
        <w:jc w:val="both"/>
        <w:ind w:left="1460" w:right="59"/>
        <w:spacing w:after="0" w:line="212" w:lineRule="auto"/>
        <w:rPr>
          <w:sz w:val="20"/>
          <w:szCs w:val="20"/>
          <w:color w:val="auto"/>
        </w:rPr>
      </w:pPr>
      <w:r>
        <w:rPr>
          <w:rFonts w:ascii="Calibri" w:cs="Calibri" w:eastAsia="Calibri" w:hAnsi="Calibri"/>
          <w:sz w:val="15"/>
          <w:szCs w:val="15"/>
          <w:color w:val="auto"/>
        </w:rPr>
        <w:t>Neither the Company nor its Subsidiaries or afliated companies shall be liable for any costs, fees, lost interest or dividends or other losses Employee may incur or sufer resultng from the enforcement of the terms of this Addendum or otherwise from the Company’s operaton and enforcement of the terms of the Plan, the Agreement, and the Restricted Stock Units in accordance with Chinese law including, without limitaton, any applicable rules, regulatons, requirements and approvals issued by SAFE.</w:t>
      </w:r>
    </w:p>
    <w:p>
      <w:pPr>
        <w:spacing w:after="0" w:line="178" w:lineRule="exact"/>
        <w:rPr>
          <w:sz w:val="20"/>
          <w:szCs w:val="20"/>
          <w:color w:val="auto"/>
        </w:rPr>
      </w:pPr>
    </w:p>
    <w:p>
      <w:pPr>
        <w:ind w:left="1460"/>
        <w:spacing w:after="0"/>
        <w:rPr>
          <w:sz w:val="20"/>
          <w:szCs w:val="20"/>
          <w:color w:val="auto"/>
        </w:rPr>
      </w:pPr>
      <w:r>
        <w:rPr>
          <w:rFonts w:ascii="Calibri" w:cs="Calibri" w:eastAsia="Calibri" w:hAnsi="Calibri"/>
          <w:sz w:val="15"/>
          <w:szCs w:val="15"/>
          <w:b w:val="1"/>
          <w:bCs w:val="1"/>
          <w:color w:val="auto"/>
        </w:rPr>
        <w:t>Internal Control Policy</w:t>
      </w:r>
    </w:p>
    <w:p>
      <w:pPr>
        <w:spacing w:after="0" w:line="152" w:lineRule="exact"/>
        <w:rPr>
          <w:sz w:val="20"/>
          <w:szCs w:val="20"/>
          <w:color w:val="auto"/>
        </w:rPr>
      </w:pPr>
    </w:p>
    <w:p>
      <w:pPr>
        <w:jc w:val="both"/>
        <w:ind w:left="1460" w:right="59"/>
        <w:spacing w:after="0" w:line="215" w:lineRule="auto"/>
        <w:rPr>
          <w:sz w:val="20"/>
          <w:szCs w:val="20"/>
          <w:color w:val="auto"/>
        </w:rPr>
      </w:pPr>
      <w:r>
        <w:rPr>
          <w:rFonts w:ascii="Calibri" w:cs="Calibri" w:eastAsia="Calibri" w:hAnsi="Calibri"/>
          <w:sz w:val="15"/>
          <w:szCs w:val="15"/>
          <w:color w:val="auto"/>
        </w:rPr>
        <w:t>Employee understands that the Restricted Stock Units are also subject to the separate Internal Control Policy for Employees in the PRC, which is provided by Employee’s Human Resources Department. Employee understands that he/she can contact the Human Resources Department for a copy of the policy.</w:t>
      </w:r>
    </w:p>
    <w:p>
      <w:pPr>
        <w:spacing w:after="0" w:line="178" w:lineRule="exact"/>
        <w:rPr>
          <w:sz w:val="20"/>
          <w:szCs w:val="20"/>
          <w:color w:val="auto"/>
        </w:rPr>
      </w:pPr>
    </w:p>
    <w:p>
      <w:pPr>
        <w:ind w:left="1460"/>
        <w:spacing w:after="0"/>
        <w:rPr>
          <w:sz w:val="20"/>
          <w:szCs w:val="20"/>
          <w:color w:val="auto"/>
        </w:rPr>
      </w:pPr>
      <w:r>
        <w:rPr>
          <w:rFonts w:ascii="Calibri" w:cs="Calibri" w:eastAsia="Calibri" w:hAnsi="Calibri"/>
          <w:sz w:val="15"/>
          <w:szCs w:val="15"/>
          <w:b w:val="1"/>
          <w:bCs w:val="1"/>
          <w:color w:val="auto"/>
        </w:rPr>
        <w:t>Foreign Ownership Informaton</w:t>
      </w:r>
    </w:p>
    <w:p>
      <w:pPr>
        <w:spacing w:after="0" w:line="178" w:lineRule="exact"/>
        <w:rPr>
          <w:sz w:val="20"/>
          <w:szCs w:val="20"/>
          <w:color w:val="auto"/>
        </w:rPr>
      </w:pPr>
    </w:p>
    <w:p>
      <w:pPr>
        <w:jc w:val="both"/>
        <w:ind w:left="1460" w:right="59"/>
        <w:spacing w:after="0" w:line="215" w:lineRule="auto"/>
        <w:rPr>
          <w:sz w:val="20"/>
          <w:szCs w:val="20"/>
          <w:color w:val="auto"/>
        </w:rPr>
      </w:pPr>
      <w:r>
        <w:rPr>
          <w:rFonts w:ascii="Calibri" w:cs="Calibri" w:eastAsia="Calibri" w:hAnsi="Calibri"/>
          <w:sz w:val="15"/>
          <w:szCs w:val="15"/>
          <w:color w:val="auto"/>
        </w:rPr>
        <w:t>If Employee is a Chinese resident, Employee may be required to report to SAFE all details of Employee’s foreign fnancial assets and liabilites, as well as details of any economic transactons conducted with non-PRC residents. Employee should consult with his/her personal tax advisor to determine Employee’s personal reportng obligatons.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83185</wp:posOffset>
            </wp:positionV>
            <wp:extent cx="64509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2">
                      <a:extLst>
                        <a:ext uri="{28A0092B-C50C-407E-A947-70E740481C1C}"/>
                      </a:extLst>
                    </a:blip>
                    <a:srcRect/>
                    <a:stretch>
                      <a:fillRect/>
                    </a:stretch>
                  </pic:blipFill>
                  <pic:spPr bwMode="auto">
                    <a:xfrm>
                      <a:off x="0" y="0"/>
                      <a:ext cx="6450965" cy="8255"/>
                    </a:xfrm>
                    <a:prstGeom prst="rect">
                      <a:avLst/>
                    </a:prstGeom>
                    <a:noFill/>
                  </pic:spPr>
                </pic:pic>
              </a:graphicData>
            </a:graphic>
          </wp:anchor>
        </w:drawing>
      </w:r>
    </w:p>
    <w:p>
      <w:pPr>
        <w:sectPr>
          <w:pgSz w:w="11900" w:h="16838" w:orient="portrait"/>
          <w:cols w:equalWidth="0" w:num="1">
            <w:col w:w="10059"/>
          </w:cols>
          <w:pgMar w:left="400" w:top="318" w:right="1440" w:bottom="1440" w:gutter="0" w:footer="0" w:header="0"/>
        </w:sectPr>
      </w:pPr>
    </w:p>
    <w:bookmarkStart w:id="136" w:name="page137"/>
    <w:bookmarkEnd w:id="136"/>
    <w:p>
      <w:pPr>
        <w:spacing w:after="0"/>
        <w:tabs>
          <w:tab w:leader="none" w:pos="1440" w:val="left"/>
        </w:tabs>
        <w:rPr>
          <w:sz w:val="20"/>
          <w:szCs w:val="20"/>
          <w:color w:val="auto"/>
        </w:rPr>
      </w:pPr>
      <w:r>
        <w:rPr>
          <w:rFonts w:ascii="Calibri" w:cs="Calibri" w:eastAsia="Calibri" w:hAnsi="Calibri"/>
          <w:sz w:val="38"/>
          <w:szCs w:val="38"/>
          <w:b w:val="1"/>
          <w:bCs w:val="1"/>
          <w:color w:val="auto"/>
          <w:vertAlign w:val="subscript"/>
        </w:rPr>
        <w:t>Colombia</w:t>
      </w:r>
      <w:r>
        <w:rPr>
          <w:sz w:val="20"/>
          <w:szCs w:val="20"/>
          <w:color w:val="auto"/>
        </w:rPr>
        <w:tab/>
      </w:r>
      <w:r>
        <w:rPr>
          <w:rFonts w:ascii="Calibri" w:cs="Calibri" w:eastAsia="Calibri" w:hAnsi="Calibri"/>
          <w:sz w:val="19"/>
          <w:szCs w:val="19"/>
          <w:b w:val="1"/>
          <w:bCs w:val="1"/>
          <w:color w:val="auto"/>
        </w:rPr>
        <w:t>Labor Law Acknowledgment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64509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3">
                      <a:extLst>
                        <a:ext uri="{28A0092B-C50C-407E-A947-70E740481C1C}"/>
                      </a:extLst>
                    </a:blip>
                    <a:srcRect/>
                    <a:stretch>
                      <a:fillRect/>
                    </a:stretch>
                  </pic:blipFill>
                  <pic:spPr bwMode="auto">
                    <a:xfrm>
                      <a:off x="0" y="0"/>
                      <a:ext cx="6450965" cy="8255"/>
                    </a:xfrm>
                    <a:prstGeom prst="rect">
                      <a:avLst/>
                    </a:prstGeom>
                    <a:noFill/>
                  </pic:spPr>
                </pic:pic>
              </a:graphicData>
            </a:graphic>
          </wp:anchor>
        </w:drawing>
      </w:r>
    </w:p>
    <w:p>
      <w:pPr>
        <w:spacing w:after="0" w:line="225" w:lineRule="exact"/>
        <w:rPr>
          <w:sz w:val="20"/>
          <w:szCs w:val="20"/>
          <w:color w:val="auto"/>
        </w:rPr>
      </w:pPr>
    </w:p>
    <w:p>
      <w:pPr>
        <w:jc w:val="both"/>
        <w:ind w:left="1460" w:right="59"/>
        <w:spacing w:after="0" w:line="201" w:lineRule="auto"/>
        <w:rPr>
          <w:sz w:val="20"/>
          <w:szCs w:val="20"/>
          <w:color w:val="auto"/>
        </w:rPr>
      </w:pPr>
      <w:r>
        <w:rPr>
          <w:rFonts w:ascii="Calibri" w:cs="Calibri" w:eastAsia="Calibri" w:hAnsi="Calibri"/>
          <w:sz w:val="19"/>
          <w:szCs w:val="19"/>
          <w:color w:val="auto"/>
        </w:rPr>
        <w:t>By acceptng the Restricted Stock Units, Employee expressly acknowledges that, pursuant to Artcle 128 of the Colombian Labor Code, the Restricted Stock Units and related benefts do not consttute a component of Employee’s salary for any legal purpose. Therefore, the Restricted Stock Units and related benefts will not be included and/or considered to calculate any and all labor benefts, such as legal/fringe benefts, vacatons, indemnites, payroll taxes, social insurance contributons and/or any other labor-related amount which may be payable, to the fullest extent possible in accordance to Artcle 30 of Law 1393.</w:t>
      </w:r>
    </w:p>
    <w:p>
      <w:pPr>
        <w:spacing w:after="0" w:line="66" w:lineRule="exact"/>
        <w:rPr>
          <w:sz w:val="20"/>
          <w:szCs w:val="20"/>
          <w:color w:val="auto"/>
        </w:rPr>
      </w:pPr>
    </w:p>
    <w:p>
      <w:pPr>
        <w:ind w:left="1460"/>
        <w:spacing w:after="0"/>
        <w:rPr>
          <w:sz w:val="20"/>
          <w:szCs w:val="20"/>
          <w:color w:val="auto"/>
        </w:rPr>
      </w:pPr>
      <w:r>
        <w:rPr>
          <w:rFonts w:ascii="Calibri" w:cs="Calibri" w:eastAsia="Calibri" w:hAnsi="Calibri"/>
          <w:sz w:val="19"/>
          <w:szCs w:val="19"/>
          <w:b w:val="1"/>
          <w:bCs w:val="1"/>
          <w:color w:val="auto"/>
        </w:rPr>
        <w:t>Securites Law Notce</w:t>
      </w:r>
    </w:p>
    <w:p>
      <w:pPr>
        <w:spacing w:after="0" w:line="58" w:lineRule="exact"/>
        <w:rPr>
          <w:sz w:val="20"/>
          <w:szCs w:val="20"/>
          <w:color w:val="auto"/>
        </w:rPr>
      </w:pPr>
    </w:p>
    <w:p>
      <w:pPr>
        <w:jc w:val="both"/>
        <w:ind w:left="1460" w:right="59"/>
        <w:spacing w:after="0" w:line="205" w:lineRule="auto"/>
        <w:rPr>
          <w:sz w:val="20"/>
          <w:szCs w:val="20"/>
          <w:color w:val="auto"/>
        </w:rPr>
      </w:pPr>
      <w:r>
        <w:rPr>
          <w:rFonts w:ascii="Calibri" w:cs="Calibri" w:eastAsia="Calibri" w:hAnsi="Calibri"/>
          <w:sz w:val="19"/>
          <w:szCs w:val="19"/>
          <w:color w:val="auto"/>
        </w:rPr>
        <w:t>The shares of Stock are not and will not be registered in the Colombian registry of publicly traded securites (</w:t>
      </w:r>
      <w:r>
        <w:rPr>
          <w:rFonts w:ascii="Calibri" w:cs="Calibri" w:eastAsia="Calibri" w:hAnsi="Calibri"/>
          <w:sz w:val="19"/>
          <w:szCs w:val="19"/>
          <w:i w:val="1"/>
          <w:iCs w:val="1"/>
          <w:color w:val="auto"/>
        </w:rPr>
        <w:t>Registro Nacional de Valores y Emisores</w:t>
      </w:r>
      <w:r>
        <w:rPr>
          <w:rFonts w:ascii="Calibri" w:cs="Calibri" w:eastAsia="Calibri" w:hAnsi="Calibri"/>
          <w:sz w:val="19"/>
          <w:szCs w:val="19"/>
          <w:color w:val="auto"/>
        </w:rPr>
        <w:t>) and, therefore, the shares of Stock may not be ofered to the public in Colombia. Nothing in the Plan, the Agreement or any other document evidencing the grant of Restricted Stock Units shall be construed as the making of a public ofer of securites in Colombia.</w:t>
      </w:r>
    </w:p>
    <w:p>
      <w:pPr>
        <w:spacing w:after="0" w:line="65" w:lineRule="exact"/>
        <w:rPr>
          <w:sz w:val="20"/>
          <w:szCs w:val="20"/>
          <w:color w:val="auto"/>
        </w:rPr>
      </w:pPr>
    </w:p>
    <w:p>
      <w:pPr>
        <w:ind w:left="1460"/>
        <w:spacing w:after="0"/>
        <w:rPr>
          <w:sz w:val="20"/>
          <w:szCs w:val="20"/>
          <w:color w:val="auto"/>
        </w:rPr>
      </w:pPr>
      <w:r>
        <w:rPr>
          <w:rFonts w:ascii="Calibri" w:cs="Calibri" w:eastAsia="Calibri" w:hAnsi="Calibri"/>
          <w:sz w:val="19"/>
          <w:szCs w:val="19"/>
          <w:b w:val="1"/>
          <w:bCs w:val="1"/>
          <w:color w:val="auto"/>
        </w:rPr>
        <w:t>Foreign Ownership Informaton</w:t>
      </w:r>
    </w:p>
    <w:p>
      <w:pPr>
        <w:spacing w:after="0" w:line="71" w:lineRule="exact"/>
        <w:rPr>
          <w:sz w:val="20"/>
          <w:szCs w:val="20"/>
          <w:color w:val="auto"/>
        </w:rPr>
      </w:pPr>
    </w:p>
    <w:p>
      <w:pPr>
        <w:jc w:val="both"/>
        <w:ind w:left="1460" w:right="59"/>
        <w:spacing w:after="0" w:line="199" w:lineRule="auto"/>
        <w:rPr>
          <w:sz w:val="20"/>
          <w:szCs w:val="20"/>
          <w:color w:val="auto"/>
        </w:rPr>
      </w:pPr>
      <w:r>
        <w:rPr>
          <w:rFonts w:ascii="Calibri" w:cs="Calibri" w:eastAsia="Calibri" w:hAnsi="Calibri"/>
          <w:sz w:val="19"/>
          <w:szCs w:val="19"/>
          <w:color w:val="auto"/>
        </w:rPr>
        <w:t>Prior approval from a government authority is not required to hold foreign securites or to receive an equity award. However, once Employee’s Restricted Stock Units have vested (i.e., when Employee becomes owner of the shares of Stock), such investments must be registered with the Colombian central bank (</w:t>
      </w:r>
      <w:r>
        <w:rPr>
          <w:rFonts w:ascii="Calibri" w:cs="Calibri" w:eastAsia="Calibri" w:hAnsi="Calibri"/>
          <w:sz w:val="19"/>
          <w:szCs w:val="19"/>
          <w:i w:val="1"/>
          <w:iCs w:val="1"/>
          <w:color w:val="auto"/>
        </w:rPr>
        <w:t>Banco de la</w:t>
      </w:r>
      <w:r>
        <w:rPr>
          <w:rFonts w:ascii="Calibri" w:cs="Calibri" w:eastAsia="Calibri" w:hAnsi="Calibri"/>
          <w:sz w:val="19"/>
          <w:szCs w:val="19"/>
          <w:color w:val="auto"/>
        </w:rPr>
        <w:t xml:space="preserve"> </w:t>
      </w:r>
      <w:r>
        <w:rPr>
          <w:rFonts w:ascii="Calibri" w:cs="Calibri" w:eastAsia="Calibri" w:hAnsi="Calibri"/>
          <w:sz w:val="19"/>
          <w:szCs w:val="19"/>
          <w:i w:val="1"/>
          <w:iCs w:val="1"/>
          <w:color w:val="auto"/>
        </w:rPr>
        <w:t xml:space="preserve">República </w:t>
      </w:r>
      <w:r>
        <w:rPr>
          <w:rFonts w:ascii="Calibri" w:cs="Calibri" w:eastAsia="Calibri" w:hAnsi="Calibri"/>
          <w:sz w:val="19"/>
          <w:szCs w:val="19"/>
          <w:color w:val="auto"/>
        </w:rPr>
        <w:t>, “Central Bank”), at any moment, by fling a Form No. 11. Upon sale or other dispositon of any</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shares of Stock registered with the Central Bank, Employee is required to cancel the registraton and repatriate the proceeds to Colombia and Employee will be required to fle with Employee’s local bank the corresponding foreign exchange form refectng the divestment.</w:t>
      </w:r>
    </w:p>
    <w:p>
      <w:pPr>
        <w:spacing w:after="0" w:line="185" w:lineRule="auto"/>
        <w:tabs>
          <w:tab w:leader="none" w:pos="1440" w:val="left"/>
        </w:tabs>
        <w:rPr>
          <w:sz w:val="20"/>
          <w:szCs w:val="20"/>
          <w:color w:val="auto"/>
        </w:rPr>
      </w:pPr>
      <w:r>
        <w:rPr>
          <w:rFonts w:ascii="Calibri" w:cs="Calibri" w:eastAsia="Calibri" w:hAnsi="Calibri"/>
          <w:sz w:val="24"/>
          <w:szCs w:val="24"/>
          <w:b w:val="1"/>
          <w:bCs w:val="1"/>
          <w:color w:val="auto"/>
          <w:vertAlign w:val="subscript"/>
        </w:rPr>
        <w:t>Denmark</w:t>
      </w:r>
      <w:r>
        <w:rPr>
          <w:sz w:val="20"/>
          <w:szCs w:val="20"/>
          <w:color w:val="auto"/>
        </w:rPr>
        <w:tab/>
      </w:r>
      <w:r>
        <w:rPr>
          <w:rFonts w:ascii="Calibri" w:cs="Calibri" w:eastAsia="Calibri" w:hAnsi="Calibri"/>
          <w:sz w:val="14"/>
          <w:szCs w:val="14"/>
          <w:b w:val="1"/>
          <w:bCs w:val="1"/>
          <w:color w:val="auto"/>
        </w:rPr>
        <w:t>Stock Opton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-113665</wp:posOffset>
            </wp:positionV>
            <wp:extent cx="64509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4">
                      <a:extLst>
                        <a:ext uri="{28A0092B-C50C-407E-A947-70E740481C1C}"/>
                      </a:extLst>
                    </a:blip>
                    <a:srcRect/>
                    <a:stretch>
                      <a:fillRect/>
                    </a:stretch>
                  </pic:blipFill>
                  <pic:spPr bwMode="auto">
                    <a:xfrm>
                      <a:off x="0" y="0"/>
                      <a:ext cx="6450965" cy="8255"/>
                    </a:xfrm>
                    <a:prstGeom prst="rect">
                      <a:avLst/>
                    </a:prstGeom>
                    <a:noFill/>
                  </pic:spPr>
                </pic:pic>
              </a:graphicData>
            </a:graphic>
          </wp:anchor>
        </w:drawing>
      </w:r>
    </w:p>
    <w:p>
      <w:pPr>
        <w:spacing w:after="0" w:line="84" w:lineRule="exact"/>
        <w:rPr>
          <w:sz w:val="20"/>
          <w:szCs w:val="20"/>
          <w:color w:val="auto"/>
        </w:rPr>
      </w:pPr>
    </w:p>
    <w:p>
      <w:pPr>
        <w:jc w:val="both"/>
        <w:ind w:left="1460" w:right="59"/>
        <w:spacing w:after="0" w:line="201" w:lineRule="auto"/>
        <w:rPr>
          <w:sz w:val="20"/>
          <w:szCs w:val="20"/>
          <w:color w:val="auto"/>
        </w:rPr>
      </w:pPr>
      <w:r>
        <w:rPr>
          <w:rFonts w:ascii="Calibri" w:cs="Calibri" w:eastAsia="Calibri" w:hAnsi="Calibri"/>
          <w:sz w:val="19"/>
          <w:szCs w:val="19"/>
          <w:color w:val="auto"/>
        </w:rPr>
        <w:t>Notwithstanding any provisions in the Agreement to the contrary, the treatment of the Restricted Stock Units upon a terminaton of employment (as determined by the Company, in its discreton, in consultaton with legal counsel) shall be governed by the Danish Act on the Use of Rights to Purchase or Subscribe for Shares etc. in Employment Relatonship (the “Stock Opton Act”), as in efect at the tme of Employee’s terminaton date. Employee acknowledges having received an “Employer Statement” in Danish, which is being provided to comply with the Stock Opton Act.</w:t>
      </w:r>
    </w:p>
    <w:p>
      <w:pPr>
        <w:spacing w:after="0" w:line="186" w:lineRule="auto"/>
        <w:tabs>
          <w:tab w:leader="none" w:pos="1440" w:val="left"/>
        </w:tabs>
        <w:rPr>
          <w:sz w:val="20"/>
          <w:szCs w:val="20"/>
          <w:color w:val="auto"/>
        </w:rPr>
      </w:pPr>
      <w:r>
        <w:rPr>
          <w:rFonts w:ascii="Calibri" w:cs="Calibri" w:eastAsia="Calibri" w:hAnsi="Calibri"/>
          <w:sz w:val="24"/>
          <w:szCs w:val="24"/>
          <w:b w:val="1"/>
          <w:bCs w:val="1"/>
          <w:color w:val="auto"/>
          <w:vertAlign w:val="subscript"/>
        </w:rPr>
        <w:t>Egypt</w:t>
      </w:r>
      <w:r>
        <w:rPr>
          <w:sz w:val="20"/>
          <w:szCs w:val="20"/>
          <w:color w:val="auto"/>
        </w:rPr>
        <w:tab/>
      </w:r>
      <w:r>
        <w:rPr>
          <w:rFonts w:ascii="Calibri" w:cs="Calibri" w:eastAsia="Calibri" w:hAnsi="Calibri"/>
          <w:sz w:val="14"/>
          <w:szCs w:val="14"/>
          <w:b w:val="1"/>
          <w:bCs w:val="1"/>
          <w:color w:val="auto"/>
        </w:rPr>
        <w:t>Foreign Exchange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-48895</wp:posOffset>
            </wp:positionV>
            <wp:extent cx="64509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5">
                      <a:extLst>
                        <a:ext uri="{28A0092B-C50C-407E-A947-70E740481C1C}"/>
                      </a:extLst>
                    </a:blip>
                    <a:srcRect/>
                    <a:stretch>
                      <a:fillRect/>
                    </a:stretch>
                  </pic:blipFill>
                  <pic:spPr bwMode="auto">
                    <a:xfrm>
                      <a:off x="0" y="0"/>
                      <a:ext cx="6450965" cy="8255"/>
                    </a:xfrm>
                    <a:prstGeom prst="rect">
                      <a:avLst/>
                    </a:prstGeom>
                    <a:noFill/>
                  </pic:spPr>
                </pic:pic>
              </a:graphicData>
            </a:graphic>
          </wp:anchor>
        </w:drawing>
      </w:r>
    </w:p>
    <w:p>
      <w:pPr>
        <w:spacing w:after="0" w:line="186" w:lineRule="exact"/>
        <w:rPr>
          <w:sz w:val="20"/>
          <w:szCs w:val="20"/>
          <w:color w:val="auto"/>
        </w:rPr>
      </w:pPr>
    </w:p>
    <w:p>
      <w:pPr>
        <w:jc w:val="both"/>
        <w:ind w:left="1460" w:right="59"/>
        <w:spacing w:after="0" w:line="206" w:lineRule="auto"/>
        <w:rPr>
          <w:sz w:val="20"/>
          <w:szCs w:val="20"/>
          <w:color w:val="auto"/>
        </w:rPr>
      </w:pPr>
      <w:r>
        <w:rPr>
          <w:rFonts w:ascii="Calibri" w:cs="Calibri" w:eastAsia="Calibri" w:hAnsi="Calibri"/>
          <w:sz w:val="19"/>
          <w:szCs w:val="19"/>
          <w:color w:val="auto"/>
        </w:rPr>
        <w:t>If Employee transfers funds into Egypt in connecton with the Restricted Stock Units (including proceeds from the sale of shares of Stock), the funds transfer must occur through a registered bank in Egypt. Employee is personally responsible for complying with applicable exchange control requirements in Egypt.</w:t>
      </w:r>
    </w:p>
    <w:p>
      <w:pPr>
        <w:spacing w:after="0" w:line="106" w:lineRule="exact"/>
        <w:rPr>
          <w:sz w:val="20"/>
          <w:szCs w:val="20"/>
          <w:color w:val="auto"/>
        </w:rPr>
      </w:pPr>
    </w:p>
    <w:p>
      <w:pPr>
        <w:ind w:left="1460"/>
        <w:spacing w:after="0"/>
        <w:rPr>
          <w:sz w:val="20"/>
          <w:szCs w:val="20"/>
          <w:color w:val="auto"/>
        </w:rPr>
      </w:pPr>
      <w:r>
        <w:rPr>
          <w:rFonts w:ascii="Calibri" w:cs="Calibri" w:eastAsia="Calibri" w:hAnsi="Calibri"/>
          <w:sz w:val="19"/>
          <w:szCs w:val="19"/>
          <w:b w:val="1"/>
          <w:bCs w:val="1"/>
          <w:color w:val="auto"/>
        </w:rPr>
        <w:t>Data Retenton</w:t>
      </w:r>
    </w:p>
    <w:p>
      <w:pPr>
        <w:spacing w:after="0" w:line="84" w:lineRule="exact"/>
        <w:rPr>
          <w:sz w:val="20"/>
          <w:szCs w:val="20"/>
          <w:color w:val="auto"/>
        </w:rPr>
      </w:pPr>
    </w:p>
    <w:p>
      <w:pPr>
        <w:jc w:val="both"/>
        <w:ind w:left="1460" w:right="59"/>
        <w:spacing w:after="0" w:line="216" w:lineRule="auto"/>
        <w:rPr>
          <w:sz w:val="20"/>
          <w:szCs w:val="20"/>
          <w:color w:val="auto"/>
        </w:rPr>
      </w:pPr>
      <w:r>
        <w:rPr>
          <w:rFonts w:ascii="Calibri" w:cs="Calibri" w:eastAsia="Calibri" w:hAnsi="Calibri"/>
          <w:sz w:val="19"/>
          <w:szCs w:val="19"/>
          <w:color w:val="auto"/>
        </w:rPr>
        <w:t>The Egyptan Labor Law (the “Labor Law”) requires employers to keep fles of all relevant employee informaton of their former employees for a period of one (1) year from the end of the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86360</wp:posOffset>
            </wp:positionV>
            <wp:extent cx="64509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6">
                      <a:extLst>
                        <a:ext uri="{28A0092B-C50C-407E-A947-70E740481C1C}"/>
                      </a:extLst>
                    </a:blip>
                    <a:srcRect/>
                    <a:stretch>
                      <a:fillRect/>
                    </a:stretch>
                  </pic:blipFill>
                  <pic:spPr bwMode="auto">
                    <a:xfrm>
                      <a:off x="0" y="0"/>
                      <a:ext cx="6450965" cy="8255"/>
                    </a:xfrm>
                    <a:prstGeom prst="rect">
                      <a:avLst/>
                    </a:prstGeom>
                    <a:noFill/>
                  </pic:spPr>
                </pic:pic>
              </a:graphicData>
            </a:graphic>
          </wp:anchor>
        </w:drawing>
      </w:r>
    </w:p>
    <w:p>
      <w:pPr>
        <w:sectPr>
          <w:pgSz w:w="11900" w:h="16838" w:orient="portrait"/>
          <w:cols w:equalWidth="0" w:num="1">
            <w:col w:w="10059"/>
          </w:cols>
          <w:pgMar w:left="400" w:top="360" w:right="1440" w:bottom="1440" w:gutter="0" w:footer="0" w:header="0"/>
        </w:sectPr>
      </w:pPr>
    </w:p>
    <w:bookmarkStart w:id="137" w:name="page138"/>
    <w:bookmarkEnd w:id="137"/>
    <w:p>
      <w:pPr>
        <w:spacing w:after="0"/>
        <w:tabs>
          <w:tab w:leader="none" w:pos="1440" w:val="left"/>
        </w:tabs>
        <w:rPr>
          <w:sz w:val="20"/>
          <w:szCs w:val="20"/>
          <w:color w:val="auto"/>
        </w:rPr>
      </w:pPr>
      <w:r>
        <w:rPr>
          <w:rFonts w:ascii="Calibri" w:cs="Calibri" w:eastAsia="Calibri" w:hAnsi="Calibri"/>
          <w:sz w:val="38"/>
          <w:szCs w:val="38"/>
          <w:b w:val="1"/>
          <w:bCs w:val="1"/>
          <w:color w:val="auto"/>
          <w:vertAlign w:val="subscript"/>
        </w:rPr>
        <w:t>France</w:t>
      </w:r>
      <w:r>
        <w:rPr>
          <w:sz w:val="20"/>
          <w:szCs w:val="20"/>
          <w:color w:val="auto"/>
        </w:rPr>
        <w:tab/>
      </w:r>
      <w:r>
        <w:rPr>
          <w:rFonts w:ascii="Calibri" w:cs="Calibri" w:eastAsia="Calibri" w:hAnsi="Calibri"/>
          <w:sz w:val="19"/>
          <w:szCs w:val="19"/>
          <w:b w:val="1"/>
          <w:bCs w:val="1"/>
          <w:color w:val="auto"/>
        </w:rPr>
        <w:t>Nature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64509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7">
                      <a:extLst>
                        <a:ext uri="{28A0092B-C50C-407E-A947-70E740481C1C}"/>
                      </a:extLst>
                    </a:blip>
                    <a:srcRect/>
                    <a:stretch>
                      <a:fillRect/>
                    </a:stretch>
                  </pic:blipFill>
                  <pic:spPr bwMode="auto">
                    <a:xfrm>
                      <a:off x="0" y="0"/>
                      <a:ext cx="6450965" cy="8255"/>
                    </a:xfrm>
                    <a:prstGeom prst="rect">
                      <a:avLst/>
                    </a:prstGeom>
                    <a:noFill/>
                  </pic:spPr>
                </pic:pic>
              </a:graphicData>
            </a:graphic>
          </wp:anchor>
        </w:drawing>
      </w:r>
    </w:p>
    <w:p>
      <w:pPr>
        <w:spacing w:after="0" w:line="225" w:lineRule="exact"/>
        <w:rPr>
          <w:sz w:val="20"/>
          <w:szCs w:val="20"/>
          <w:color w:val="auto"/>
        </w:rPr>
      </w:pPr>
    </w:p>
    <w:p>
      <w:pPr>
        <w:jc w:val="both"/>
        <w:ind w:left="1460" w:right="100"/>
        <w:spacing w:after="0" w:line="210" w:lineRule="auto"/>
        <w:rPr>
          <w:sz w:val="20"/>
          <w:szCs w:val="20"/>
          <w:color w:val="auto"/>
        </w:rPr>
      </w:pPr>
      <w:r>
        <w:rPr>
          <w:rFonts w:ascii="Calibri" w:cs="Calibri" w:eastAsia="Calibri" w:hAnsi="Calibri"/>
          <w:sz w:val="19"/>
          <w:szCs w:val="19"/>
          <w:color w:val="auto"/>
        </w:rPr>
        <w:t>The Restricted Stock Units are not granted under the French specifc regime provided by Sectons L. 225-197-1 to L. 225-197-5 and Sectons L. 22-10-59 to L. 22-10-60 of the French Commercial Code, as amended.</w:t>
      </w:r>
    </w:p>
    <w:p>
      <w:pPr>
        <w:spacing w:after="0" w:line="65" w:lineRule="exact"/>
        <w:rPr>
          <w:sz w:val="20"/>
          <w:szCs w:val="20"/>
          <w:color w:val="auto"/>
        </w:rPr>
      </w:pPr>
    </w:p>
    <w:p>
      <w:pPr>
        <w:ind w:left="1460"/>
        <w:spacing w:after="0"/>
        <w:rPr>
          <w:sz w:val="20"/>
          <w:szCs w:val="20"/>
          <w:color w:val="auto"/>
        </w:rPr>
      </w:pPr>
      <w:r>
        <w:rPr>
          <w:rFonts w:ascii="Calibri" w:cs="Calibri" w:eastAsia="Calibri" w:hAnsi="Calibri"/>
          <w:sz w:val="19"/>
          <w:szCs w:val="19"/>
          <w:b w:val="1"/>
          <w:bCs w:val="1"/>
          <w:color w:val="auto"/>
        </w:rPr>
        <w:t>Foreign Ownership Informaton</w:t>
      </w:r>
    </w:p>
    <w:p>
      <w:pPr>
        <w:spacing w:after="0" w:line="71" w:lineRule="exact"/>
        <w:rPr>
          <w:sz w:val="20"/>
          <w:szCs w:val="20"/>
          <w:color w:val="auto"/>
        </w:rPr>
      </w:pPr>
    </w:p>
    <w:p>
      <w:pPr>
        <w:jc w:val="both"/>
        <w:ind w:left="1460" w:right="100"/>
        <w:spacing w:after="0" w:line="210" w:lineRule="auto"/>
        <w:rPr>
          <w:sz w:val="20"/>
          <w:szCs w:val="20"/>
          <w:color w:val="auto"/>
        </w:rPr>
      </w:pPr>
      <w:r>
        <w:rPr>
          <w:rFonts w:ascii="Calibri" w:cs="Calibri" w:eastAsia="Calibri" w:hAnsi="Calibri"/>
          <w:sz w:val="19"/>
          <w:szCs w:val="19"/>
          <w:color w:val="auto"/>
        </w:rPr>
        <w:t>Employee must report shares of Stock held outside of France and foreign bank accounts to the French tax authorites when fling Employee’s annual tax return.</w:t>
      </w:r>
    </w:p>
    <w:p>
      <w:pPr>
        <w:spacing w:after="0" w:line="65" w:lineRule="exact"/>
        <w:rPr>
          <w:sz w:val="20"/>
          <w:szCs w:val="20"/>
          <w:color w:val="auto"/>
        </w:rPr>
      </w:pPr>
    </w:p>
    <w:p>
      <w:pPr>
        <w:ind w:left="1460"/>
        <w:spacing w:after="0"/>
        <w:rPr>
          <w:sz w:val="20"/>
          <w:szCs w:val="20"/>
          <w:color w:val="auto"/>
        </w:rPr>
      </w:pPr>
      <w:r>
        <w:rPr>
          <w:rFonts w:ascii="Calibri" w:cs="Calibri" w:eastAsia="Calibri" w:hAnsi="Calibri"/>
          <w:sz w:val="19"/>
          <w:szCs w:val="19"/>
          <w:b w:val="1"/>
          <w:bCs w:val="1"/>
          <w:color w:val="auto"/>
        </w:rPr>
        <w:t>Language Consent</w:t>
      </w:r>
    </w:p>
    <w:p>
      <w:pPr>
        <w:spacing w:after="0" w:line="71" w:lineRule="exact"/>
        <w:rPr>
          <w:sz w:val="20"/>
          <w:szCs w:val="20"/>
          <w:color w:val="auto"/>
        </w:rPr>
      </w:pPr>
    </w:p>
    <w:p>
      <w:pPr>
        <w:jc w:val="both"/>
        <w:ind w:left="1460" w:right="100"/>
        <w:spacing w:after="0" w:line="206" w:lineRule="auto"/>
        <w:rPr>
          <w:sz w:val="20"/>
          <w:szCs w:val="20"/>
          <w:color w:val="auto"/>
        </w:rPr>
      </w:pPr>
      <w:r>
        <w:rPr>
          <w:rFonts w:ascii="Calibri" w:cs="Calibri" w:eastAsia="Calibri" w:hAnsi="Calibri"/>
          <w:sz w:val="19"/>
          <w:szCs w:val="19"/>
          <w:color w:val="auto"/>
        </w:rPr>
        <w:t>By acceptng the Restricted Stock Units, Employee confrms having read and understood the Plan and the Agreement which were provided in the English language. Employee accepts the terms of those documents accordingly.</w:t>
      </w:r>
    </w:p>
    <w:p>
      <w:pPr>
        <w:spacing w:after="0" w:line="73" w:lineRule="exact"/>
        <w:rPr>
          <w:sz w:val="20"/>
          <w:szCs w:val="20"/>
          <w:color w:val="auto"/>
        </w:rPr>
      </w:pPr>
    </w:p>
    <w:p>
      <w:pPr>
        <w:jc w:val="both"/>
        <w:ind w:left="1460" w:right="100"/>
        <w:spacing w:after="0" w:line="206" w:lineRule="auto"/>
        <w:rPr>
          <w:sz w:val="20"/>
          <w:szCs w:val="20"/>
          <w:color w:val="auto"/>
        </w:rPr>
      </w:pPr>
      <w:r>
        <w:rPr>
          <w:rFonts w:ascii="Calibri" w:cs="Calibri" w:eastAsia="Calibri" w:hAnsi="Calibri"/>
          <w:sz w:val="19"/>
          <w:szCs w:val="19"/>
          <w:i w:val="1"/>
          <w:iCs w:val="1"/>
          <w:color w:val="auto"/>
        </w:rPr>
        <w:t>En acceptant les droits sur des actons assujets à des restrictons (« Restricted Stock Units »), le Salarié confrme avoir lu et compris le Plan et le Contrat qui ont été fournis en langue anglaise. Le Salarié accepte les termes de ces documents en connaissance de cause.</w:t>
      </w:r>
    </w:p>
    <w:p>
      <w:pPr>
        <w:spacing w:after="0" w:line="184" w:lineRule="auto"/>
        <w:tabs>
          <w:tab w:leader="none" w:pos="1440" w:val="left"/>
        </w:tabs>
        <w:rPr>
          <w:sz w:val="20"/>
          <w:szCs w:val="20"/>
          <w:color w:val="auto"/>
        </w:rPr>
      </w:pPr>
      <w:r>
        <w:rPr>
          <w:rFonts w:ascii="Calibri" w:cs="Calibri" w:eastAsia="Calibri" w:hAnsi="Calibri"/>
          <w:sz w:val="27"/>
          <w:szCs w:val="27"/>
          <w:b w:val="1"/>
          <w:bCs w:val="1"/>
          <w:color w:val="auto"/>
          <w:vertAlign w:val="subscript"/>
        </w:rPr>
        <w:t>Germany</w:t>
      </w:r>
      <w:r>
        <w:rPr>
          <w:sz w:val="20"/>
          <w:szCs w:val="20"/>
          <w:color w:val="auto"/>
        </w:rPr>
        <w:tab/>
      </w:r>
      <w:r>
        <w:rPr>
          <w:rFonts w:ascii="Calibri" w:cs="Calibri" w:eastAsia="Calibri" w:hAnsi="Calibri"/>
          <w:sz w:val="15"/>
          <w:szCs w:val="15"/>
          <w:b w:val="1"/>
          <w:bCs w:val="1"/>
          <w:color w:val="auto"/>
        </w:rPr>
        <w:t>Foreign Exchange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-23495</wp:posOffset>
            </wp:positionV>
            <wp:extent cx="64509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8">
                      <a:extLst>
                        <a:ext uri="{28A0092B-C50C-407E-A947-70E740481C1C}"/>
                      </a:extLst>
                    </a:blip>
                    <a:srcRect/>
                    <a:stretch>
                      <a:fillRect/>
                    </a:stretch>
                  </pic:blipFill>
                  <pic:spPr bwMode="auto">
                    <a:xfrm>
                      <a:off x="0" y="0"/>
                      <a:ext cx="6450965" cy="8255"/>
                    </a:xfrm>
                    <a:prstGeom prst="rect">
                      <a:avLst/>
                    </a:prstGeom>
                    <a:noFill/>
                  </pic:spPr>
                </pic:pic>
              </a:graphicData>
            </a:graphic>
          </wp:anchor>
        </w:drawing>
      </w:r>
    </w:p>
    <w:p>
      <w:pPr>
        <w:spacing w:after="0" w:line="226" w:lineRule="exact"/>
        <w:rPr>
          <w:sz w:val="20"/>
          <w:szCs w:val="20"/>
          <w:color w:val="auto"/>
        </w:rPr>
      </w:pPr>
    </w:p>
    <w:p>
      <w:pPr>
        <w:jc w:val="both"/>
        <w:ind w:left="1460" w:right="100"/>
        <w:spacing w:after="0" w:line="221" w:lineRule="auto"/>
        <w:rPr>
          <w:sz w:val="20"/>
          <w:szCs w:val="20"/>
          <w:color w:val="auto"/>
        </w:rPr>
      </w:pPr>
      <w:r>
        <w:rPr>
          <w:rFonts w:ascii="Calibri" w:cs="Calibri" w:eastAsia="Calibri" w:hAnsi="Calibri"/>
          <w:sz w:val="19"/>
          <w:szCs w:val="19"/>
          <w:color w:val="auto"/>
        </w:rPr>
        <w:t xml:space="preserve">Cross-border payments in excess of a specifed threshold (currently EUR 12,500) must be reported to the </w:t>
      </w:r>
      <w:r>
        <w:rPr>
          <w:rFonts w:ascii="Calibri" w:cs="Calibri" w:eastAsia="Calibri" w:hAnsi="Calibri"/>
          <w:sz w:val="19"/>
          <w:szCs w:val="19"/>
          <w:i w:val="1"/>
          <w:iCs w:val="1"/>
          <w:color w:val="auto"/>
        </w:rPr>
        <w:t>Servicezentrum Außenwirtschafsstatstk</w:t>
      </w:r>
      <w:r>
        <w:rPr>
          <w:rFonts w:ascii="Calibri" w:cs="Calibri" w:eastAsia="Calibri" w:hAnsi="Calibri"/>
          <w:sz w:val="19"/>
          <w:szCs w:val="19"/>
          <w:color w:val="auto"/>
        </w:rPr>
        <w:t>, which is the competent federal ofce of the German Federal Bank</w:t>
      </w:r>
      <w:r>
        <w:rPr>
          <w:rFonts w:ascii="Calibri" w:cs="Calibri" w:eastAsia="Calibri" w:hAnsi="Calibri"/>
          <w:sz w:val="19"/>
          <w:szCs w:val="19"/>
          <w:i w:val="1"/>
          <w:iCs w:val="1"/>
          <w:color w:val="auto"/>
        </w:rPr>
        <w:t xml:space="preserve"> </w:t>
      </w:r>
      <w:r>
        <w:rPr>
          <w:rFonts w:ascii="Calibri" w:cs="Calibri" w:eastAsia="Calibri" w:hAnsi="Calibri"/>
          <w:sz w:val="19"/>
          <w:szCs w:val="19"/>
          <w:color w:val="auto"/>
        </w:rPr>
        <w:t>(</w:t>
      </w:r>
      <w:r>
        <w:rPr>
          <w:rFonts w:ascii="Calibri" w:cs="Calibri" w:eastAsia="Calibri" w:hAnsi="Calibri"/>
          <w:sz w:val="19"/>
          <w:szCs w:val="19"/>
          <w:i w:val="1"/>
          <w:iCs w:val="1"/>
          <w:color w:val="auto"/>
        </w:rPr>
        <w:t>Bundesbank</w:t>
      </w:r>
      <w:r>
        <w:rPr>
          <w:rFonts w:ascii="Calibri" w:cs="Calibri" w:eastAsia="Calibri" w:hAnsi="Calibri"/>
          <w:sz w:val="19"/>
          <w:szCs w:val="19"/>
          <w:color w:val="auto"/>
        </w:rPr>
        <w:t>). In case of payments in connecton with securites (including proceeds realized upon the sale of shares of Stock or the receipt of dividends), the report must be made by the 5th day of the month following the month in which the payment was received and must be fled electronically. The form of report (</w:t>
      </w:r>
      <w:r>
        <w:rPr>
          <w:rFonts w:ascii="Calibri" w:cs="Calibri" w:eastAsia="Calibri" w:hAnsi="Calibri"/>
          <w:sz w:val="19"/>
          <w:szCs w:val="19"/>
          <w:i w:val="1"/>
          <w:iCs w:val="1"/>
          <w:color w:val="auto"/>
        </w:rPr>
        <w:t>Allgemeine Meldeportal Statstk</w:t>
      </w:r>
      <w:r>
        <w:rPr>
          <w:rFonts w:ascii="Calibri" w:cs="Calibri" w:eastAsia="Calibri" w:hAnsi="Calibri"/>
          <w:sz w:val="19"/>
          <w:szCs w:val="19"/>
          <w:color w:val="auto"/>
        </w:rPr>
        <w:t>) can be accessed via the Bundesbank’s website (www.bundesbank.de) and is available in both German and English. Employee is responsible for satsfying the applicable reportng obligaton. In additon, reportng may be required if the value of the shares of Stock acquired upon vestng exceeds the threshold. If the Employer does not handle the reportng in such case, Employee will be obligated to do so.</w:t>
      </w:r>
    </w:p>
    <w:p>
      <w:pPr>
        <w:spacing w:after="0" w:line="63" w:lineRule="exact"/>
        <w:rPr>
          <w:sz w:val="20"/>
          <w:szCs w:val="20"/>
          <w:color w:val="auto"/>
        </w:rPr>
      </w:pPr>
    </w:p>
    <w:p>
      <w:pPr>
        <w:jc w:val="both"/>
        <w:ind w:left="1460" w:right="100"/>
        <w:spacing w:after="0" w:line="204" w:lineRule="auto"/>
        <w:rPr>
          <w:sz w:val="20"/>
          <w:szCs w:val="20"/>
          <w:color w:val="auto"/>
        </w:rPr>
      </w:pPr>
      <w:r>
        <w:rPr>
          <w:rFonts w:ascii="Calibri" w:cs="Calibri" w:eastAsia="Calibri" w:hAnsi="Calibri"/>
          <w:sz w:val="19"/>
          <w:szCs w:val="19"/>
          <w:color w:val="auto"/>
        </w:rPr>
        <w:t>If Employee’s acquisiton of shares of Stock under the Plan leads to a so-called qualifed partcipaton at any point during the calendar year, Employee will need to report the acquisiton when fling his or her annual tax return for the relevant year. A qualifed partcipaton is atained only in the unlikely event (i) Employee owns at least 1% of the Company and the value of the shares of Stock acquired exceeds EUR 150,000 or (ii) Employee holds Company shares exceeding 10% of the Company’s total common stock.</w:t>
      </w:r>
    </w:p>
    <w:p>
      <w:pPr>
        <w:spacing w:after="0" w:line="185" w:lineRule="auto"/>
        <w:tabs>
          <w:tab w:leader="none" w:pos="1340" w:val="left"/>
        </w:tabs>
        <w:rPr>
          <w:sz w:val="20"/>
          <w:szCs w:val="20"/>
          <w:color w:val="auto"/>
        </w:rPr>
      </w:pPr>
      <w:r>
        <w:rPr>
          <w:rFonts w:ascii="Calibri" w:cs="Calibri" w:eastAsia="Calibri" w:hAnsi="Calibri"/>
          <w:sz w:val="24"/>
          <w:szCs w:val="24"/>
          <w:b w:val="1"/>
          <w:bCs w:val="1"/>
          <w:color w:val="auto"/>
          <w:vertAlign w:val="subscript"/>
        </w:rPr>
        <w:t>India</w:t>
      </w:r>
      <w:r>
        <w:rPr>
          <w:sz w:val="20"/>
          <w:szCs w:val="20"/>
          <w:color w:val="auto"/>
        </w:rPr>
        <w:tab/>
      </w:r>
      <w:r>
        <w:rPr>
          <w:rFonts w:ascii="Calibri" w:cs="Calibri" w:eastAsia="Calibri" w:hAnsi="Calibri"/>
          <w:sz w:val="14"/>
          <w:szCs w:val="14"/>
          <w:b w:val="1"/>
          <w:bCs w:val="1"/>
          <w:color w:val="auto"/>
        </w:rPr>
        <w:t>Repatriaton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-48895</wp:posOffset>
            </wp:positionV>
            <wp:extent cx="65081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9">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187" w:lineRule="exact"/>
        <w:rPr>
          <w:sz w:val="20"/>
          <w:szCs w:val="20"/>
          <w:color w:val="auto"/>
        </w:rPr>
      </w:pPr>
    </w:p>
    <w:p>
      <w:pPr>
        <w:jc w:val="both"/>
        <w:ind w:left="1360"/>
        <w:spacing w:after="0" w:line="205" w:lineRule="auto"/>
        <w:rPr>
          <w:sz w:val="20"/>
          <w:szCs w:val="20"/>
          <w:color w:val="auto"/>
        </w:rPr>
      </w:pPr>
      <w:r>
        <w:rPr>
          <w:rFonts w:ascii="Calibri" w:cs="Calibri" w:eastAsia="Calibri" w:hAnsi="Calibri"/>
          <w:sz w:val="19"/>
          <w:szCs w:val="19"/>
          <w:color w:val="auto"/>
        </w:rPr>
        <w:t>Employee expressly agrees to repatriate all sale proceeds and dividends atributable to shares of Stock acquired under the Plan in accordance with local foreign exchange rules and regulatons. Neither the Company nor any of its Subsidiaries or afliated companies shall be liable for any fnes or penaltes resultng from Employee’s failure to comply with applicable laws, rules or regulatons.</w:t>
      </w:r>
    </w:p>
    <w:p>
      <w:pPr>
        <w:spacing w:after="0" w:line="52" w:lineRule="exact"/>
        <w:rPr>
          <w:sz w:val="20"/>
          <w:szCs w:val="20"/>
          <w:color w:val="auto"/>
        </w:rPr>
      </w:pPr>
    </w:p>
    <w:p>
      <w:pPr>
        <w:ind w:left="1360"/>
        <w:spacing w:after="0"/>
        <w:rPr>
          <w:sz w:val="20"/>
          <w:szCs w:val="20"/>
          <w:color w:val="auto"/>
        </w:rPr>
      </w:pPr>
      <w:r>
        <w:rPr>
          <w:rFonts w:ascii="Calibri" w:cs="Calibri" w:eastAsia="Calibri" w:hAnsi="Calibri"/>
          <w:sz w:val="19"/>
          <w:szCs w:val="19"/>
          <w:b w:val="1"/>
          <w:bCs w:val="1"/>
          <w:color w:val="auto"/>
        </w:rPr>
        <w:t>Foreign Asset/Account Reportng Informaton</w:t>
      </w:r>
    </w:p>
    <w:p>
      <w:pPr>
        <w:spacing w:after="0" w:line="71" w:lineRule="exact"/>
        <w:rPr>
          <w:sz w:val="20"/>
          <w:szCs w:val="20"/>
          <w:color w:val="auto"/>
        </w:rPr>
      </w:pPr>
    </w:p>
    <w:p>
      <w:pPr>
        <w:jc w:val="both"/>
        <w:ind w:left="1360"/>
        <w:spacing w:after="0" w:line="205" w:lineRule="auto"/>
        <w:rPr>
          <w:sz w:val="20"/>
          <w:szCs w:val="20"/>
          <w:color w:val="auto"/>
        </w:rPr>
      </w:pPr>
      <w:r>
        <w:rPr>
          <w:rFonts w:ascii="Calibri" w:cs="Calibri" w:eastAsia="Calibri" w:hAnsi="Calibri"/>
          <w:sz w:val="19"/>
          <w:szCs w:val="19"/>
          <w:color w:val="auto"/>
        </w:rPr>
        <w:t>Employee is required to declare foreign bank accounts and any foreign fnancial assets (including shares of Stock held outside of India and, possibly, Restricted Stock Units) in Employee's annual tax return. It is Employee's responsibility to comply with this reportng obligaton. Employee should consult his/her personal tax advisor in this regard.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93980</wp:posOffset>
            </wp:positionV>
            <wp:extent cx="65081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0">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ectPr>
          <w:pgSz w:w="11900" w:h="16838" w:orient="portrait"/>
          <w:cols w:equalWidth="0" w:num="1">
            <w:col w:w="10100"/>
          </w:cols>
          <w:pgMar w:left="400" w:top="360" w:right="1399" w:bottom="1440" w:gutter="0" w:footer="0" w:header="0"/>
        </w:sectPr>
      </w:pPr>
    </w:p>
    <w:bookmarkStart w:id="138" w:name="page139"/>
    <w:bookmarkEnd w:id="138"/>
    <w:p>
      <w:pPr>
        <w:spacing w:after="0"/>
        <w:tabs>
          <w:tab w:leader="none" w:pos="1340" w:val="left"/>
        </w:tabs>
        <w:rPr>
          <w:sz w:val="20"/>
          <w:szCs w:val="20"/>
          <w:color w:val="auto"/>
        </w:rPr>
      </w:pPr>
      <w:r>
        <w:rPr>
          <w:rFonts w:ascii="Calibri" w:cs="Calibri" w:eastAsia="Calibri" w:hAnsi="Calibri"/>
          <w:sz w:val="38"/>
          <w:szCs w:val="38"/>
          <w:b w:val="1"/>
          <w:bCs w:val="1"/>
          <w:color w:val="auto"/>
          <w:vertAlign w:val="subscript"/>
        </w:rPr>
        <w:t>Indonesia</w:t>
      </w:r>
      <w:r>
        <w:rPr>
          <w:sz w:val="20"/>
          <w:szCs w:val="20"/>
          <w:color w:val="auto"/>
        </w:rPr>
        <w:tab/>
      </w:r>
      <w:r>
        <w:rPr>
          <w:rFonts w:ascii="Calibri" w:cs="Calibri" w:eastAsia="Calibri" w:hAnsi="Calibri"/>
          <w:sz w:val="19"/>
          <w:szCs w:val="19"/>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65081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1">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225" w:lineRule="exact"/>
        <w:rPr>
          <w:sz w:val="20"/>
          <w:szCs w:val="20"/>
          <w:color w:val="auto"/>
        </w:rPr>
      </w:pPr>
    </w:p>
    <w:p>
      <w:pPr>
        <w:jc w:val="both"/>
        <w:ind w:left="1360"/>
        <w:spacing w:after="0" w:line="201" w:lineRule="auto"/>
        <w:rPr>
          <w:sz w:val="20"/>
          <w:szCs w:val="20"/>
          <w:color w:val="auto"/>
        </w:rPr>
      </w:pPr>
      <w:r>
        <w:rPr>
          <w:rFonts w:ascii="Calibri" w:cs="Calibri" w:eastAsia="Calibri" w:hAnsi="Calibri"/>
          <w:sz w:val="19"/>
          <w:szCs w:val="19"/>
          <w:color w:val="auto"/>
        </w:rPr>
        <w:t>The Restricted Stock Units and the underlying shares of Stock have not been ofered or sold and will not be ofered or sold in Indonesia or to any Indonesian natonals, corporatons or residents, including by way of invitaton, ofering or advertsement, and this document and any other ofering material relatng to the Restricted Stock Units have not been distributed, and will not be distributed, in Indonesia or to any Indonesian natonals, corporatons or residents in a manner which would consttute a public ofering in Indonesia.</w:t>
      </w:r>
    </w:p>
    <w:p>
      <w:pPr>
        <w:spacing w:after="0" w:line="67" w:lineRule="exact"/>
        <w:rPr>
          <w:sz w:val="20"/>
          <w:szCs w:val="20"/>
          <w:color w:val="auto"/>
        </w:rPr>
      </w:pPr>
    </w:p>
    <w:p>
      <w:pPr>
        <w:ind w:left="1360"/>
        <w:spacing w:after="0"/>
        <w:rPr>
          <w:sz w:val="20"/>
          <w:szCs w:val="20"/>
          <w:color w:val="auto"/>
        </w:rPr>
      </w:pPr>
      <w:r>
        <w:rPr>
          <w:rFonts w:ascii="Calibri" w:cs="Calibri" w:eastAsia="Calibri" w:hAnsi="Calibri"/>
          <w:sz w:val="19"/>
          <w:szCs w:val="19"/>
          <w:b w:val="1"/>
          <w:bCs w:val="1"/>
          <w:color w:val="auto"/>
        </w:rPr>
        <w:t>Foreign Exchange Informaton</w:t>
      </w:r>
    </w:p>
    <w:p>
      <w:pPr>
        <w:spacing w:after="0" w:line="71" w:lineRule="exact"/>
        <w:rPr>
          <w:sz w:val="20"/>
          <w:szCs w:val="20"/>
          <w:color w:val="auto"/>
        </w:rPr>
      </w:pPr>
    </w:p>
    <w:p>
      <w:pPr>
        <w:jc w:val="both"/>
        <w:ind w:left="1360"/>
        <w:spacing w:after="0" w:line="205" w:lineRule="auto"/>
        <w:rPr>
          <w:sz w:val="20"/>
          <w:szCs w:val="20"/>
          <w:color w:val="auto"/>
        </w:rPr>
      </w:pPr>
      <w:r>
        <w:rPr>
          <w:rFonts w:ascii="Calibri" w:cs="Calibri" w:eastAsia="Calibri" w:hAnsi="Calibri"/>
          <w:sz w:val="19"/>
          <w:szCs w:val="19"/>
          <w:color w:val="auto"/>
        </w:rPr>
        <w:t>If Employee is an Indonesian resident and remits funds in foreign currency (including dividends and proceeds from the sale of shares of Stock) into Indonesia, the Indonesian Bank through which the transacton is made will submit a transacton report to the Bank of Indonesia for reportng purposes. For transactons equal to or exceeding a certain threshold amount, the underlying document must be submited to the relevant local bank.</w:t>
      </w:r>
    </w:p>
    <w:p>
      <w:pPr>
        <w:spacing w:after="0" w:line="52" w:lineRule="exact"/>
        <w:rPr>
          <w:sz w:val="20"/>
          <w:szCs w:val="20"/>
          <w:color w:val="auto"/>
        </w:rPr>
      </w:pPr>
    </w:p>
    <w:p>
      <w:pPr>
        <w:ind w:left="1360"/>
        <w:spacing w:after="0"/>
        <w:rPr>
          <w:sz w:val="20"/>
          <w:szCs w:val="20"/>
          <w:color w:val="auto"/>
        </w:rPr>
      </w:pPr>
      <w:r>
        <w:rPr>
          <w:rFonts w:ascii="Calibri" w:cs="Calibri" w:eastAsia="Calibri" w:hAnsi="Calibri"/>
          <w:sz w:val="19"/>
          <w:szCs w:val="19"/>
          <w:b w:val="1"/>
          <w:bCs w:val="1"/>
          <w:color w:val="auto"/>
        </w:rPr>
        <w:t>Foreign Asset/Account Reportng Informaton</w:t>
      </w:r>
    </w:p>
    <w:p>
      <w:pPr>
        <w:spacing w:after="0" w:line="71" w:lineRule="exact"/>
        <w:rPr>
          <w:sz w:val="20"/>
          <w:szCs w:val="20"/>
          <w:color w:val="auto"/>
        </w:rPr>
      </w:pPr>
    </w:p>
    <w:p>
      <w:pPr>
        <w:jc w:val="both"/>
        <w:ind w:left="1360"/>
        <w:spacing w:after="0" w:line="201" w:lineRule="auto"/>
        <w:rPr>
          <w:sz w:val="20"/>
          <w:szCs w:val="20"/>
          <w:color w:val="auto"/>
        </w:rPr>
      </w:pPr>
      <w:r>
        <w:rPr>
          <w:rFonts w:ascii="Calibri" w:cs="Calibri" w:eastAsia="Calibri" w:hAnsi="Calibri"/>
          <w:sz w:val="19"/>
          <w:szCs w:val="19"/>
          <w:color w:val="auto"/>
        </w:rPr>
        <w:t>Employee has the obligaton to report his/her worldwide assets (including foreign accounts and shares of Stock acquired under the Plan) in Employee's annual individual income tax return. For foreign currency transactons exceeding a specifed threshold, the underlying document of that transacton will have to be submited to the relevant local bank. In additon, if there is a change of positon of any of the foreign assets Employee holds (including shares of Stock acquired under the Plan), Employee must report this change in positon (e.g., sale of shares of Stock) to the Bank of Indonesia no later than the 15th day of the month following the change in positon.</w:t>
      </w:r>
    </w:p>
    <w:p>
      <w:pPr>
        <w:spacing w:after="0" w:line="185" w:lineRule="auto"/>
        <w:tabs>
          <w:tab w:leader="none" w:pos="1340" w:val="left"/>
        </w:tabs>
        <w:rPr>
          <w:sz w:val="20"/>
          <w:szCs w:val="20"/>
          <w:color w:val="auto"/>
        </w:rPr>
      </w:pPr>
      <w:r>
        <w:rPr>
          <w:rFonts w:ascii="Calibri" w:cs="Calibri" w:eastAsia="Calibri" w:hAnsi="Calibri"/>
          <w:sz w:val="24"/>
          <w:szCs w:val="24"/>
          <w:b w:val="1"/>
          <w:bCs w:val="1"/>
          <w:color w:val="auto"/>
          <w:vertAlign w:val="subscript"/>
        </w:rPr>
        <w:t>Iraq</w:t>
      </w:r>
      <w:r>
        <w:rPr>
          <w:sz w:val="20"/>
          <w:szCs w:val="20"/>
          <w:color w:val="auto"/>
        </w:rPr>
        <w:tab/>
      </w:r>
      <w:r>
        <w:rPr>
          <w:rFonts w:ascii="Calibri" w:cs="Calibri" w:eastAsia="Calibri" w:hAnsi="Calibri"/>
          <w:sz w:val="14"/>
          <w:szCs w:val="14"/>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-57150</wp:posOffset>
            </wp:positionV>
            <wp:extent cx="65081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2">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173" w:lineRule="exact"/>
        <w:rPr>
          <w:sz w:val="20"/>
          <w:szCs w:val="20"/>
          <w:color w:val="auto"/>
        </w:rPr>
      </w:pPr>
    </w:p>
    <w:p>
      <w:pPr>
        <w:ind w:left="1360" w:right="380"/>
        <w:spacing w:after="0" w:line="210" w:lineRule="auto"/>
        <w:rPr>
          <w:sz w:val="20"/>
          <w:szCs w:val="20"/>
          <w:color w:val="auto"/>
        </w:rPr>
      </w:pPr>
      <w:r>
        <w:rPr>
          <w:rFonts w:ascii="Calibri" w:cs="Calibri" w:eastAsia="Calibri" w:hAnsi="Calibri"/>
          <w:sz w:val="19"/>
          <w:szCs w:val="19"/>
          <w:color w:val="auto"/>
        </w:rPr>
        <w:t>The Restricted Stock Units and the underlying shares of Stock are not publicly ofered or listed on any stock exchange in Iraq.</w:t>
      </w:r>
    </w:p>
    <w:p>
      <w:pPr>
        <w:spacing w:after="0" w:line="129" w:lineRule="exact"/>
        <w:rPr>
          <w:sz w:val="20"/>
          <w:szCs w:val="20"/>
          <w:color w:val="auto"/>
        </w:rPr>
      </w:pPr>
    </w:p>
    <w:p>
      <w:pPr>
        <w:ind w:left="1360"/>
        <w:spacing w:after="0"/>
        <w:rPr>
          <w:sz w:val="20"/>
          <w:szCs w:val="20"/>
          <w:color w:val="auto"/>
        </w:rPr>
      </w:pPr>
      <w:r>
        <w:rPr>
          <w:rFonts w:ascii="Calibri" w:cs="Calibri" w:eastAsia="Calibri" w:hAnsi="Calibri"/>
          <w:sz w:val="19"/>
          <w:szCs w:val="19"/>
          <w:b w:val="1"/>
          <w:bCs w:val="1"/>
          <w:color w:val="auto"/>
        </w:rPr>
        <w:t>Labor Law Acknowledgement</w:t>
      </w:r>
    </w:p>
    <w:p>
      <w:pPr>
        <w:spacing w:after="0" w:line="135" w:lineRule="exact"/>
        <w:rPr>
          <w:sz w:val="20"/>
          <w:szCs w:val="20"/>
          <w:color w:val="auto"/>
        </w:rPr>
      </w:pPr>
    </w:p>
    <w:p>
      <w:pPr>
        <w:jc w:val="both"/>
        <w:ind w:left="1360"/>
        <w:spacing w:after="0" w:line="204" w:lineRule="auto"/>
        <w:rPr>
          <w:sz w:val="20"/>
          <w:szCs w:val="20"/>
          <w:color w:val="auto"/>
        </w:rPr>
      </w:pPr>
      <w:r>
        <w:rPr>
          <w:rFonts w:ascii="Calibri" w:cs="Calibri" w:eastAsia="Calibri" w:hAnsi="Calibri"/>
          <w:sz w:val="19"/>
          <w:szCs w:val="19"/>
          <w:color w:val="auto"/>
        </w:rPr>
        <w:t>By acceptng the Restricted Stock Units, Employee expressly acknowledges and agrees that for all legal purposes, (i) the benefts provided under the Agreement and the Plan are the result of commercial transactons unrelated to Employee’s employment; (ii) the Agreement and the Plan are not part of the terms and conditons of Employee’s employment; and (iii) the income from the Restricted Stock Units, if any, is not part of Employee’s remuneraton from employment.</w:t>
      </w:r>
    </w:p>
    <w:p>
      <w:pPr>
        <w:spacing w:after="0" w:line="65" w:lineRule="exact"/>
        <w:rPr>
          <w:sz w:val="20"/>
          <w:szCs w:val="20"/>
          <w:color w:val="auto"/>
        </w:rPr>
      </w:pPr>
    </w:p>
    <w:p>
      <w:pPr>
        <w:ind w:left="1360"/>
        <w:spacing w:after="0"/>
        <w:rPr>
          <w:sz w:val="20"/>
          <w:szCs w:val="20"/>
          <w:color w:val="auto"/>
        </w:rPr>
      </w:pPr>
      <w:r>
        <w:rPr>
          <w:rFonts w:ascii="Calibri" w:cs="Calibri" w:eastAsia="Calibri" w:hAnsi="Calibri"/>
          <w:sz w:val="19"/>
          <w:szCs w:val="19"/>
          <w:b w:val="1"/>
          <w:bCs w:val="1"/>
          <w:color w:val="auto"/>
        </w:rPr>
        <w:t>Compliance with Law</w:t>
      </w:r>
    </w:p>
    <w:p>
      <w:pPr>
        <w:spacing w:after="0" w:line="135" w:lineRule="exact"/>
        <w:rPr>
          <w:sz w:val="20"/>
          <w:szCs w:val="20"/>
          <w:color w:val="auto"/>
        </w:rPr>
      </w:pPr>
    </w:p>
    <w:p>
      <w:pPr>
        <w:jc w:val="both"/>
        <w:ind w:left="1360"/>
        <w:spacing w:after="0"/>
        <w:rPr>
          <w:sz w:val="20"/>
          <w:szCs w:val="20"/>
          <w:color w:val="auto"/>
        </w:rPr>
      </w:pPr>
      <w:r>
        <w:rPr>
          <w:rFonts w:ascii="Calibri" w:cs="Calibri" w:eastAsia="Calibri" w:hAnsi="Calibri"/>
          <w:sz w:val="19"/>
          <w:szCs w:val="19"/>
          <w:color w:val="auto"/>
        </w:rPr>
        <w:t>By acceptng the Restricted Stock Units, Employee expressly acknowledges and agrees to comply with applicable laws in Iraq and to pay any and all applicable Tax-Related Items associated with the vestng of the Restricted Stock Units, the receipt of any dividends, and the sale of any shares of Stock acquired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147320</wp:posOffset>
            </wp:positionV>
            <wp:extent cx="65081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3">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ectPr>
          <w:pgSz w:w="11900" w:h="16838" w:orient="portrait"/>
          <w:cols w:equalWidth="0" w:num="1">
            <w:col w:w="10100"/>
          </w:cols>
          <w:pgMar w:left="400" w:top="360" w:right="1399" w:bottom="1440" w:gutter="0" w:footer="0" w:header="0"/>
        </w:sectPr>
      </w:pPr>
    </w:p>
    <w:bookmarkStart w:id="139" w:name="page140"/>
    <w:bookmarkEnd w:id="139"/>
    <w:p>
      <w:pPr>
        <w:spacing w:after="0"/>
        <w:tabs>
          <w:tab w:leader="none" w:pos="1340" w:val="left"/>
        </w:tabs>
        <w:rPr>
          <w:sz w:val="20"/>
          <w:szCs w:val="20"/>
          <w:color w:val="auto"/>
        </w:rPr>
      </w:pPr>
      <w:r>
        <w:rPr>
          <w:rFonts w:ascii="Calibri" w:cs="Calibri" w:eastAsia="Calibri" w:hAnsi="Calibri"/>
          <w:sz w:val="38"/>
          <w:szCs w:val="38"/>
          <w:b w:val="1"/>
          <w:bCs w:val="1"/>
          <w:color w:val="auto"/>
          <w:vertAlign w:val="subscript"/>
        </w:rPr>
        <w:t>Italy</w:t>
      </w:r>
      <w:r>
        <w:rPr>
          <w:sz w:val="20"/>
          <w:szCs w:val="20"/>
          <w:color w:val="auto"/>
        </w:rPr>
        <w:tab/>
      </w:r>
      <w:r>
        <w:rPr>
          <w:rFonts w:ascii="Calibri" w:cs="Calibri" w:eastAsia="Calibri" w:hAnsi="Calibri"/>
          <w:sz w:val="19"/>
          <w:szCs w:val="19"/>
          <w:b w:val="1"/>
          <w:bCs w:val="1"/>
          <w:color w:val="auto"/>
        </w:rPr>
        <w:t>Plan Document Acknowledgement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65081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4">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225" w:lineRule="exact"/>
        <w:rPr>
          <w:sz w:val="20"/>
          <w:szCs w:val="20"/>
          <w:color w:val="auto"/>
        </w:rPr>
      </w:pPr>
    </w:p>
    <w:p>
      <w:pPr>
        <w:jc w:val="both"/>
        <w:ind w:left="1360"/>
        <w:spacing w:after="0" w:line="201" w:lineRule="auto"/>
        <w:rPr>
          <w:sz w:val="20"/>
          <w:szCs w:val="20"/>
          <w:color w:val="auto"/>
        </w:rPr>
      </w:pPr>
      <w:r>
        <w:rPr>
          <w:rFonts w:ascii="Calibri" w:cs="Calibri" w:eastAsia="Calibri" w:hAnsi="Calibri"/>
          <w:sz w:val="19"/>
          <w:szCs w:val="19"/>
          <w:color w:val="auto"/>
        </w:rPr>
        <w:t>By acceptng the Restricted Stock Units, Employee acknowledges that Employee has received a copy of the Plan and the Agreement, including this Addendum, in their entrety and fully understands and accepts all the provisions of the Plan and the Agreement. Employee further acknowledges having read and specifcally approves the following sectons of the Agreement: Vestng of Restricted Stock Units; Forfeiture of Restricted Stock Units, Setlement of Restricted Stock Units, Withholding of Tax, Nature of Grant, Impositon of Other Requirements, Governing Law and Forum and the Data Privacy provision for the EU/EEA in this Addendum.</w:t>
      </w:r>
    </w:p>
    <w:p>
      <w:pPr>
        <w:spacing w:after="0" w:line="66" w:lineRule="exact"/>
        <w:rPr>
          <w:sz w:val="20"/>
          <w:szCs w:val="20"/>
          <w:color w:val="auto"/>
        </w:rPr>
      </w:pPr>
    </w:p>
    <w:p>
      <w:pPr>
        <w:ind w:left="1360"/>
        <w:spacing w:after="0"/>
        <w:rPr>
          <w:sz w:val="20"/>
          <w:szCs w:val="20"/>
          <w:color w:val="auto"/>
        </w:rPr>
      </w:pPr>
      <w:r>
        <w:rPr>
          <w:rFonts w:ascii="Calibri" w:cs="Calibri" w:eastAsia="Calibri" w:hAnsi="Calibri"/>
          <w:sz w:val="19"/>
          <w:szCs w:val="19"/>
          <w:b w:val="1"/>
          <w:bCs w:val="1"/>
          <w:color w:val="auto"/>
        </w:rPr>
        <w:t>Foreign Ownership Informaton</w:t>
      </w:r>
    </w:p>
    <w:p>
      <w:pPr>
        <w:spacing w:after="0" w:line="58" w:lineRule="exact"/>
        <w:rPr>
          <w:sz w:val="20"/>
          <w:szCs w:val="20"/>
          <w:color w:val="auto"/>
        </w:rPr>
      </w:pPr>
    </w:p>
    <w:p>
      <w:pPr>
        <w:jc w:val="both"/>
        <w:ind w:left="1360"/>
        <w:spacing w:after="0" w:line="203" w:lineRule="auto"/>
        <w:rPr>
          <w:sz w:val="20"/>
          <w:szCs w:val="20"/>
          <w:color w:val="auto"/>
        </w:rPr>
      </w:pPr>
      <w:r>
        <w:rPr>
          <w:rFonts w:ascii="Calibri" w:cs="Calibri" w:eastAsia="Calibri" w:hAnsi="Calibri"/>
          <w:sz w:val="19"/>
          <w:szCs w:val="19"/>
          <w:color w:val="auto"/>
        </w:rPr>
        <w:t>If at any tme during the fscal year Employee holds foreign fnancial assets (including cash and shares of Stock) that may generate income taxable in Italy, Employee is required to report these assets on Employee’s annual tax return (UNICO Form, RW Schedule) for the year during which the assets are held, or on a special form if no tax return is due. These reportng obligatons also will apply to Italian residents who are the benefcial owners of foreign fnancial assets under Italian money laundering provisions. Employee should consult with Employee’s personal tax advisor to determine his/her personal reportng obligatons.</w:t>
      </w:r>
    </w:p>
    <w:p>
      <w:pPr>
        <w:spacing w:after="0" w:line="187" w:lineRule="auto"/>
        <w:tabs>
          <w:tab w:leader="none" w:pos="1340" w:val="left"/>
        </w:tabs>
        <w:rPr>
          <w:sz w:val="20"/>
          <w:szCs w:val="20"/>
          <w:color w:val="auto"/>
        </w:rPr>
      </w:pPr>
      <w:r>
        <w:rPr>
          <w:rFonts w:ascii="Calibri" w:cs="Calibri" w:eastAsia="Calibri" w:hAnsi="Calibri"/>
          <w:sz w:val="24"/>
          <w:szCs w:val="24"/>
          <w:b w:val="1"/>
          <w:bCs w:val="1"/>
          <w:color w:val="auto"/>
          <w:vertAlign w:val="subscript"/>
        </w:rPr>
        <w:t>Japan</w:t>
      </w:r>
      <w:r>
        <w:rPr>
          <w:sz w:val="20"/>
          <w:szCs w:val="20"/>
          <w:color w:val="auto"/>
        </w:rPr>
        <w:tab/>
      </w:r>
      <w:r>
        <w:rPr>
          <w:rFonts w:ascii="Calibri" w:cs="Calibri" w:eastAsia="Calibri" w:hAnsi="Calibri"/>
          <w:sz w:val="14"/>
          <w:szCs w:val="14"/>
          <w:b w:val="1"/>
          <w:bCs w:val="1"/>
          <w:color w:val="auto"/>
        </w:rPr>
        <w:t>Foreign Exchange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-57150</wp:posOffset>
            </wp:positionV>
            <wp:extent cx="65081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5">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173" w:lineRule="exact"/>
        <w:rPr>
          <w:sz w:val="20"/>
          <w:szCs w:val="20"/>
          <w:color w:val="auto"/>
        </w:rPr>
      </w:pPr>
    </w:p>
    <w:p>
      <w:pPr>
        <w:jc w:val="both"/>
        <w:ind w:left="1360"/>
        <w:spacing w:after="0" w:line="206" w:lineRule="auto"/>
        <w:rPr>
          <w:sz w:val="20"/>
          <w:szCs w:val="20"/>
          <w:color w:val="auto"/>
        </w:rPr>
      </w:pPr>
      <w:r>
        <w:rPr>
          <w:rFonts w:ascii="Calibri" w:cs="Calibri" w:eastAsia="Calibri" w:hAnsi="Calibri"/>
          <w:sz w:val="19"/>
          <w:szCs w:val="19"/>
          <w:color w:val="auto"/>
        </w:rPr>
        <w:t>If Employee acquires shares of Stock valued at more than a specifed amount (currently JPY 100 million) in a single transacton, Employee must fle a Securites Acquisiton Report with the Ministry of Finance (“MOF”) through the Bank of Japan within 20 days of the receipt of the shares of Stock.</w:t>
      </w:r>
    </w:p>
    <w:p>
      <w:pPr>
        <w:spacing w:after="0" w:line="73" w:lineRule="exact"/>
        <w:rPr>
          <w:sz w:val="20"/>
          <w:szCs w:val="20"/>
          <w:color w:val="auto"/>
        </w:rPr>
      </w:pPr>
    </w:p>
    <w:p>
      <w:pPr>
        <w:jc w:val="both"/>
        <w:ind w:left="1360"/>
        <w:spacing w:after="0"/>
        <w:rPr>
          <w:sz w:val="20"/>
          <w:szCs w:val="20"/>
          <w:color w:val="auto"/>
        </w:rPr>
      </w:pPr>
      <w:r>
        <w:rPr>
          <w:rFonts w:ascii="Calibri" w:cs="Calibri" w:eastAsia="Calibri" w:hAnsi="Calibri"/>
          <w:sz w:val="19"/>
          <w:szCs w:val="19"/>
          <w:color w:val="auto"/>
        </w:rPr>
        <w:t>Further, if Employee is a Japanese resident, Employee will be required to report details of any assets (including shares of Stock acquired under the Plan) held outside of Japan as of December 31 of each year, to the extent such assets have a total net fair market value exceeding a specifed threshold (currently JPY 50 million). Employee should consult with his/her personal tax advisor to determine Employee’s personal reportng obligatons.</w:t>
      </w:r>
    </w:p>
    <w:p>
      <w:pPr>
        <w:spacing w:after="0" w:line="184" w:lineRule="auto"/>
        <w:tabs>
          <w:tab w:leader="none" w:pos="1340" w:val="left"/>
        </w:tabs>
        <w:rPr>
          <w:sz w:val="20"/>
          <w:szCs w:val="20"/>
          <w:color w:val="auto"/>
        </w:rPr>
      </w:pPr>
      <w:r>
        <w:rPr>
          <w:rFonts w:ascii="Calibri" w:cs="Calibri" w:eastAsia="Calibri" w:hAnsi="Calibri"/>
          <w:sz w:val="29"/>
          <w:szCs w:val="29"/>
          <w:b w:val="1"/>
          <w:bCs w:val="1"/>
          <w:color w:val="auto"/>
          <w:vertAlign w:val="subscript"/>
        </w:rPr>
        <w:t>Kazakhstan</w:t>
      </w:r>
      <w:r>
        <w:rPr>
          <w:sz w:val="20"/>
          <w:szCs w:val="20"/>
          <w:color w:val="auto"/>
        </w:rPr>
        <w:tab/>
      </w:r>
      <w:r>
        <w:rPr>
          <w:rFonts w:ascii="Calibri" w:cs="Calibri" w:eastAsia="Calibri" w:hAnsi="Calibri"/>
          <w:sz w:val="16"/>
          <w:szCs w:val="16"/>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-48895</wp:posOffset>
            </wp:positionV>
            <wp:extent cx="65081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6">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186" w:lineRule="exact"/>
        <w:rPr>
          <w:sz w:val="20"/>
          <w:szCs w:val="20"/>
          <w:color w:val="auto"/>
        </w:rPr>
      </w:pPr>
    </w:p>
    <w:p>
      <w:pPr>
        <w:jc w:val="both"/>
        <w:ind w:left="1360"/>
        <w:spacing w:after="0" w:line="206" w:lineRule="auto"/>
        <w:rPr>
          <w:sz w:val="20"/>
          <w:szCs w:val="20"/>
          <w:color w:val="auto"/>
        </w:rPr>
      </w:pPr>
      <w:r>
        <w:rPr>
          <w:rFonts w:ascii="Calibri" w:cs="Calibri" w:eastAsia="Calibri" w:hAnsi="Calibri"/>
          <w:sz w:val="19"/>
          <w:szCs w:val="19"/>
          <w:color w:val="auto"/>
        </w:rPr>
        <w:t>Neither the Agreement nor the Plan has been approved, nor do they need to be approved, by the Natonal Bank of Kazakhstan. This ofer is intended only for the original recipient and is not for general circulaton in the Republic of Kazakhstan.</w:t>
      </w:r>
    </w:p>
    <w:p>
      <w:pPr>
        <w:spacing w:after="0" w:line="67" w:lineRule="exact"/>
        <w:rPr>
          <w:sz w:val="20"/>
          <w:szCs w:val="20"/>
          <w:color w:val="auto"/>
        </w:rPr>
      </w:pPr>
    </w:p>
    <w:p>
      <w:pPr>
        <w:ind w:left="1360"/>
        <w:spacing w:after="0"/>
        <w:rPr>
          <w:sz w:val="20"/>
          <w:szCs w:val="20"/>
          <w:color w:val="auto"/>
        </w:rPr>
      </w:pPr>
      <w:r>
        <w:rPr>
          <w:rFonts w:ascii="Calibri" w:cs="Calibri" w:eastAsia="Calibri" w:hAnsi="Calibri"/>
          <w:sz w:val="19"/>
          <w:szCs w:val="19"/>
          <w:b w:val="1"/>
          <w:bCs w:val="1"/>
          <w:color w:val="auto"/>
        </w:rPr>
        <w:t>Foreign Exchange Informaton</w:t>
      </w:r>
    </w:p>
    <w:p>
      <w:pPr>
        <w:spacing w:after="0" w:line="58" w:lineRule="exact"/>
        <w:rPr>
          <w:sz w:val="20"/>
          <w:szCs w:val="20"/>
          <w:color w:val="auto"/>
        </w:rPr>
      </w:pPr>
    </w:p>
    <w:p>
      <w:pPr>
        <w:jc w:val="both"/>
        <w:ind w:left="1360"/>
        <w:spacing w:after="0" w:line="211" w:lineRule="auto"/>
        <w:rPr>
          <w:sz w:val="20"/>
          <w:szCs w:val="20"/>
          <w:color w:val="auto"/>
        </w:rPr>
      </w:pPr>
      <w:r>
        <w:rPr>
          <w:rFonts w:ascii="Calibri" w:cs="Calibri" w:eastAsia="Calibri" w:hAnsi="Calibri"/>
          <w:sz w:val="19"/>
          <w:szCs w:val="19"/>
          <w:color w:val="auto"/>
        </w:rPr>
        <w:t>Please note that by choosing to partcipate in the Plan, Employee hereby consents to have the Employer and the Company be Employee’s agent to transfer and/or hold funds, shares of Stock, or sale proceeds for and on Employee’s behalf.</w:t>
      </w:r>
    </w:p>
    <w:p>
      <w:pPr>
        <w:spacing w:after="0" w:line="59" w:lineRule="exact"/>
        <w:rPr>
          <w:sz w:val="20"/>
          <w:szCs w:val="20"/>
          <w:color w:val="auto"/>
        </w:rPr>
      </w:pPr>
    </w:p>
    <w:p>
      <w:pPr>
        <w:jc w:val="both"/>
        <w:ind w:left="1360"/>
        <w:spacing w:after="0" w:line="211" w:lineRule="auto"/>
        <w:rPr>
          <w:sz w:val="20"/>
          <w:szCs w:val="20"/>
          <w:color w:val="auto"/>
        </w:rPr>
      </w:pPr>
      <w:r>
        <w:rPr>
          <w:rFonts w:ascii="Calibri" w:cs="Calibri" w:eastAsia="Calibri" w:hAnsi="Calibri"/>
          <w:sz w:val="19"/>
          <w:szCs w:val="19"/>
          <w:color w:val="auto"/>
        </w:rPr>
        <w:t>In additon, the Kazakhstani Law on Currency Regulaton and Currency Control requires currency repatriaton. Therefore, if Employee sells his/her securites or receives dividends, Employee must transfer the proceeds to an account(s) with a Kazakhstani authorized bank.</w:t>
      </w:r>
    </w:p>
    <w:p>
      <w:pPr>
        <w:spacing w:after="0" w:line="52" w:lineRule="exact"/>
        <w:rPr>
          <w:sz w:val="20"/>
          <w:szCs w:val="20"/>
          <w:color w:val="auto"/>
        </w:rPr>
      </w:pPr>
    </w:p>
    <w:p>
      <w:pPr>
        <w:ind w:left="1360"/>
        <w:spacing w:after="0"/>
        <w:rPr>
          <w:sz w:val="20"/>
          <w:szCs w:val="20"/>
          <w:color w:val="auto"/>
        </w:rPr>
      </w:pPr>
      <w:r>
        <w:rPr>
          <w:rFonts w:ascii="Calibri" w:cs="Calibri" w:eastAsia="Calibri" w:hAnsi="Calibri"/>
          <w:sz w:val="19"/>
          <w:szCs w:val="19"/>
          <w:b w:val="1"/>
          <w:bCs w:val="1"/>
          <w:color w:val="auto"/>
        </w:rPr>
        <w:t>Tax Disclosure</w:t>
      </w:r>
    </w:p>
    <w:p>
      <w:pPr>
        <w:spacing w:after="0" w:line="71" w:lineRule="exact"/>
        <w:rPr>
          <w:sz w:val="20"/>
          <w:szCs w:val="20"/>
          <w:color w:val="auto"/>
        </w:rPr>
      </w:pPr>
    </w:p>
    <w:p>
      <w:pPr>
        <w:jc w:val="both"/>
        <w:ind w:left="1360"/>
        <w:spacing w:after="0" w:line="206" w:lineRule="auto"/>
        <w:rPr>
          <w:sz w:val="20"/>
          <w:szCs w:val="20"/>
          <w:color w:val="auto"/>
        </w:rPr>
      </w:pPr>
      <w:r>
        <w:rPr>
          <w:rFonts w:ascii="Calibri" w:cs="Calibri" w:eastAsia="Calibri" w:hAnsi="Calibri"/>
          <w:sz w:val="19"/>
          <w:szCs w:val="19"/>
          <w:color w:val="auto"/>
        </w:rPr>
        <w:t>Employee may be required to disclose shares of Stock held and any foreign bank accounts (provided that the funds exceed a certain threshold) to the local tax authority by way of fling a tax return. Currently, the tax return must be fled not later than 31 March of the year following the reportng year.</w:t>
      </w:r>
    </w:p>
    <w:p>
      <w:pPr>
        <w:spacing w:after="0" w:line="186" w:lineRule="auto"/>
        <w:tabs>
          <w:tab w:leader="none" w:pos="1340" w:val="left"/>
        </w:tabs>
        <w:rPr>
          <w:sz w:val="20"/>
          <w:szCs w:val="20"/>
          <w:color w:val="auto"/>
        </w:rPr>
      </w:pPr>
      <w:r>
        <w:rPr>
          <w:rFonts w:ascii="Calibri" w:cs="Calibri" w:eastAsia="Calibri" w:hAnsi="Calibri"/>
          <w:sz w:val="24"/>
          <w:szCs w:val="24"/>
          <w:b w:val="1"/>
          <w:bCs w:val="1"/>
          <w:color w:val="auto"/>
          <w:vertAlign w:val="subscript"/>
        </w:rPr>
        <w:t>Kenya</w:t>
      </w:r>
      <w:r>
        <w:rPr>
          <w:sz w:val="20"/>
          <w:szCs w:val="20"/>
          <w:color w:val="auto"/>
        </w:rPr>
        <w:tab/>
      </w:r>
      <w:r>
        <w:rPr>
          <w:rFonts w:ascii="Calibri" w:cs="Calibri" w:eastAsia="Calibri" w:hAnsi="Calibri"/>
          <w:sz w:val="14"/>
          <w:szCs w:val="14"/>
          <w:b w:val="1"/>
          <w:bCs w:val="1"/>
          <w:color w:val="auto"/>
        </w:rPr>
        <w:t>Tax Registraton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-48260</wp:posOffset>
            </wp:positionV>
            <wp:extent cx="65081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7">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187" w:lineRule="exact"/>
        <w:rPr>
          <w:sz w:val="20"/>
          <w:szCs w:val="20"/>
          <w:color w:val="auto"/>
        </w:rPr>
      </w:pPr>
    </w:p>
    <w:p>
      <w:pPr>
        <w:jc w:val="both"/>
        <w:ind w:left="1360"/>
        <w:spacing w:after="0" w:line="201" w:lineRule="auto"/>
        <w:rPr>
          <w:sz w:val="20"/>
          <w:szCs w:val="20"/>
          <w:color w:val="auto"/>
        </w:rPr>
      </w:pPr>
      <w:r>
        <w:rPr>
          <w:rFonts w:ascii="Calibri" w:cs="Calibri" w:eastAsia="Calibri" w:hAnsi="Calibri"/>
          <w:sz w:val="19"/>
          <w:szCs w:val="19"/>
          <w:color w:val="auto"/>
        </w:rPr>
        <w:t>Under Tax Procedure Act, 2015, Employee is required to complete and submit a tax registraton to the Commissioner of Income Tax within 30 days afer the vestng of the Restricted Stock Units. The registraton should be completed through the online portal “ITAX.” Employee should consult his/her personal legal advisor to ensure compliance with the applicable requirements. Employee is personally responsible for ensuring compliance with all registraton requirements in Kenya.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95250</wp:posOffset>
            </wp:positionV>
            <wp:extent cx="65081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8">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ectPr>
          <w:pgSz w:w="11900" w:h="16838" w:orient="portrait"/>
          <w:cols w:equalWidth="0" w:num="1">
            <w:col w:w="10100"/>
          </w:cols>
          <w:pgMar w:left="400" w:top="360" w:right="1399" w:bottom="1440" w:gutter="0" w:footer="0" w:header="0"/>
        </w:sectPr>
      </w:pPr>
    </w:p>
    <w:bookmarkStart w:id="140" w:name="page141"/>
    <w:bookmarkEnd w:id="140"/>
    <w:p>
      <w:pPr>
        <w:spacing w:after="0"/>
        <w:tabs>
          <w:tab w:leader="none" w:pos="1340" w:val="left"/>
        </w:tabs>
        <w:rPr>
          <w:sz w:val="20"/>
          <w:szCs w:val="20"/>
          <w:color w:val="auto"/>
        </w:rPr>
      </w:pPr>
      <w:r>
        <w:rPr>
          <w:rFonts w:ascii="Calibri" w:cs="Calibri" w:eastAsia="Calibri" w:hAnsi="Calibri"/>
          <w:sz w:val="38"/>
          <w:szCs w:val="38"/>
          <w:b w:val="1"/>
          <w:bCs w:val="1"/>
          <w:color w:val="auto"/>
          <w:vertAlign w:val="subscript"/>
        </w:rPr>
        <w:t>Korea</w:t>
      </w:r>
      <w:r>
        <w:rPr>
          <w:sz w:val="20"/>
          <w:szCs w:val="20"/>
          <w:color w:val="auto"/>
        </w:rPr>
        <w:tab/>
      </w:r>
      <w:r>
        <w:rPr>
          <w:rFonts w:ascii="Calibri" w:cs="Calibri" w:eastAsia="Calibri" w:hAnsi="Calibri"/>
          <w:sz w:val="19"/>
          <w:szCs w:val="19"/>
          <w:b w:val="1"/>
          <w:bCs w:val="1"/>
          <w:color w:val="auto"/>
        </w:rPr>
        <w:t>Data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65081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9">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219" w:lineRule="exact"/>
        <w:rPr>
          <w:sz w:val="20"/>
          <w:szCs w:val="20"/>
          <w:color w:val="auto"/>
        </w:rPr>
      </w:pPr>
    </w:p>
    <w:p>
      <w:pPr>
        <w:ind w:left="1360"/>
        <w:spacing w:after="0"/>
        <w:rPr>
          <w:sz w:val="20"/>
          <w:szCs w:val="20"/>
          <w:color w:val="auto"/>
        </w:rPr>
      </w:pPr>
      <w:r>
        <w:rPr>
          <w:rFonts w:ascii="Calibri" w:cs="Calibri" w:eastAsia="Calibri" w:hAnsi="Calibri"/>
          <w:sz w:val="19"/>
          <w:szCs w:val="19"/>
          <w:color w:val="auto"/>
        </w:rPr>
        <w:t>By acceptng the Restricted Stock Units:</w:t>
      </w:r>
    </w:p>
    <w:p>
      <w:pPr>
        <w:spacing w:after="0" w:line="84" w:lineRule="exact"/>
        <w:rPr>
          <w:sz w:val="20"/>
          <w:szCs w:val="20"/>
          <w:color w:val="auto"/>
        </w:rPr>
      </w:pPr>
    </w:p>
    <w:p>
      <w:pPr>
        <w:ind w:left="1980" w:hanging="620"/>
        <w:spacing w:after="0" w:line="216" w:lineRule="auto"/>
        <w:tabs>
          <w:tab w:leader="none" w:pos="1969" w:val="left"/>
        </w:tabs>
        <w:numPr>
          <w:ilvl w:val="0"/>
          <w:numId w:val="86"/>
        </w:numPr>
        <w:rPr>
          <w:rFonts w:ascii="Times New Roman" w:cs="Times New Roman" w:eastAsia="Times New Roman" w:hAnsi="Times New Roman"/>
          <w:sz w:val="19"/>
          <w:szCs w:val="19"/>
          <w:color w:val="auto"/>
        </w:rPr>
      </w:pPr>
      <w:r>
        <w:rPr>
          <w:rFonts w:ascii="Calibri" w:cs="Calibri" w:eastAsia="Calibri" w:hAnsi="Calibri"/>
          <w:sz w:val="19"/>
          <w:szCs w:val="19"/>
          <w:color w:val="auto"/>
        </w:rPr>
        <w:t>Employee agrees to the collecton, use, processing and transfer of Data as described in Paragraph 11 of the Agreement; and</w:t>
      </w:r>
    </w:p>
    <w:p>
      <w:pPr>
        <w:spacing w:after="0" w:line="98" w:lineRule="exact"/>
        <w:rPr>
          <w:rFonts w:ascii="Times New Roman" w:cs="Times New Roman" w:eastAsia="Times New Roman" w:hAnsi="Times New Roman"/>
          <w:sz w:val="19"/>
          <w:szCs w:val="19"/>
          <w:color w:val="auto"/>
        </w:rPr>
      </w:pPr>
    </w:p>
    <w:p>
      <w:pPr>
        <w:ind w:left="1980" w:hanging="620"/>
        <w:spacing w:after="0" w:line="219" w:lineRule="auto"/>
        <w:tabs>
          <w:tab w:leader="none" w:pos="1969" w:val="left"/>
        </w:tabs>
        <w:numPr>
          <w:ilvl w:val="0"/>
          <w:numId w:val="86"/>
        </w:numPr>
        <w:rPr>
          <w:rFonts w:ascii="Times New Roman" w:cs="Times New Roman" w:eastAsia="Times New Roman" w:hAnsi="Times New Roman"/>
          <w:sz w:val="19"/>
          <w:szCs w:val="19"/>
          <w:color w:val="auto"/>
        </w:rPr>
      </w:pPr>
      <w:r>
        <w:rPr>
          <w:rFonts w:ascii="Calibri" w:cs="Calibri" w:eastAsia="Calibri" w:hAnsi="Calibri"/>
          <w:sz w:val="19"/>
          <w:szCs w:val="19"/>
          <w:color w:val="auto"/>
        </w:rPr>
        <w:t>Employee agrees to the processing of Employee’s unique identfying informaton as described in Paragraph 11 of the Agreement</w:t>
      </w:r>
      <w:r>
        <w:rPr>
          <w:rFonts w:ascii="Calibri" w:cs="Calibri" w:eastAsia="Calibri" w:hAnsi="Calibri"/>
          <w:sz w:val="20"/>
          <w:szCs w:val="20"/>
          <w:color w:val="auto"/>
        </w:rPr>
        <w:t>.</w:t>
      </w:r>
    </w:p>
    <w:p>
      <w:pPr>
        <w:spacing w:after="0" w:line="62" w:lineRule="exact"/>
        <w:rPr>
          <w:sz w:val="20"/>
          <w:szCs w:val="20"/>
          <w:color w:val="auto"/>
        </w:rPr>
      </w:pPr>
    </w:p>
    <w:p>
      <w:pPr>
        <w:ind w:left="1360"/>
        <w:spacing w:after="0"/>
        <w:rPr>
          <w:sz w:val="20"/>
          <w:szCs w:val="20"/>
          <w:color w:val="auto"/>
        </w:rPr>
      </w:pPr>
      <w:r>
        <w:rPr>
          <w:rFonts w:ascii="Calibri" w:cs="Calibri" w:eastAsia="Calibri" w:hAnsi="Calibri"/>
          <w:sz w:val="19"/>
          <w:szCs w:val="19"/>
          <w:b w:val="1"/>
          <w:bCs w:val="1"/>
          <w:color w:val="auto"/>
        </w:rPr>
        <w:t>Foreign Asset/Account Reportng Informaton</w:t>
      </w:r>
    </w:p>
    <w:p>
      <w:pPr>
        <w:spacing w:after="0" w:line="71" w:lineRule="exact"/>
        <w:rPr>
          <w:sz w:val="20"/>
          <w:szCs w:val="20"/>
          <w:color w:val="auto"/>
        </w:rPr>
      </w:pPr>
    </w:p>
    <w:p>
      <w:pPr>
        <w:jc w:val="both"/>
        <w:ind w:left="1360"/>
        <w:spacing w:after="0" w:line="201" w:lineRule="auto"/>
        <w:rPr>
          <w:sz w:val="20"/>
          <w:szCs w:val="20"/>
          <w:color w:val="auto"/>
        </w:rPr>
      </w:pPr>
      <w:r>
        <w:rPr>
          <w:rFonts w:ascii="Calibri" w:cs="Calibri" w:eastAsia="Calibri" w:hAnsi="Calibri"/>
          <w:sz w:val="19"/>
          <w:szCs w:val="19"/>
          <w:color w:val="auto"/>
        </w:rPr>
        <w:t>If Employee is a Korean resident, he/she is required to declare all foreign fnancial accounts (e.g., non-Korean bank accounts, brokerage accounts holding shares of Stock, etc.) to the Korean tax authority and fle a report regarding such accounts if the monthly balance of such accounts exceeds a specifed threshold (currently KRW 500 million, or an equivalent amount in foreign currency) on any month-end date during a calendar year. It is Employee's responsibility to comply with this reportng obligaton. Employee should consult his/her personal tax advisor to ensure compliance with this requirement.</w:t>
      </w:r>
    </w:p>
    <w:p>
      <w:pPr>
        <w:spacing w:after="0" w:line="186" w:lineRule="auto"/>
        <w:tabs>
          <w:tab w:leader="none" w:pos="1340" w:val="left"/>
        </w:tabs>
        <w:rPr>
          <w:sz w:val="20"/>
          <w:szCs w:val="20"/>
          <w:color w:val="auto"/>
        </w:rPr>
      </w:pPr>
      <w:r>
        <w:rPr>
          <w:rFonts w:ascii="Calibri" w:cs="Calibri" w:eastAsia="Calibri" w:hAnsi="Calibri"/>
          <w:sz w:val="24"/>
          <w:szCs w:val="24"/>
          <w:b w:val="1"/>
          <w:bCs w:val="1"/>
          <w:color w:val="auto"/>
          <w:vertAlign w:val="subscript"/>
        </w:rPr>
        <w:t>Kuwait</w:t>
      </w:r>
      <w:r>
        <w:rPr>
          <w:sz w:val="20"/>
          <w:szCs w:val="20"/>
          <w:color w:val="auto"/>
        </w:rPr>
        <w:tab/>
      </w:r>
      <w:r>
        <w:rPr>
          <w:rFonts w:ascii="Calibri" w:cs="Calibri" w:eastAsia="Calibri" w:hAnsi="Calibri"/>
          <w:sz w:val="14"/>
          <w:szCs w:val="14"/>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-48895</wp:posOffset>
            </wp:positionV>
            <wp:extent cx="65081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0">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186" w:lineRule="exact"/>
        <w:rPr>
          <w:sz w:val="20"/>
          <w:szCs w:val="20"/>
          <w:color w:val="auto"/>
        </w:rPr>
      </w:pPr>
    </w:p>
    <w:p>
      <w:pPr>
        <w:jc w:val="both"/>
        <w:ind w:left="1360"/>
        <w:spacing w:after="0" w:line="201" w:lineRule="auto"/>
        <w:rPr>
          <w:sz w:val="20"/>
          <w:szCs w:val="20"/>
          <w:color w:val="auto"/>
        </w:rPr>
      </w:pPr>
      <w:r>
        <w:rPr>
          <w:rFonts w:ascii="Calibri" w:cs="Calibri" w:eastAsia="Calibri" w:hAnsi="Calibri"/>
          <w:sz w:val="19"/>
          <w:szCs w:val="19"/>
          <w:color w:val="auto"/>
        </w:rPr>
        <w:t>The Plan does not consttute the marketng or ofering of securites in Kuwait pursuant to Law No. 7 of 2010, as amended (establishing the Capital Markets Authority) and its implementng regulatons. The informaton contained herein is intended solely for Employee’s use; it is confdental and privileged and is not intended to be circulated to any other person or party other than eligible employees or published by any means. Employee may not rely on the informaton contained herein for any purpose other than in relaton to this ofer and any share purchase or award hereunder.</w:t>
      </w:r>
    </w:p>
    <w:p>
      <w:pPr>
        <w:spacing w:after="0" w:line="186" w:lineRule="auto"/>
        <w:tabs>
          <w:tab w:leader="none" w:pos="1340" w:val="left"/>
        </w:tabs>
        <w:rPr>
          <w:sz w:val="20"/>
          <w:szCs w:val="20"/>
          <w:color w:val="auto"/>
        </w:rPr>
      </w:pPr>
      <w:r>
        <w:rPr>
          <w:rFonts w:ascii="Calibri" w:cs="Calibri" w:eastAsia="Calibri" w:hAnsi="Calibri"/>
          <w:sz w:val="24"/>
          <w:szCs w:val="24"/>
          <w:b w:val="1"/>
          <w:bCs w:val="1"/>
          <w:color w:val="auto"/>
          <w:vertAlign w:val="subscript"/>
        </w:rPr>
        <w:t>Malaysia</w:t>
      </w:r>
      <w:r>
        <w:rPr>
          <w:sz w:val="20"/>
          <w:szCs w:val="20"/>
          <w:color w:val="auto"/>
        </w:rPr>
        <w:tab/>
      </w:r>
      <w:r>
        <w:rPr>
          <w:rFonts w:ascii="Calibri" w:cs="Calibri" w:eastAsia="Calibri" w:hAnsi="Calibri"/>
          <w:sz w:val="14"/>
          <w:szCs w:val="14"/>
          <w:b w:val="1"/>
          <w:bCs w:val="1"/>
          <w:color w:val="auto"/>
        </w:rPr>
        <w:t>Director Notfcaton Obligatons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-48895</wp:posOffset>
            </wp:positionV>
            <wp:extent cx="65081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1">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186" w:lineRule="exact"/>
        <w:rPr>
          <w:sz w:val="20"/>
          <w:szCs w:val="20"/>
          <w:color w:val="auto"/>
        </w:rPr>
      </w:pPr>
    </w:p>
    <w:p>
      <w:pPr>
        <w:jc w:val="both"/>
        <w:ind w:left="1360"/>
        <w:spacing w:after="0" w:line="234" w:lineRule="auto"/>
        <w:rPr>
          <w:sz w:val="20"/>
          <w:szCs w:val="20"/>
          <w:color w:val="auto"/>
        </w:rPr>
      </w:pPr>
      <w:r>
        <w:rPr>
          <w:rFonts w:ascii="Calibri" w:cs="Calibri" w:eastAsia="Calibri" w:hAnsi="Calibri"/>
          <w:sz w:val="19"/>
          <w:szCs w:val="19"/>
          <w:color w:val="auto"/>
        </w:rPr>
        <w:t>If Employee is a director of the Company’s Malaysian Subsidiary, Employee is subject to certain notfcaton requirements under the Malaysian Companies Act 2016 with regards to the acquisiton or disposal of shares of Stock, or rights or optons in respect of the acquisiton or disposal of the shares of Stock or partcipatory interests made available by the Company’s Malaysian Subsidiary or any related company. Such notfcaton must be made within 14 days from the date of Employee’s acquisiton or disposal of any such shares of Stock, rights or optons. Employee should contact his/her personal legal advisor for further details if Employee is a director.</w:t>
      </w:r>
    </w:p>
    <w:p>
      <w:pPr>
        <w:spacing w:after="0" w:line="55" w:lineRule="exact"/>
        <w:rPr>
          <w:sz w:val="20"/>
          <w:szCs w:val="20"/>
          <w:color w:val="auto"/>
        </w:rPr>
      </w:pPr>
    </w:p>
    <w:p>
      <w:pPr>
        <w:ind w:left="1360"/>
        <w:spacing w:after="0"/>
        <w:rPr>
          <w:sz w:val="20"/>
          <w:szCs w:val="20"/>
          <w:color w:val="auto"/>
        </w:rPr>
      </w:pPr>
      <w:r>
        <w:rPr>
          <w:rFonts w:ascii="Calibri" w:cs="Calibri" w:eastAsia="Calibri" w:hAnsi="Calibri"/>
          <w:sz w:val="19"/>
          <w:szCs w:val="19"/>
          <w:b w:val="1"/>
          <w:bCs w:val="1"/>
          <w:color w:val="auto"/>
        </w:rPr>
        <w:t>Securites Law Notce</w:t>
      </w:r>
    </w:p>
    <w:p>
      <w:pPr>
        <w:spacing w:after="0" w:line="135" w:lineRule="exact"/>
        <w:rPr>
          <w:sz w:val="20"/>
          <w:szCs w:val="20"/>
          <w:color w:val="auto"/>
        </w:rPr>
      </w:pPr>
    </w:p>
    <w:p>
      <w:pPr>
        <w:jc w:val="both"/>
        <w:ind w:left="1360"/>
        <w:spacing w:after="0" w:line="234" w:lineRule="auto"/>
        <w:rPr>
          <w:sz w:val="20"/>
          <w:szCs w:val="20"/>
          <w:color w:val="auto"/>
        </w:rPr>
      </w:pPr>
      <w:r>
        <w:rPr>
          <w:rFonts w:ascii="Calibri" w:cs="Calibri" w:eastAsia="Calibri" w:hAnsi="Calibri"/>
          <w:sz w:val="19"/>
          <w:szCs w:val="19"/>
          <w:color w:val="auto"/>
        </w:rPr>
        <w:t>The ofer of the Restricted Stock Units in Malaysia consttutes or relates to an ‘excluded ofer,’ ‘excluded invitaton,’ or ‘excluded issue’ pursuant to Secton 229 and Secton 230 of the Capital Markets and Services Act 2007 (“CMSA”), and as a consequence no prospectus is required to be registered with the Securites Commission of Malaysia. The Restricted Stock Units documents do not consttute and may not be used for the purpose of a public ofering or an issue, ofer for subscripton or purchase, invitaton to subscribe for or purchase any securites requiring the registraton of a prospectus with the Securites Commission in Malaysia under the CMSA.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95885</wp:posOffset>
            </wp:positionV>
            <wp:extent cx="65081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2">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ectPr>
          <w:pgSz w:w="11900" w:h="16838" w:orient="portrait"/>
          <w:cols w:equalWidth="0" w:num="1">
            <w:col w:w="10100"/>
          </w:cols>
          <w:pgMar w:left="400" w:top="360" w:right="1399" w:bottom="1440" w:gutter="0" w:footer="0" w:header="0"/>
        </w:sectPr>
      </w:pPr>
    </w:p>
    <w:bookmarkStart w:id="141" w:name="page142"/>
    <w:bookmarkEnd w:id="141"/>
    <w:p>
      <w:pPr>
        <w:spacing w:after="0"/>
        <w:tabs>
          <w:tab w:leader="none" w:pos="1340" w:val="left"/>
        </w:tabs>
        <w:rPr>
          <w:sz w:val="20"/>
          <w:szCs w:val="20"/>
          <w:color w:val="auto"/>
        </w:rPr>
      </w:pPr>
      <w:r>
        <w:rPr>
          <w:rFonts w:ascii="Calibri" w:cs="Calibri" w:eastAsia="Calibri" w:hAnsi="Calibri"/>
          <w:sz w:val="38"/>
          <w:szCs w:val="38"/>
          <w:b w:val="1"/>
          <w:bCs w:val="1"/>
          <w:color w:val="auto"/>
          <w:vertAlign w:val="subscript"/>
        </w:rPr>
        <w:t>Mexico</w:t>
      </w:r>
      <w:r>
        <w:rPr>
          <w:sz w:val="20"/>
          <w:szCs w:val="20"/>
          <w:color w:val="auto"/>
        </w:rPr>
        <w:tab/>
      </w:r>
      <w:r>
        <w:rPr>
          <w:rFonts w:ascii="Calibri" w:cs="Calibri" w:eastAsia="Calibri" w:hAnsi="Calibri"/>
          <w:sz w:val="19"/>
          <w:szCs w:val="19"/>
          <w:b w:val="1"/>
          <w:bCs w:val="1"/>
          <w:color w:val="auto"/>
        </w:rPr>
        <w:t>Labor Law Acknowledgment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65081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3">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225" w:lineRule="exact"/>
        <w:rPr>
          <w:sz w:val="20"/>
          <w:szCs w:val="20"/>
          <w:color w:val="auto"/>
        </w:rPr>
      </w:pPr>
    </w:p>
    <w:p>
      <w:pPr>
        <w:jc w:val="both"/>
        <w:ind w:left="1360"/>
        <w:spacing w:after="0" w:line="201" w:lineRule="auto"/>
        <w:rPr>
          <w:sz w:val="20"/>
          <w:szCs w:val="20"/>
          <w:color w:val="auto"/>
        </w:rPr>
      </w:pPr>
      <w:r>
        <w:rPr>
          <w:rFonts w:ascii="Calibri" w:cs="Calibri" w:eastAsia="Calibri" w:hAnsi="Calibri"/>
          <w:sz w:val="19"/>
          <w:szCs w:val="19"/>
          <w:color w:val="auto"/>
        </w:rPr>
        <w:t>The invitaton the Company is making under the Plan is unilateral and discretonary and is not related to the salary and other contractual benefts granted to Employee by the Employer; therefore, benefts derived from the Plan will not under any circumstance be considered as an integral part of Employee’s salary. The Company reserves the absolute right to amend the Plan and discontnue it at any tme without incurring any liability whatsoever. This invitaton and, in Employee’s case, the acquisiton of shares of Stock does not, in any way, establish a labor relatonship between Employee and the Company, nor does it establish any rights between Employee and the Employer.</w:t>
      </w:r>
    </w:p>
    <w:p>
      <w:pPr>
        <w:spacing w:after="0" w:line="58" w:lineRule="exact"/>
        <w:rPr>
          <w:sz w:val="20"/>
          <w:szCs w:val="20"/>
          <w:color w:val="auto"/>
        </w:rPr>
      </w:pPr>
    </w:p>
    <w:p>
      <w:pPr>
        <w:jc w:val="both"/>
        <w:ind w:left="1360"/>
        <w:spacing w:after="0" w:line="201" w:lineRule="auto"/>
        <w:rPr>
          <w:sz w:val="20"/>
          <w:szCs w:val="20"/>
          <w:color w:val="auto"/>
        </w:rPr>
      </w:pPr>
      <w:r>
        <w:rPr>
          <w:rFonts w:ascii="Calibri" w:cs="Calibri" w:eastAsia="Calibri" w:hAnsi="Calibri"/>
          <w:sz w:val="19"/>
          <w:szCs w:val="19"/>
          <w:i w:val="1"/>
          <w:iCs w:val="1"/>
          <w:color w:val="auto"/>
        </w:rPr>
        <w:t>La invitación que la Empresa hace en relación con el Plan es unilateral, discrecional y no se relaciona con el salario ni con otros benefcios que recibe el Empleado del Patrón por lo que ningún benefcio derivado del Plan será considerado bajo ninguna circunstancia como parte integral del salario del Empleado. La Empresa se reserva el derecho absoluto para modifcar o terminar el Plan en cualquier momento, sin incurrir en responsabilidad alguna. Esta invitación y, en caso del Empleado, la adquisición de valores de acciones, de ninguna manera establecen relación laboral alguna entre el Empleado y la Empresa y tampoco genera derecho alguno entre el Empleado y el Patrón.</w:t>
      </w:r>
    </w:p>
    <w:p>
      <w:pPr>
        <w:spacing w:after="0" w:line="130" w:lineRule="exact"/>
        <w:rPr>
          <w:sz w:val="20"/>
          <w:szCs w:val="20"/>
          <w:color w:val="auto"/>
        </w:rPr>
      </w:pPr>
    </w:p>
    <w:p>
      <w:pPr>
        <w:ind w:left="1360"/>
        <w:spacing w:after="0"/>
        <w:rPr>
          <w:sz w:val="20"/>
          <w:szCs w:val="20"/>
          <w:color w:val="auto"/>
        </w:rPr>
      </w:pPr>
      <w:r>
        <w:rPr>
          <w:rFonts w:ascii="Calibri" w:cs="Calibri" w:eastAsia="Calibri" w:hAnsi="Calibri"/>
          <w:sz w:val="19"/>
          <w:szCs w:val="19"/>
          <w:b w:val="1"/>
          <w:bCs w:val="1"/>
          <w:color w:val="auto"/>
        </w:rPr>
        <w:t>Securites Law Notce</w:t>
      </w:r>
    </w:p>
    <w:p>
      <w:pPr>
        <w:spacing w:after="0" w:line="71" w:lineRule="exact"/>
        <w:rPr>
          <w:sz w:val="20"/>
          <w:szCs w:val="20"/>
          <w:color w:val="auto"/>
        </w:rPr>
      </w:pPr>
    </w:p>
    <w:p>
      <w:pPr>
        <w:jc w:val="both"/>
        <w:ind w:left="1360"/>
        <w:spacing w:after="0" w:line="199" w:lineRule="auto"/>
        <w:rPr>
          <w:sz w:val="20"/>
          <w:szCs w:val="20"/>
          <w:color w:val="auto"/>
        </w:rPr>
      </w:pPr>
      <w:r>
        <w:rPr>
          <w:rFonts w:ascii="Calibri" w:cs="Calibri" w:eastAsia="Calibri" w:hAnsi="Calibri"/>
          <w:sz w:val="19"/>
          <w:szCs w:val="19"/>
          <w:color w:val="auto"/>
        </w:rPr>
        <w:t>Any Restricted Stock Units ofered under the Plan and the shares of Stock underlying the Restricted Stock Units have not been registered with the Natonal Register of Securites maintained by the Mexican Natonal Banking and Securites Commission and cannot be ofered or sold publicly in Mexico. In additon, the Plan and any other document relatng to any Restricted Stock Units may not be publicly distributed in Mexico. These materials are addressed to Employee only because of his or her existng relatonship with the Company and its Subsidiaries and afliated companies and these materials should not be reproduced or copied in any form. The ofer contained in these materials does not consttute a public ofering of securites but rather consttutes a private placement of securites addressed specifcally to individuals who are present employees of the Company or one of its Subsidiaries and afliated companies, made in accordance with the provisions of the Mexican Securites Market Law, and any rights under such ofering shall not be assigned or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137160</wp:posOffset>
            </wp:positionV>
            <wp:extent cx="65081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4">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ectPr>
          <w:pgSz w:w="11900" w:h="16838" w:orient="portrait"/>
          <w:cols w:equalWidth="0" w:num="1">
            <w:col w:w="10100"/>
          </w:cols>
          <w:pgMar w:left="400" w:top="360" w:right="1399" w:bottom="1440" w:gutter="0" w:footer="0" w:header="0"/>
        </w:sectPr>
      </w:pPr>
    </w:p>
    <w:bookmarkStart w:id="142" w:name="page143"/>
    <w:bookmarkEnd w:id="142"/>
    <w:p>
      <w:pPr>
        <w:spacing w:after="0"/>
        <w:tabs>
          <w:tab w:leader="none" w:pos="1340" w:val="left"/>
        </w:tabs>
        <w:rPr>
          <w:sz w:val="20"/>
          <w:szCs w:val="20"/>
          <w:color w:val="auto"/>
        </w:rPr>
      </w:pPr>
      <w:r>
        <w:rPr>
          <w:rFonts w:ascii="Calibri" w:cs="Calibri" w:eastAsia="Calibri" w:hAnsi="Calibri"/>
          <w:sz w:val="37"/>
          <w:szCs w:val="37"/>
          <w:b w:val="1"/>
          <w:bCs w:val="1"/>
          <w:color w:val="auto"/>
          <w:vertAlign w:val="subscript"/>
        </w:rPr>
        <w:t>New Zealand</w:t>
      </w:r>
      <w:r>
        <w:rPr>
          <w:sz w:val="20"/>
          <w:szCs w:val="20"/>
          <w:color w:val="auto"/>
        </w:rPr>
        <w:tab/>
      </w:r>
      <w:r>
        <w:rPr>
          <w:rFonts w:ascii="Calibri" w:cs="Calibri" w:eastAsia="Calibri" w:hAnsi="Calibri"/>
          <w:sz w:val="19"/>
          <w:szCs w:val="19"/>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-159385</wp:posOffset>
            </wp:positionV>
            <wp:extent cx="65081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5">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12" w:lineRule="exact"/>
        <w:rPr>
          <w:sz w:val="20"/>
          <w:szCs w:val="20"/>
          <w:color w:val="auto"/>
        </w:rPr>
      </w:pPr>
    </w:p>
    <w:p>
      <w:pPr>
        <w:jc w:val="both"/>
        <w:ind w:left="1360"/>
        <w:spacing w:after="0" w:line="207" w:lineRule="auto"/>
        <w:rPr>
          <w:sz w:val="20"/>
          <w:szCs w:val="20"/>
          <w:color w:val="auto"/>
        </w:rPr>
      </w:pPr>
      <w:r>
        <w:rPr>
          <w:rFonts w:ascii="Calibri" w:cs="Calibri" w:eastAsia="Calibri" w:hAnsi="Calibri"/>
          <w:sz w:val="19"/>
          <w:szCs w:val="19"/>
          <w:color w:val="auto"/>
        </w:rPr>
        <w:t>This is an ofer of Restricted Stock Units over shares of common stock of Halliburton Company (“Halliburton”). Halliburton shares give Employee a stake in the ownership of Halliburton. Employee may receive a return if dividends or dividend equivalents are paid. If Halliburton runs into fnancial difcultes and is wound up, Employee will be paid only afer all creditors and holders of preference shares have been paid. Employee may lose some or all of Employee’s investment. New Zealand law normally requires people who ofer fnancial products to give informaton to investors before they invest. This informaton is designed to help investors make an informed decision. The usual rules do not apply to this ofer because it is made under an employee share purchase scheme. As a result, Employee may not be given all the informaton usually required. Employee will also have fewer other legal protectons for this investment. Employee should ask questons, read all documents carefully, and seek independent fnancial advice before commitng himself or herself. The shares of Stock are quoted on the New York Stock Exchange. This means that if Employee acquires shares of Stock under the Plan, Employee may be able to sell them on the New York Stock Exchange if there are interested buyers. The price will depend on the demand for the shares of Stock. Employee is enttled to receive, free of charge, a copy of Halliburton’s latest annual report, fnancial statements and auditor’s report if Employee makes a request to Halliburton to receive a copy of those documents. Employee may obtain such informaton by sending an email to the Halliburton Equity Compensaton Department at FHALEquityComp@halliburton.com. Employee is hereby notfed that the documents listed below are available for Employee’s review on Halliburton’s external (www.halliburton.com) and/or internal sites (HALWorld); as well as via Employee’s Stock Plan Account:</w:t>
      </w:r>
    </w:p>
    <w:p>
      <w:pPr>
        <w:spacing w:after="0" w:line="119" w:lineRule="exact"/>
        <w:rPr>
          <w:sz w:val="20"/>
          <w:szCs w:val="20"/>
          <w:color w:val="auto"/>
        </w:rPr>
      </w:pPr>
    </w:p>
    <w:p>
      <w:pPr>
        <w:ind w:left="1960" w:hanging="291"/>
        <w:spacing w:after="0"/>
        <w:tabs>
          <w:tab w:leader="none" w:pos="1960" w:val="left"/>
        </w:tabs>
        <w:numPr>
          <w:ilvl w:val="0"/>
          <w:numId w:val="87"/>
        </w:numPr>
        <w:rPr>
          <w:rFonts w:ascii="Times New Roman" w:cs="Times New Roman" w:eastAsia="Times New Roman" w:hAnsi="Times New Roman"/>
          <w:sz w:val="19"/>
          <w:szCs w:val="19"/>
          <w:color w:val="auto"/>
        </w:rPr>
      </w:pPr>
      <w:r>
        <w:rPr>
          <w:rFonts w:ascii="Calibri" w:cs="Calibri" w:eastAsia="Calibri" w:hAnsi="Calibri"/>
          <w:sz w:val="19"/>
          <w:szCs w:val="19"/>
          <w:color w:val="auto"/>
        </w:rPr>
        <w:t>Halliburton’s most recent Annual Report (Form 10-K)</w:t>
      </w:r>
    </w:p>
    <w:p>
      <w:pPr>
        <w:spacing w:after="0" w:line="13" w:lineRule="exact"/>
        <w:rPr>
          <w:rFonts w:ascii="Times New Roman" w:cs="Times New Roman" w:eastAsia="Times New Roman" w:hAnsi="Times New Roman"/>
          <w:sz w:val="19"/>
          <w:szCs w:val="19"/>
          <w:color w:val="auto"/>
        </w:rPr>
      </w:pPr>
    </w:p>
    <w:p>
      <w:pPr>
        <w:ind w:left="1960" w:hanging="291"/>
        <w:spacing w:after="0"/>
        <w:tabs>
          <w:tab w:leader="none" w:pos="1960" w:val="left"/>
        </w:tabs>
        <w:numPr>
          <w:ilvl w:val="0"/>
          <w:numId w:val="87"/>
        </w:numPr>
        <w:rPr>
          <w:rFonts w:ascii="Times New Roman" w:cs="Times New Roman" w:eastAsia="Times New Roman" w:hAnsi="Times New Roman"/>
          <w:sz w:val="19"/>
          <w:szCs w:val="19"/>
          <w:color w:val="auto"/>
        </w:rPr>
      </w:pPr>
      <w:r>
        <w:rPr>
          <w:rFonts w:ascii="Calibri" w:cs="Calibri" w:eastAsia="Calibri" w:hAnsi="Calibri"/>
          <w:sz w:val="19"/>
          <w:szCs w:val="19"/>
          <w:color w:val="auto"/>
        </w:rPr>
        <w:t>Halliburton’s most recent published fnancial statements</w:t>
      </w:r>
    </w:p>
    <w:p>
      <w:pPr>
        <w:spacing w:after="0" w:line="10" w:lineRule="exact"/>
        <w:rPr>
          <w:rFonts w:ascii="Times New Roman" w:cs="Times New Roman" w:eastAsia="Times New Roman" w:hAnsi="Times New Roman"/>
          <w:sz w:val="19"/>
          <w:szCs w:val="19"/>
          <w:color w:val="auto"/>
        </w:rPr>
      </w:pPr>
    </w:p>
    <w:p>
      <w:pPr>
        <w:ind w:left="1960" w:hanging="291"/>
        <w:spacing w:after="0" w:line="229" w:lineRule="auto"/>
        <w:tabs>
          <w:tab w:leader="none" w:pos="1960" w:val="left"/>
        </w:tabs>
        <w:numPr>
          <w:ilvl w:val="0"/>
          <w:numId w:val="87"/>
        </w:numPr>
        <w:rPr>
          <w:rFonts w:ascii="Times New Roman" w:cs="Times New Roman" w:eastAsia="Times New Roman" w:hAnsi="Times New Roman"/>
          <w:sz w:val="19"/>
          <w:szCs w:val="19"/>
          <w:color w:val="auto"/>
        </w:rPr>
      </w:pPr>
      <w:r>
        <w:rPr>
          <w:rFonts w:ascii="Calibri" w:cs="Calibri" w:eastAsia="Calibri" w:hAnsi="Calibri"/>
          <w:sz w:val="19"/>
          <w:szCs w:val="19"/>
          <w:color w:val="auto"/>
        </w:rPr>
        <w:t>The Plan Document</w:t>
      </w:r>
    </w:p>
    <w:p>
      <w:pPr>
        <w:spacing w:after="0" w:line="13" w:lineRule="exact"/>
        <w:rPr>
          <w:rFonts w:ascii="Times New Roman" w:cs="Times New Roman" w:eastAsia="Times New Roman" w:hAnsi="Times New Roman"/>
          <w:sz w:val="19"/>
          <w:szCs w:val="19"/>
          <w:color w:val="auto"/>
        </w:rPr>
      </w:pPr>
    </w:p>
    <w:p>
      <w:pPr>
        <w:ind w:left="1960" w:hanging="291"/>
        <w:spacing w:after="0"/>
        <w:tabs>
          <w:tab w:leader="none" w:pos="1960" w:val="left"/>
        </w:tabs>
        <w:numPr>
          <w:ilvl w:val="0"/>
          <w:numId w:val="87"/>
        </w:numPr>
        <w:rPr>
          <w:rFonts w:ascii="Times New Roman" w:cs="Times New Roman" w:eastAsia="Times New Roman" w:hAnsi="Times New Roman"/>
          <w:sz w:val="19"/>
          <w:szCs w:val="19"/>
          <w:color w:val="auto"/>
        </w:rPr>
      </w:pPr>
      <w:r>
        <w:rPr>
          <w:rFonts w:ascii="Calibri" w:cs="Calibri" w:eastAsia="Calibri" w:hAnsi="Calibri"/>
          <w:sz w:val="19"/>
          <w:szCs w:val="19"/>
          <w:color w:val="auto"/>
        </w:rPr>
        <w:t>The Plan Prospectus</w:t>
      </w:r>
    </w:p>
    <w:p>
      <w:pPr>
        <w:spacing w:after="0" w:line="13" w:lineRule="exact"/>
        <w:rPr>
          <w:rFonts w:ascii="Times New Roman" w:cs="Times New Roman" w:eastAsia="Times New Roman" w:hAnsi="Times New Roman"/>
          <w:sz w:val="19"/>
          <w:szCs w:val="19"/>
          <w:color w:val="auto"/>
        </w:rPr>
      </w:pPr>
    </w:p>
    <w:p>
      <w:pPr>
        <w:ind w:left="1980" w:hanging="311"/>
        <w:spacing w:after="0"/>
        <w:tabs>
          <w:tab w:leader="none" w:pos="1980" w:val="left"/>
        </w:tabs>
        <w:numPr>
          <w:ilvl w:val="0"/>
          <w:numId w:val="87"/>
        </w:numPr>
        <w:rPr>
          <w:rFonts w:ascii="Calibri" w:cs="Calibri" w:eastAsia="Calibri" w:hAnsi="Calibri"/>
          <w:sz w:val="19"/>
          <w:szCs w:val="19"/>
          <w:color w:val="auto"/>
        </w:rPr>
      </w:pPr>
      <w:r>
        <w:rPr>
          <w:rFonts w:ascii="Calibri" w:cs="Calibri" w:eastAsia="Calibri" w:hAnsi="Calibri"/>
          <w:sz w:val="19"/>
          <w:szCs w:val="19"/>
          <w:color w:val="auto"/>
        </w:rPr>
        <w:t>The Agreement (of which this Addendum is a part) - available only via Employee 's Stock Plan Account</w:t>
      </w:r>
    </w:p>
    <w:p>
      <w:pPr>
        <w:spacing w:after="0" w:line="185" w:lineRule="auto"/>
        <w:tabs>
          <w:tab w:leader="none" w:pos="1340" w:val="left"/>
        </w:tabs>
        <w:rPr>
          <w:sz w:val="20"/>
          <w:szCs w:val="20"/>
          <w:color w:val="auto"/>
        </w:rPr>
      </w:pPr>
      <w:r>
        <w:rPr>
          <w:rFonts w:ascii="Calibri" w:cs="Calibri" w:eastAsia="Calibri" w:hAnsi="Calibri"/>
          <w:sz w:val="28"/>
          <w:szCs w:val="28"/>
          <w:b w:val="1"/>
          <w:bCs w:val="1"/>
          <w:color w:val="auto"/>
          <w:vertAlign w:val="subscript"/>
        </w:rPr>
        <w:t>Oman</w:t>
      </w:r>
      <w:r>
        <w:rPr>
          <w:sz w:val="20"/>
          <w:szCs w:val="20"/>
          <w:color w:val="auto"/>
        </w:rPr>
        <w:tab/>
      </w:r>
      <w:r>
        <w:rPr>
          <w:rFonts w:ascii="Calibri" w:cs="Calibri" w:eastAsia="Calibri" w:hAnsi="Calibri"/>
          <w:sz w:val="16"/>
          <w:szCs w:val="16"/>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-24130</wp:posOffset>
            </wp:positionV>
            <wp:extent cx="65081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6">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226" w:lineRule="exact"/>
        <w:rPr>
          <w:sz w:val="20"/>
          <w:szCs w:val="20"/>
          <w:color w:val="auto"/>
        </w:rPr>
      </w:pPr>
    </w:p>
    <w:p>
      <w:pPr>
        <w:jc w:val="both"/>
        <w:ind w:left="1360"/>
        <w:spacing w:after="0" w:line="205" w:lineRule="auto"/>
        <w:rPr>
          <w:sz w:val="20"/>
          <w:szCs w:val="20"/>
          <w:color w:val="auto"/>
        </w:rPr>
      </w:pPr>
      <w:r>
        <w:rPr>
          <w:rFonts w:ascii="Calibri" w:cs="Calibri" w:eastAsia="Calibri" w:hAnsi="Calibri"/>
          <w:sz w:val="19"/>
          <w:szCs w:val="19"/>
          <w:color w:val="auto"/>
        </w:rPr>
        <w:t>The Plan does not consttute the marketng or ofering of securites in Oman and consequently has not been registered or approved by the Central Bank of Oman, the Omani Ministry of Commerce and Industry, the Omani Capital Market Authority or any other authority in the Sultanate of Oman. Oferings under the Plan are being made only to eligible employees of the Company and its Subsidiaries or afliated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85725</wp:posOffset>
            </wp:positionV>
            <wp:extent cx="65081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7">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ectPr>
          <w:pgSz w:w="11900" w:h="16838" w:orient="portrait"/>
          <w:cols w:equalWidth="0" w:num="1">
            <w:col w:w="10100"/>
          </w:cols>
          <w:pgMar w:left="400" w:top="585" w:right="1399" w:bottom="1440" w:gutter="0" w:footer="0" w:header="0"/>
        </w:sectPr>
      </w:pPr>
    </w:p>
    <w:bookmarkStart w:id="143" w:name="page144"/>
    <w:bookmarkEnd w:id="143"/>
    <w:p>
      <w:pPr>
        <w:spacing w:after="0"/>
        <w:tabs>
          <w:tab w:leader="none" w:pos="1340" w:val="left"/>
        </w:tabs>
        <w:rPr>
          <w:sz w:val="20"/>
          <w:szCs w:val="20"/>
          <w:color w:val="auto"/>
        </w:rPr>
      </w:pPr>
      <w:r>
        <w:rPr>
          <w:rFonts w:ascii="Calibri" w:cs="Calibri" w:eastAsia="Calibri" w:hAnsi="Calibri"/>
          <w:sz w:val="38"/>
          <w:szCs w:val="38"/>
          <w:b w:val="1"/>
          <w:bCs w:val="1"/>
          <w:color w:val="auto"/>
          <w:vertAlign w:val="subscript"/>
        </w:rPr>
        <w:t>Pakistan</w:t>
      </w:r>
      <w:r>
        <w:rPr>
          <w:sz w:val="20"/>
          <w:szCs w:val="20"/>
          <w:color w:val="auto"/>
        </w:rPr>
        <w:tab/>
      </w:r>
      <w:r>
        <w:rPr>
          <w:rFonts w:ascii="Calibri" w:cs="Calibri" w:eastAsia="Calibri" w:hAnsi="Calibri"/>
          <w:sz w:val="19"/>
          <w:szCs w:val="19"/>
          <w:b w:val="1"/>
          <w:bCs w:val="1"/>
          <w:color w:val="auto"/>
        </w:rPr>
        <w:t>Exchange Control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65081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8">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225" w:lineRule="exact"/>
        <w:rPr>
          <w:sz w:val="20"/>
          <w:szCs w:val="20"/>
          <w:color w:val="auto"/>
        </w:rPr>
      </w:pPr>
    </w:p>
    <w:p>
      <w:pPr>
        <w:jc w:val="both"/>
        <w:ind w:left="1360"/>
        <w:spacing w:after="0" w:line="199" w:lineRule="auto"/>
        <w:rPr>
          <w:sz w:val="20"/>
          <w:szCs w:val="20"/>
          <w:color w:val="auto"/>
        </w:rPr>
      </w:pPr>
      <w:r>
        <w:rPr>
          <w:rFonts w:ascii="Calibri" w:cs="Calibri" w:eastAsia="Calibri" w:hAnsi="Calibri"/>
          <w:sz w:val="19"/>
          <w:szCs w:val="19"/>
          <w:color w:val="auto"/>
        </w:rPr>
        <w:t>Employee’s partcipaton in the Plan may be subject to certain terms and conditons imposed by the State Bank of Pakistan. Employee is required to immediately repatriate to Pakistan the proceeds from any dividends or from the sale of shares of Stock. Employee may be required to register ownership of foreign shares with the State Bank of Pakistan using the prescribed Form V-100. Employee should consult Employee’s personal advisor prior to repatriaton of any proceeds from dividends or from the sale of shares of Stock to ensure compliance with applicable exchange control regulatons in Pakistan, as such regulatons are subject to change. Please note that Employee should keep copies of any documents, certfcates or invoices involving foreign currency transactons in connecton with Employee’s partcipaton in the Plan. Employee personally is responsible for ensuring compliance with all exchange control laws in Pakistan.</w:t>
      </w:r>
    </w:p>
    <w:p>
      <w:pPr>
        <w:spacing w:after="0" w:line="68" w:lineRule="exact"/>
        <w:rPr>
          <w:sz w:val="20"/>
          <w:szCs w:val="20"/>
          <w:color w:val="auto"/>
        </w:rPr>
      </w:pPr>
    </w:p>
    <w:p>
      <w:pPr>
        <w:ind w:left="1360"/>
        <w:spacing w:after="0"/>
        <w:rPr>
          <w:sz w:val="20"/>
          <w:szCs w:val="20"/>
          <w:color w:val="auto"/>
        </w:rPr>
      </w:pPr>
      <w:r>
        <w:rPr>
          <w:rFonts w:ascii="Calibri" w:cs="Calibri" w:eastAsia="Calibri" w:hAnsi="Calibri"/>
          <w:sz w:val="19"/>
          <w:szCs w:val="19"/>
          <w:b w:val="1"/>
          <w:bCs w:val="1"/>
          <w:color w:val="auto"/>
        </w:rPr>
        <w:t>Foreign Asset/Account Reportng Informaton</w:t>
      </w:r>
    </w:p>
    <w:p>
      <w:pPr>
        <w:spacing w:after="0" w:line="58" w:lineRule="exact"/>
        <w:rPr>
          <w:sz w:val="20"/>
          <w:szCs w:val="20"/>
          <w:color w:val="auto"/>
        </w:rPr>
      </w:pPr>
    </w:p>
    <w:p>
      <w:pPr>
        <w:jc w:val="both"/>
        <w:ind w:left="1360" w:right="20"/>
        <w:spacing w:after="0" w:line="211" w:lineRule="auto"/>
        <w:rPr>
          <w:sz w:val="20"/>
          <w:szCs w:val="20"/>
          <w:color w:val="auto"/>
        </w:rPr>
      </w:pPr>
      <w:r>
        <w:rPr>
          <w:rFonts w:ascii="Calibri" w:cs="Calibri" w:eastAsia="Calibri" w:hAnsi="Calibri"/>
          <w:sz w:val="19"/>
          <w:szCs w:val="19"/>
          <w:color w:val="auto"/>
        </w:rPr>
        <w:t>Residents are required to fle a wealth statement in additon to a tax return, by declaring all assets (local and foreign). In additon, a separate statement for assets held abroad may also be required to be fled. Employee is personally responsible to ensure any such declaratons are made, if applicable.</w:t>
      </w:r>
    </w:p>
    <w:p>
      <w:pPr>
        <w:spacing w:after="0" w:line="59" w:lineRule="exact"/>
        <w:rPr>
          <w:sz w:val="20"/>
          <w:szCs w:val="20"/>
          <w:color w:val="auto"/>
        </w:rPr>
      </w:pPr>
    </w:p>
    <w:p>
      <w:pPr>
        <w:jc w:val="both"/>
        <w:ind w:left="1360"/>
        <w:spacing w:after="0"/>
        <w:rPr>
          <w:sz w:val="20"/>
          <w:szCs w:val="20"/>
          <w:color w:val="auto"/>
        </w:rPr>
      </w:pPr>
      <w:r>
        <w:rPr>
          <w:rFonts w:ascii="Calibri" w:cs="Calibri" w:eastAsia="Calibri" w:hAnsi="Calibri"/>
          <w:sz w:val="19"/>
          <w:szCs w:val="19"/>
          <w:color w:val="auto"/>
        </w:rPr>
        <w:t>If the total value of foreign assets on the last day of the tax year in aggregate exceeds a certain threshold, Pakistani residents may be subject to the capital value tax levied under Secton 8 of the Finance Act, 2022. Employee should consult with Employee's personal tax advisor regarding the applicability of the capital value tax.</w:t>
      </w:r>
    </w:p>
    <w:p>
      <w:pPr>
        <w:spacing w:after="0" w:line="181" w:lineRule="auto"/>
        <w:tabs>
          <w:tab w:leader="none" w:pos="1340" w:val="left"/>
        </w:tabs>
        <w:rPr>
          <w:sz w:val="20"/>
          <w:szCs w:val="20"/>
          <w:color w:val="auto"/>
        </w:rPr>
      </w:pPr>
      <w:r>
        <w:rPr>
          <w:rFonts w:ascii="Calibri" w:cs="Calibri" w:eastAsia="Calibri" w:hAnsi="Calibri"/>
          <w:sz w:val="35"/>
          <w:szCs w:val="35"/>
          <w:b w:val="1"/>
          <w:bCs w:val="1"/>
          <w:color w:val="auto"/>
          <w:vertAlign w:val="subscript"/>
        </w:rPr>
        <w:t>Panama</w:t>
      </w:r>
      <w:r>
        <w:rPr>
          <w:sz w:val="20"/>
          <w:szCs w:val="20"/>
          <w:color w:val="auto"/>
        </w:rPr>
        <w:tab/>
      </w:r>
      <w:r>
        <w:rPr>
          <w:rFonts w:ascii="Calibri" w:cs="Calibri" w:eastAsia="Calibri" w:hAnsi="Calibri"/>
          <w:sz w:val="18"/>
          <w:szCs w:val="18"/>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-48895</wp:posOffset>
            </wp:positionV>
            <wp:extent cx="65081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9">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187" w:lineRule="exact"/>
        <w:rPr>
          <w:sz w:val="20"/>
          <w:szCs w:val="20"/>
          <w:color w:val="auto"/>
        </w:rPr>
      </w:pPr>
    </w:p>
    <w:p>
      <w:pPr>
        <w:jc w:val="both"/>
        <w:ind w:left="1360"/>
        <w:spacing w:after="0"/>
        <w:rPr>
          <w:sz w:val="20"/>
          <w:szCs w:val="20"/>
          <w:color w:val="auto"/>
        </w:rPr>
      </w:pPr>
      <w:r>
        <w:rPr>
          <w:rFonts w:ascii="Calibri" w:cs="Calibri" w:eastAsia="Calibri" w:hAnsi="Calibri"/>
          <w:sz w:val="19"/>
          <w:szCs w:val="19"/>
          <w:color w:val="auto"/>
        </w:rPr>
        <w:t>The Restricted Stock Units and the shares of Stock underlying the Restricted Stock Units do not consttute a public ofering of securites, as they are available only to employees of the Company and its Subsidiaries and afliated companies, and the ofer is not subject to the protectons established by the Panamanian securites laws.</w:t>
      </w:r>
    </w:p>
    <w:p>
      <w:pPr>
        <w:sectPr>
          <w:pgSz w:w="11900" w:h="16838" w:orient="portrait"/>
          <w:cols w:equalWidth="0" w:num="1">
            <w:col w:w="10100"/>
          </w:cols>
          <w:pgMar w:left="400" w:top="360" w:right="1399" w:bottom="1440" w:gutter="0" w:footer="0" w:header="0"/>
        </w:sectPr>
      </w:pPr>
    </w:p>
    <w:p>
      <w:pPr>
        <w:spacing w:after="0" w:line="258" w:lineRule="exact"/>
        <w:rPr>
          <w:sz w:val="20"/>
          <w:szCs w:val="20"/>
          <w:color w:val="auto"/>
        </w:rPr>
      </w:pPr>
    </w:p>
    <w:p>
      <w:pPr>
        <w:spacing w:after="0" w:line="260" w:lineRule="auto"/>
        <w:rPr>
          <w:sz w:val="20"/>
          <w:szCs w:val="20"/>
          <w:color w:val="auto"/>
        </w:rPr>
      </w:pPr>
      <w:r>
        <w:rPr>
          <w:rFonts w:ascii="Calibri" w:cs="Calibri" w:eastAsia="Calibri" w:hAnsi="Calibri"/>
          <w:sz w:val="19"/>
          <w:szCs w:val="19"/>
          <w:b w:val="1"/>
          <w:bCs w:val="1"/>
          <w:color w:val="auto"/>
        </w:rPr>
        <w:t>Papua New Guinea</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Foreign Exchange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-135255</wp:posOffset>
            </wp:positionV>
            <wp:extent cx="65081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0">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51" w:lineRule="exact"/>
        <w:rPr>
          <w:sz w:val="20"/>
          <w:szCs w:val="20"/>
          <w:color w:val="auto"/>
        </w:rPr>
      </w:pPr>
    </w:p>
    <w:p>
      <w:pPr>
        <w:jc w:val="both"/>
        <w:spacing w:after="0" w:line="205" w:lineRule="auto"/>
        <w:rPr>
          <w:sz w:val="20"/>
          <w:szCs w:val="20"/>
          <w:color w:val="auto"/>
        </w:rPr>
      </w:pPr>
      <w:r>
        <w:rPr>
          <w:rFonts w:ascii="Calibri" w:cs="Calibri" w:eastAsia="Calibri" w:hAnsi="Calibri"/>
          <w:sz w:val="19"/>
          <w:szCs w:val="19"/>
          <w:color w:val="auto"/>
        </w:rPr>
        <w:t>Before receiving funds from the sale of any securites abroad, Employee will need to apply for and receive an Income Tax Clearance Certfcate from the taxaton authorites in Papua New Guinea, which Employee must then lodge with the appropriate Bank of Papua New Guinea notfcaton form with the commercial bank in which the transacton takes place.</w:t>
      </w:r>
    </w:p>
    <w:p>
      <w:pPr>
        <w:spacing w:after="0" w:line="1" w:lineRule="exact"/>
        <w:rPr>
          <w:sz w:val="20"/>
          <w:szCs w:val="20"/>
          <w:color w:val="auto"/>
        </w:rPr>
      </w:pPr>
    </w:p>
    <w:p>
      <w:pPr>
        <w:sectPr>
          <w:pgSz w:w="11900" w:h="16838" w:orient="portrait"/>
          <w:cols w:equalWidth="0" w:num="2">
            <w:col w:w="900" w:space="460"/>
            <w:col w:w="8740"/>
          </w:cols>
          <w:pgMar w:left="400" w:top="360" w:right="1399" w:bottom="1440" w:gutter="0" w:footer="0" w:header="0"/>
          <w:type w:val="continuous"/>
        </w:sectPr>
      </w:pPr>
    </w:p>
    <w:p>
      <w:pPr>
        <w:spacing w:after="0" w:line="185" w:lineRule="auto"/>
        <w:tabs>
          <w:tab w:leader="none" w:pos="1340" w:val="left"/>
        </w:tabs>
        <w:rPr>
          <w:sz w:val="20"/>
          <w:szCs w:val="20"/>
          <w:color w:val="auto"/>
        </w:rPr>
      </w:pPr>
      <w:r>
        <w:rPr>
          <w:rFonts w:ascii="Calibri" w:cs="Calibri" w:eastAsia="Calibri" w:hAnsi="Calibri"/>
          <w:sz w:val="24"/>
          <w:szCs w:val="24"/>
          <w:b w:val="1"/>
          <w:bCs w:val="1"/>
          <w:color w:val="auto"/>
          <w:vertAlign w:val="subscript"/>
        </w:rPr>
        <w:t>Peru</w:t>
      </w:r>
      <w:r>
        <w:rPr>
          <w:sz w:val="20"/>
          <w:szCs w:val="20"/>
          <w:color w:val="auto"/>
        </w:rPr>
        <w:tab/>
      </w:r>
      <w:r>
        <w:rPr>
          <w:rFonts w:ascii="Calibri" w:cs="Calibri" w:eastAsia="Calibri" w:hAnsi="Calibri"/>
          <w:sz w:val="14"/>
          <w:szCs w:val="14"/>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-57150</wp:posOffset>
            </wp:positionV>
            <wp:extent cx="65081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1">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174" w:lineRule="exact"/>
        <w:rPr>
          <w:sz w:val="20"/>
          <w:szCs w:val="20"/>
          <w:color w:val="auto"/>
        </w:rPr>
      </w:pPr>
    </w:p>
    <w:p>
      <w:pPr>
        <w:jc w:val="both"/>
        <w:ind w:left="1360"/>
        <w:spacing w:after="0" w:line="201" w:lineRule="auto"/>
        <w:rPr>
          <w:sz w:val="20"/>
          <w:szCs w:val="20"/>
          <w:color w:val="auto"/>
        </w:rPr>
      </w:pPr>
      <w:r>
        <w:rPr>
          <w:rFonts w:ascii="Calibri" w:cs="Calibri" w:eastAsia="Calibri" w:hAnsi="Calibri"/>
          <w:sz w:val="19"/>
          <w:szCs w:val="19"/>
          <w:color w:val="auto"/>
        </w:rPr>
        <w:t>The ofer of Restricted Stock Units is considered a private ofering in Peru and therefore is not subject to registraton. For more informaton concerning this ofer, please refer to the Plan, the Agreement and any other grant documents made available by the Company. For more informaton regarding the Company, please refer to the Company’s most recent annual report on Form 10-K and quarterly report on Form 10-Q available at www.sec.gov.</w:t>
      </w:r>
    </w:p>
    <w:p>
      <w:pPr>
        <w:spacing w:after="0" w:line="186" w:lineRule="auto"/>
        <w:tabs>
          <w:tab w:leader="none" w:pos="1340" w:val="left"/>
        </w:tabs>
        <w:rPr>
          <w:sz w:val="20"/>
          <w:szCs w:val="20"/>
          <w:color w:val="auto"/>
        </w:rPr>
      </w:pPr>
      <w:r>
        <w:rPr>
          <w:rFonts w:ascii="Calibri" w:cs="Calibri" w:eastAsia="Calibri" w:hAnsi="Calibri"/>
          <w:sz w:val="24"/>
          <w:szCs w:val="24"/>
          <w:b w:val="1"/>
          <w:bCs w:val="1"/>
          <w:color w:val="auto"/>
          <w:vertAlign w:val="subscript"/>
        </w:rPr>
        <w:t>Poland</w:t>
      </w:r>
      <w:r>
        <w:rPr>
          <w:sz w:val="20"/>
          <w:szCs w:val="20"/>
          <w:color w:val="auto"/>
        </w:rPr>
        <w:tab/>
      </w:r>
      <w:r>
        <w:rPr>
          <w:rFonts w:ascii="Calibri" w:cs="Calibri" w:eastAsia="Calibri" w:hAnsi="Calibri"/>
          <w:sz w:val="14"/>
          <w:szCs w:val="14"/>
          <w:b w:val="1"/>
          <w:bCs w:val="1"/>
          <w:color w:val="auto"/>
        </w:rPr>
        <w:t>Foreign Ownership Reportng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-48260</wp:posOffset>
            </wp:positionV>
            <wp:extent cx="65081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2">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187" w:lineRule="exact"/>
        <w:rPr>
          <w:sz w:val="20"/>
          <w:szCs w:val="20"/>
          <w:color w:val="auto"/>
        </w:rPr>
      </w:pPr>
    </w:p>
    <w:p>
      <w:pPr>
        <w:jc w:val="both"/>
        <w:ind w:left="1360"/>
        <w:spacing w:after="0" w:line="205" w:lineRule="auto"/>
        <w:rPr>
          <w:sz w:val="20"/>
          <w:szCs w:val="20"/>
          <w:color w:val="auto"/>
        </w:rPr>
      </w:pPr>
      <w:r>
        <w:rPr>
          <w:rFonts w:ascii="Calibri" w:cs="Calibri" w:eastAsia="Calibri" w:hAnsi="Calibri"/>
          <w:sz w:val="19"/>
          <w:szCs w:val="19"/>
          <w:color w:val="auto"/>
        </w:rPr>
        <w:t>If Employee is a Polish resident, Employee is required to fle quarterly reports with the Natonal Bank of Poland that include informaton on transactons and balances regarding Employee’s rights to shares of Stock (such as Restricted Stock Units) and shares of Stock if the total value (calculated individually or together with other assets and liabilites possessed abroad) exceeds a specifed threshold (currently PLN seven (7) million).</w:t>
      </w:r>
    </w:p>
    <w:p>
      <w:pPr>
        <w:spacing w:after="0" w:line="52" w:lineRule="exact"/>
        <w:rPr>
          <w:sz w:val="20"/>
          <w:szCs w:val="20"/>
          <w:color w:val="auto"/>
        </w:rPr>
      </w:pPr>
    </w:p>
    <w:p>
      <w:pPr>
        <w:ind w:left="1360"/>
        <w:spacing w:after="0"/>
        <w:rPr>
          <w:sz w:val="20"/>
          <w:szCs w:val="20"/>
          <w:color w:val="auto"/>
        </w:rPr>
      </w:pPr>
      <w:r>
        <w:rPr>
          <w:rFonts w:ascii="Calibri" w:cs="Calibri" w:eastAsia="Calibri" w:hAnsi="Calibri"/>
          <w:sz w:val="19"/>
          <w:szCs w:val="19"/>
          <w:b w:val="1"/>
          <w:bCs w:val="1"/>
          <w:color w:val="auto"/>
        </w:rPr>
        <w:t>Foreign Exchange Informaton</w:t>
      </w:r>
    </w:p>
    <w:p>
      <w:pPr>
        <w:spacing w:after="0" w:line="71" w:lineRule="exact"/>
        <w:rPr>
          <w:sz w:val="20"/>
          <w:szCs w:val="20"/>
          <w:color w:val="auto"/>
        </w:rPr>
      </w:pPr>
    </w:p>
    <w:p>
      <w:pPr>
        <w:jc w:val="both"/>
        <w:ind w:left="1360"/>
        <w:spacing w:after="0" w:line="204" w:lineRule="auto"/>
        <w:rPr>
          <w:sz w:val="20"/>
          <w:szCs w:val="20"/>
          <w:color w:val="auto"/>
        </w:rPr>
      </w:pPr>
      <w:r>
        <w:rPr>
          <w:rFonts w:ascii="Calibri" w:cs="Calibri" w:eastAsia="Calibri" w:hAnsi="Calibri"/>
          <w:sz w:val="19"/>
          <w:szCs w:val="19"/>
          <w:color w:val="auto"/>
        </w:rPr>
        <w:t>Employee is required to transfer funds through a bank account in Poland if the transferred amount in any single transacton exceeds a specifed threshold (currently EUR 15,000) . Employee also is required to retain documents connected with foreign exchange transactons for a period of fve (5) years, calculated from the end of the year in which the exchange transacton was made. Employee is personally responsible for complying with applicable exchange control requirements in Poland.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85725</wp:posOffset>
            </wp:positionV>
            <wp:extent cx="65081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3">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ectPr>
          <w:pgSz w:w="11900" w:h="16838" w:orient="portrait"/>
          <w:cols w:equalWidth="0" w:num="1">
            <w:col w:w="10100"/>
          </w:cols>
          <w:pgMar w:left="400" w:top="360" w:right="1399" w:bottom="1440" w:gutter="0" w:footer="0" w:header="0"/>
          <w:type w:val="continuous"/>
        </w:sectPr>
      </w:pPr>
    </w:p>
    <w:bookmarkStart w:id="144" w:name="page145"/>
    <w:bookmarkEnd w:id="144"/>
    <w:p>
      <w:pPr>
        <w:spacing w:after="0"/>
        <w:tabs>
          <w:tab w:leader="none" w:pos="1340" w:val="left"/>
        </w:tabs>
        <w:rPr>
          <w:sz w:val="20"/>
          <w:szCs w:val="20"/>
          <w:color w:val="auto"/>
        </w:rPr>
      </w:pPr>
      <w:r>
        <w:rPr>
          <w:rFonts w:ascii="Calibri" w:cs="Calibri" w:eastAsia="Calibri" w:hAnsi="Calibri"/>
          <w:sz w:val="38"/>
          <w:szCs w:val="38"/>
          <w:b w:val="1"/>
          <w:bCs w:val="1"/>
          <w:color w:val="auto"/>
          <w:vertAlign w:val="subscript"/>
        </w:rPr>
        <w:t>Romania</w:t>
      </w:r>
      <w:r>
        <w:rPr>
          <w:sz w:val="20"/>
          <w:szCs w:val="20"/>
          <w:color w:val="auto"/>
        </w:rPr>
        <w:tab/>
      </w:r>
      <w:r>
        <w:rPr>
          <w:rFonts w:ascii="Calibri" w:cs="Calibri" w:eastAsia="Calibri" w:hAnsi="Calibri"/>
          <w:sz w:val="19"/>
          <w:szCs w:val="19"/>
          <w:b w:val="1"/>
          <w:bCs w:val="1"/>
          <w:color w:val="auto"/>
        </w:rPr>
        <w:t>Foreign Exchange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65081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4">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225" w:lineRule="exact"/>
        <w:rPr>
          <w:sz w:val="20"/>
          <w:szCs w:val="20"/>
          <w:color w:val="auto"/>
        </w:rPr>
      </w:pPr>
    </w:p>
    <w:p>
      <w:pPr>
        <w:jc w:val="both"/>
        <w:ind w:left="1360"/>
        <w:spacing w:after="0"/>
        <w:rPr>
          <w:sz w:val="20"/>
          <w:szCs w:val="20"/>
          <w:color w:val="auto"/>
        </w:rPr>
      </w:pPr>
      <w:r>
        <w:rPr>
          <w:rFonts w:ascii="Calibri" w:cs="Calibri" w:eastAsia="Calibri" w:hAnsi="Calibri"/>
          <w:sz w:val="19"/>
          <w:szCs w:val="19"/>
          <w:color w:val="auto"/>
        </w:rPr>
        <w:t>If Employee deposits the proceeds from the sale of shares of Stock in a bank account in Romania, Employee may be required to provide the Romanian bank with appropriate documentaton explaining the source of the funds. Employee is personally responsible for complying with applicable exchange control requirements in Romania.</w:t>
      </w:r>
    </w:p>
    <w:p>
      <w:pPr>
        <w:spacing w:after="0" w:line="181" w:lineRule="auto"/>
        <w:tabs>
          <w:tab w:leader="none" w:pos="1340" w:val="left"/>
        </w:tabs>
        <w:rPr>
          <w:sz w:val="20"/>
          <w:szCs w:val="20"/>
          <w:color w:val="auto"/>
        </w:rPr>
      </w:pPr>
      <w:r>
        <w:rPr>
          <w:rFonts w:ascii="Calibri" w:cs="Calibri" w:eastAsia="Calibri" w:hAnsi="Calibri"/>
          <w:sz w:val="35"/>
          <w:szCs w:val="35"/>
          <w:b w:val="1"/>
          <w:bCs w:val="1"/>
          <w:color w:val="auto"/>
          <w:vertAlign w:val="subscript"/>
        </w:rPr>
        <w:t>Russia</w:t>
      </w:r>
      <w:r>
        <w:rPr>
          <w:sz w:val="20"/>
          <w:szCs w:val="20"/>
          <w:color w:val="auto"/>
        </w:rPr>
        <w:tab/>
      </w:r>
      <w:r>
        <w:rPr>
          <w:rFonts w:ascii="Calibri" w:cs="Calibri" w:eastAsia="Calibri" w:hAnsi="Calibri"/>
          <w:sz w:val="18"/>
          <w:szCs w:val="18"/>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-57150</wp:posOffset>
            </wp:positionV>
            <wp:extent cx="65081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5">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174" w:lineRule="exact"/>
        <w:rPr>
          <w:sz w:val="20"/>
          <w:szCs w:val="20"/>
          <w:color w:val="auto"/>
        </w:rPr>
      </w:pPr>
    </w:p>
    <w:p>
      <w:pPr>
        <w:jc w:val="both"/>
        <w:ind w:left="1360"/>
        <w:spacing w:after="0" w:line="201" w:lineRule="auto"/>
        <w:rPr>
          <w:sz w:val="20"/>
          <w:szCs w:val="20"/>
          <w:color w:val="auto"/>
        </w:rPr>
      </w:pPr>
      <w:r>
        <w:rPr>
          <w:rFonts w:ascii="Calibri" w:cs="Calibri" w:eastAsia="Calibri" w:hAnsi="Calibri"/>
          <w:sz w:val="19"/>
          <w:szCs w:val="19"/>
          <w:color w:val="auto"/>
        </w:rPr>
        <w:t>Neither this ofer nor the distributon of related documentaton consttutes the public circulaton of securites in Russia. Employee will receive shares of Stock in a brokerage account held in Employee’s name outside of Russia, but a stock certfcate will not be issued to Employee. Employee agrees to keep the shares of Stock with a foreign broker or custodian outside Russia and perform any transactons with the shares of Stock on the foreign stock exchange. Employee is not permited to transfer any shares of Stock received under any Company employee equity program into Russia.</w:t>
      </w:r>
    </w:p>
    <w:p>
      <w:pPr>
        <w:spacing w:after="0" w:line="66" w:lineRule="exact"/>
        <w:rPr>
          <w:sz w:val="20"/>
          <w:szCs w:val="20"/>
          <w:color w:val="auto"/>
        </w:rPr>
      </w:pPr>
    </w:p>
    <w:p>
      <w:pPr>
        <w:ind w:left="1360"/>
        <w:spacing w:after="0"/>
        <w:rPr>
          <w:sz w:val="20"/>
          <w:szCs w:val="20"/>
          <w:color w:val="auto"/>
        </w:rPr>
      </w:pPr>
      <w:r>
        <w:rPr>
          <w:rFonts w:ascii="Calibri" w:cs="Calibri" w:eastAsia="Calibri" w:hAnsi="Calibri"/>
          <w:sz w:val="19"/>
          <w:szCs w:val="19"/>
          <w:b w:val="1"/>
          <w:bCs w:val="1"/>
          <w:color w:val="auto"/>
        </w:rPr>
        <w:t>Setlement of Restricted Stock Units</w:t>
      </w:r>
    </w:p>
    <w:p>
      <w:pPr>
        <w:spacing w:after="0" w:line="58" w:lineRule="exact"/>
        <w:rPr>
          <w:sz w:val="20"/>
          <w:szCs w:val="20"/>
          <w:color w:val="auto"/>
        </w:rPr>
      </w:pPr>
    </w:p>
    <w:p>
      <w:pPr>
        <w:jc w:val="both"/>
        <w:ind w:left="1360"/>
        <w:spacing w:after="0" w:line="211" w:lineRule="auto"/>
        <w:rPr>
          <w:sz w:val="20"/>
          <w:szCs w:val="20"/>
          <w:color w:val="auto"/>
        </w:rPr>
      </w:pPr>
      <w:r>
        <w:rPr>
          <w:rFonts w:ascii="Calibri" w:cs="Calibri" w:eastAsia="Calibri" w:hAnsi="Calibri"/>
          <w:sz w:val="19"/>
          <w:szCs w:val="19"/>
          <w:color w:val="auto"/>
        </w:rPr>
        <w:t>Depending upon applicable regulatory restrictons then in efect, the Company has the sole discreton to postpone setlement of the Restricted Stock Units, to determine whether to setle Restricted Stock Units in shares of Stock or cash, or to cancel the Restricted Stock Units for no consideraton.</w:t>
      </w:r>
    </w:p>
    <w:p>
      <w:pPr>
        <w:spacing w:after="0" w:line="52" w:lineRule="exact"/>
        <w:rPr>
          <w:sz w:val="20"/>
          <w:szCs w:val="20"/>
          <w:color w:val="auto"/>
        </w:rPr>
      </w:pPr>
    </w:p>
    <w:p>
      <w:pPr>
        <w:ind w:left="1360"/>
        <w:spacing w:after="0"/>
        <w:rPr>
          <w:sz w:val="20"/>
          <w:szCs w:val="20"/>
          <w:color w:val="auto"/>
        </w:rPr>
      </w:pPr>
      <w:r>
        <w:rPr>
          <w:rFonts w:ascii="Calibri" w:cs="Calibri" w:eastAsia="Calibri" w:hAnsi="Calibri"/>
          <w:sz w:val="19"/>
          <w:szCs w:val="19"/>
          <w:b w:val="1"/>
          <w:bCs w:val="1"/>
          <w:color w:val="auto"/>
        </w:rPr>
        <w:t>Exchange Control Obligatons</w:t>
      </w:r>
    </w:p>
    <w:p>
      <w:pPr>
        <w:spacing w:after="0" w:line="71" w:lineRule="exact"/>
        <w:rPr>
          <w:sz w:val="20"/>
          <w:szCs w:val="20"/>
          <w:color w:val="auto"/>
        </w:rPr>
      </w:pPr>
    </w:p>
    <w:p>
      <w:pPr>
        <w:jc w:val="both"/>
        <w:ind w:left="1360"/>
        <w:spacing w:after="0" w:line="205" w:lineRule="auto"/>
        <w:rPr>
          <w:sz w:val="20"/>
          <w:szCs w:val="20"/>
          <w:color w:val="auto"/>
        </w:rPr>
      </w:pPr>
      <w:r>
        <w:rPr>
          <w:rFonts w:ascii="Calibri" w:cs="Calibri" w:eastAsia="Calibri" w:hAnsi="Calibri"/>
          <w:sz w:val="19"/>
          <w:szCs w:val="19"/>
          <w:color w:val="auto"/>
        </w:rPr>
        <w:t xml:space="preserve">Due to the current politcal and economic situaton in Russia, startng from March 1, 2022, Russian residents are permited to receive in their foreign brokerage account the following income: shares upon vestng of Restricted Stock Units, cash dividends and sale proceeds, provided that informaton about such an account is duly disclosed to the Russian tax authorites. Other income must be repatriated to Russia. </w:t>
      </w:r>
      <w:r>
        <w:rPr>
          <w:rFonts w:ascii="Calibri" w:cs="Calibri" w:eastAsia="Calibri" w:hAnsi="Calibri"/>
          <w:sz w:val="19"/>
          <w:szCs w:val="19"/>
          <w:i w:val="1"/>
          <w:iCs w:val="1"/>
          <w:color w:val="auto"/>
        </w:rPr>
        <w:t>Employee should</w:t>
      </w:r>
    </w:p>
    <w:p>
      <w:pPr>
        <w:spacing w:after="0" w:line="1" w:lineRule="exact"/>
        <w:rPr>
          <w:sz w:val="20"/>
          <w:szCs w:val="20"/>
          <w:color w:val="auto"/>
        </w:rPr>
      </w:pPr>
    </w:p>
    <w:p>
      <w:pPr>
        <w:jc w:val="both"/>
        <w:ind w:left="1360"/>
        <w:spacing w:after="0" w:line="193" w:lineRule="auto"/>
        <w:rPr>
          <w:sz w:val="20"/>
          <w:szCs w:val="20"/>
          <w:color w:val="auto"/>
        </w:rPr>
      </w:pPr>
      <w:r>
        <w:rPr>
          <w:rFonts w:ascii="Calibri" w:cs="Calibri" w:eastAsia="Calibri" w:hAnsi="Calibri"/>
          <w:sz w:val="19"/>
          <w:szCs w:val="19"/>
          <w:i w:val="1"/>
          <w:iCs w:val="1"/>
          <w:color w:val="auto"/>
        </w:rPr>
        <w:t>contact Employee's personal advisor to ensure compliance with the applicable exchange control requirements prior to the acquisiton and subsequent selling of shares of Stock.</w:t>
      </w:r>
    </w:p>
    <w:p>
      <w:pPr>
        <w:spacing w:after="0" w:line="65" w:lineRule="exact"/>
        <w:rPr>
          <w:sz w:val="20"/>
          <w:szCs w:val="20"/>
          <w:color w:val="auto"/>
        </w:rPr>
      </w:pPr>
    </w:p>
    <w:p>
      <w:pPr>
        <w:ind w:left="1360"/>
        <w:spacing w:after="0"/>
        <w:rPr>
          <w:sz w:val="20"/>
          <w:szCs w:val="20"/>
          <w:color w:val="auto"/>
        </w:rPr>
      </w:pPr>
      <w:r>
        <w:rPr>
          <w:rFonts w:ascii="Calibri" w:cs="Calibri" w:eastAsia="Calibri" w:hAnsi="Calibri"/>
          <w:sz w:val="19"/>
          <w:szCs w:val="19"/>
          <w:b w:val="1"/>
          <w:bCs w:val="1"/>
          <w:color w:val="auto"/>
        </w:rPr>
        <w:t>Foreign Accounts and Transactons Reportng</w:t>
      </w:r>
    </w:p>
    <w:p>
      <w:pPr>
        <w:spacing w:after="0" w:line="58" w:lineRule="exact"/>
        <w:rPr>
          <w:sz w:val="20"/>
          <w:szCs w:val="20"/>
          <w:color w:val="auto"/>
        </w:rPr>
      </w:pPr>
    </w:p>
    <w:p>
      <w:pPr>
        <w:jc w:val="both"/>
        <w:ind w:left="1360"/>
        <w:spacing w:after="0" w:line="204" w:lineRule="auto"/>
        <w:rPr>
          <w:sz w:val="20"/>
          <w:szCs w:val="20"/>
          <w:color w:val="auto"/>
        </w:rPr>
      </w:pPr>
      <w:r>
        <w:rPr>
          <w:rFonts w:ascii="Calibri" w:cs="Calibri" w:eastAsia="Calibri" w:hAnsi="Calibri"/>
          <w:sz w:val="19"/>
          <w:szCs w:val="19"/>
          <w:color w:val="auto"/>
        </w:rPr>
        <w:t>If Employee is a Russian citzen, Employee is required to fle the following reports or notfcatons with the Russian tax authorites, if applicable: (i) annual cash fow reportng for an ofshore brokerage account (due by June 1 each year for the previous year); (ii) fnancial asset (including shares of Stock) reportng for an ofshore brokerage account (due by June 1 each year for the previous year, with the frst reportng due by June 1, 2022 for calendar year 2021); and (ii) a one-tme notfcaton within one month of opening, closing, or changing</w:t>
      </w:r>
    </w:p>
    <w:p>
      <w:pPr>
        <w:spacing w:after="0" w:line="1" w:lineRule="exact"/>
        <w:rPr>
          <w:sz w:val="20"/>
          <w:szCs w:val="20"/>
          <w:color w:val="auto"/>
        </w:rPr>
      </w:pPr>
    </w:p>
    <w:p>
      <w:pPr>
        <w:jc w:val="both"/>
        <w:ind w:left="1360"/>
        <w:spacing w:after="0" w:line="193" w:lineRule="auto"/>
        <w:rPr>
          <w:sz w:val="20"/>
          <w:szCs w:val="20"/>
          <w:color w:val="auto"/>
        </w:rPr>
      </w:pPr>
      <w:r>
        <w:rPr>
          <w:rFonts w:ascii="Calibri" w:cs="Calibri" w:eastAsia="Calibri" w:hAnsi="Calibri"/>
          <w:sz w:val="19"/>
          <w:szCs w:val="19"/>
          <w:color w:val="auto"/>
        </w:rPr>
        <w:t xml:space="preserve">details of an ofshore brokerage account. </w:t>
      </w:r>
      <w:r>
        <w:rPr>
          <w:rFonts w:ascii="Calibri" w:cs="Calibri" w:eastAsia="Calibri" w:hAnsi="Calibri"/>
          <w:sz w:val="19"/>
          <w:szCs w:val="19"/>
          <w:i w:val="1"/>
          <w:iCs w:val="1"/>
          <w:color w:val="auto"/>
        </w:rPr>
        <w:t>Employee should consult his or her personal tax advisor to ensure</w:t>
      </w:r>
      <w:r>
        <w:rPr>
          <w:rFonts w:ascii="Calibri" w:cs="Calibri" w:eastAsia="Calibri" w:hAnsi="Calibri"/>
          <w:sz w:val="19"/>
          <w:szCs w:val="19"/>
          <w:color w:val="auto"/>
        </w:rPr>
        <w:t xml:space="preserve"> </w:t>
      </w:r>
      <w:r>
        <w:rPr>
          <w:rFonts w:ascii="Calibri" w:cs="Calibri" w:eastAsia="Calibri" w:hAnsi="Calibri"/>
          <w:sz w:val="19"/>
          <w:szCs w:val="19"/>
          <w:i w:val="1"/>
          <w:iCs w:val="1"/>
          <w:color w:val="auto"/>
        </w:rPr>
        <w:t>compliance with applicable requirements</w:t>
      </w:r>
      <w:r>
        <w:rPr>
          <w:rFonts w:ascii="Calibri" w:cs="Calibri" w:eastAsia="Calibri" w:hAnsi="Calibri"/>
          <w:sz w:val="19"/>
          <w:szCs w:val="19"/>
          <w:color w:val="auto"/>
        </w:rPr>
        <w:t>.</w:t>
      </w:r>
    </w:p>
    <w:p>
      <w:pPr>
        <w:spacing w:after="0" w:line="65" w:lineRule="exact"/>
        <w:rPr>
          <w:sz w:val="20"/>
          <w:szCs w:val="20"/>
          <w:color w:val="auto"/>
        </w:rPr>
      </w:pPr>
    </w:p>
    <w:p>
      <w:pPr>
        <w:ind w:left="1360"/>
        <w:spacing w:after="0"/>
        <w:rPr>
          <w:sz w:val="20"/>
          <w:szCs w:val="20"/>
          <w:color w:val="auto"/>
        </w:rPr>
      </w:pPr>
      <w:r>
        <w:rPr>
          <w:rFonts w:ascii="Calibri" w:cs="Calibri" w:eastAsia="Calibri" w:hAnsi="Calibri"/>
          <w:sz w:val="19"/>
          <w:szCs w:val="19"/>
          <w:b w:val="1"/>
          <w:bCs w:val="1"/>
          <w:color w:val="auto"/>
        </w:rPr>
        <w:t>Ant-Corrupton Legislaton Informaton</w:t>
      </w:r>
    </w:p>
    <w:p>
      <w:pPr>
        <w:spacing w:after="0" w:line="71" w:lineRule="exact"/>
        <w:rPr>
          <w:sz w:val="20"/>
          <w:szCs w:val="20"/>
          <w:color w:val="auto"/>
        </w:rPr>
      </w:pPr>
    </w:p>
    <w:p>
      <w:pPr>
        <w:jc w:val="both"/>
        <w:ind w:left="1360"/>
        <w:spacing w:after="0"/>
        <w:rPr>
          <w:sz w:val="20"/>
          <w:szCs w:val="20"/>
          <w:color w:val="auto"/>
        </w:rPr>
      </w:pPr>
      <w:r>
        <w:rPr>
          <w:rFonts w:ascii="Calibri" w:cs="Calibri" w:eastAsia="Calibri" w:hAnsi="Calibri"/>
          <w:sz w:val="19"/>
          <w:szCs w:val="19"/>
          <w:color w:val="auto"/>
        </w:rPr>
        <w:t>Individuals holding public ofce in Russia, as well as their spouses and dependent children, may be prohibited from opening or maintaining a foreign brokerage or bank account and holding any securites, whether acquired directly or indirectly, in a foreign company (including shares of Stock acquired under the Plan). Employee should consult with his/her personal legal advisor to determine whether this restricton applies to his/her circumstances.</w:t>
      </w:r>
    </w:p>
    <w:p>
      <w:pPr>
        <w:spacing w:after="0" w:line="184" w:lineRule="auto"/>
        <w:tabs>
          <w:tab w:leader="none" w:pos="1340" w:val="left"/>
        </w:tabs>
        <w:rPr>
          <w:sz w:val="20"/>
          <w:szCs w:val="20"/>
          <w:color w:val="auto"/>
        </w:rPr>
      </w:pPr>
      <w:r>
        <w:rPr>
          <w:rFonts w:ascii="Calibri" w:cs="Calibri" w:eastAsia="Calibri" w:hAnsi="Calibri"/>
          <w:sz w:val="29"/>
          <w:szCs w:val="29"/>
          <w:b w:val="1"/>
          <w:bCs w:val="1"/>
          <w:color w:val="auto"/>
          <w:vertAlign w:val="subscript"/>
        </w:rPr>
        <w:t>Senegal</w:t>
      </w:r>
      <w:r>
        <w:rPr>
          <w:sz w:val="20"/>
          <w:szCs w:val="20"/>
          <w:color w:val="auto"/>
        </w:rPr>
        <w:tab/>
      </w:r>
      <w:r>
        <w:rPr>
          <w:rFonts w:ascii="Calibri" w:cs="Calibri" w:eastAsia="Calibri" w:hAnsi="Calibri"/>
          <w:sz w:val="16"/>
          <w:szCs w:val="16"/>
          <w:b w:val="1"/>
          <w:bCs w:val="1"/>
          <w:color w:val="auto"/>
        </w:rPr>
        <w:t>Tax Registraton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-48895</wp:posOffset>
            </wp:positionV>
            <wp:extent cx="65081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6">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186" w:lineRule="exact"/>
        <w:rPr>
          <w:sz w:val="20"/>
          <w:szCs w:val="20"/>
          <w:color w:val="auto"/>
        </w:rPr>
      </w:pPr>
    </w:p>
    <w:p>
      <w:pPr>
        <w:jc w:val="both"/>
        <w:ind w:left="1360"/>
        <w:spacing w:after="0" w:line="206" w:lineRule="auto"/>
        <w:rPr>
          <w:sz w:val="20"/>
          <w:szCs w:val="20"/>
          <w:color w:val="auto"/>
        </w:rPr>
      </w:pPr>
      <w:r>
        <w:rPr>
          <w:rFonts w:ascii="Calibri" w:cs="Calibri" w:eastAsia="Calibri" w:hAnsi="Calibri"/>
          <w:sz w:val="19"/>
          <w:szCs w:val="19"/>
          <w:color w:val="auto"/>
        </w:rPr>
        <w:t>Employee may be required to submit a copy of the Agreement to the tax authorites within one (1) month afer the date the Restricted Stock Units are granted and to pay any applicable registraton fee. It is Employee’s responsibility to submit the registraton and pay the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95250</wp:posOffset>
            </wp:positionV>
            <wp:extent cx="65081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7">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ectPr>
          <w:pgSz w:w="11900" w:h="16838" w:orient="portrait"/>
          <w:cols w:equalWidth="0" w:num="1">
            <w:col w:w="10100"/>
          </w:cols>
          <w:pgMar w:left="400" w:top="360" w:right="1399" w:bottom="1440" w:gutter="0" w:footer="0" w:header="0"/>
        </w:sectPr>
      </w:pPr>
    </w:p>
    <w:bookmarkStart w:id="145" w:name="page146"/>
    <w:bookmarkEnd w:id="145"/>
    <w:p>
      <w:pPr>
        <w:spacing w:after="0"/>
        <w:tabs>
          <w:tab w:leader="none" w:pos="1340" w:val="left"/>
        </w:tabs>
        <w:rPr>
          <w:sz w:val="20"/>
          <w:szCs w:val="20"/>
          <w:color w:val="auto"/>
        </w:rPr>
      </w:pPr>
      <w:r>
        <w:rPr>
          <w:rFonts w:ascii="Calibri" w:cs="Calibri" w:eastAsia="Calibri" w:hAnsi="Calibri"/>
          <w:sz w:val="38"/>
          <w:szCs w:val="38"/>
          <w:b w:val="1"/>
          <w:bCs w:val="1"/>
          <w:color w:val="auto"/>
          <w:vertAlign w:val="subscript"/>
        </w:rPr>
        <w:t>Singapore</w:t>
      </w:r>
      <w:r>
        <w:rPr>
          <w:sz w:val="20"/>
          <w:szCs w:val="20"/>
          <w:color w:val="auto"/>
        </w:rPr>
        <w:tab/>
      </w:r>
      <w:r>
        <w:rPr>
          <w:rFonts w:ascii="Calibri" w:cs="Calibri" w:eastAsia="Calibri" w:hAnsi="Calibri"/>
          <w:sz w:val="19"/>
          <w:szCs w:val="19"/>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65081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8">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225" w:lineRule="exact"/>
        <w:rPr>
          <w:sz w:val="20"/>
          <w:szCs w:val="20"/>
          <w:color w:val="auto"/>
        </w:rPr>
      </w:pPr>
    </w:p>
    <w:p>
      <w:pPr>
        <w:jc w:val="both"/>
        <w:ind w:left="1360"/>
        <w:spacing w:after="0" w:line="201" w:lineRule="auto"/>
        <w:rPr>
          <w:sz w:val="20"/>
          <w:szCs w:val="20"/>
          <w:color w:val="auto"/>
        </w:rPr>
      </w:pPr>
      <w:r>
        <w:rPr>
          <w:rFonts w:ascii="Calibri" w:cs="Calibri" w:eastAsia="Calibri" w:hAnsi="Calibri"/>
          <w:sz w:val="19"/>
          <w:szCs w:val="19"/>
          <w:color w:val="auto"/>
        </w:rPr>
        <w:t>This grant of Restricted Stock Units and the shares of Stock to be issued upon the vestng of such Restricted Stock Units shall be made available only to employees of the Company or its Subsidiaries and afliated companies, in reliance of the prospectus exempton set out in Secton 273(1)(f) of the Securites and Futures Act (Chapter 289) of Singapore. In additon, Employee agrees, by Employee’s acceptance of this grant, not to sell any shares of Stock within six (6) months afer the date of grant. Please note that neither this Agreement nor any other document or material in connecton with this ofer of the Restricted Stock Units and the shares of Stock thereunder has been or will be lodged, registered or reviewed by any regulatory authority in Singapore.</w:t>
      </w:r>
    </w:p>
    <w:p>
      <w:pPr>
        <w:spacing w:after="0" w:line="52" w:lineRule="exact"/>
        <w:rPr>
          <w:sz w:val="20"/>
          <w:szCs w:val="20"/>
          <w:color w:val="auto"/>
        </w:rPr>
      </w:pPr>
    </w:p>
    <w:p>
      <w:pPr>
        <w:ind w:left="1360"/>
        <w:spacing w:after="0"/>
        <w:rPr>
          <w:sz w:val="20"/>
          <w:szCs w:val="20"/>
          <w:color w:val="auto"/>
        </w:rPr>
      </w:pPr>
      <w:r>
        <w:rPr>
          <w:rFonts w:ascii="Calibri" w:cs="Calibri" w:eastAsia="Calibri" w:hAnsi="Calibri"/>
          <w:sz w:val="19"/>
          <w:szCs w:val="19"/>
          <w:b w:val="1"/>
          <w:bCs w:val="1"/>
          <w:color w:val="auto"/>
        </w:rPr>
        <w:t>Director Notfcaton Obligaton</w:t>
      </w:r>
    </w:p>
    <w:p>
      <w:pPr>
        <w:jc w:val="both"/>
        <w:ind w:left="1360"/>
        <w:spacing w:after="0" w:line="195" w:lineRule="auto"/>
        <w:rPr>
          <w:sz w:val="20"/>
          <w:szCs w:val="20"/>
          <w:color w:val="auto"/>
        </w:rPr>
      </w:pPr>
      <w:r>
        <w:rPr>
          <w:rFonts w:ascii="Calibri" w:cs="Calibri" w:eastAsia="Calibri" w:hAnsi="Calibri"/>
          <w:sz w:val="19"/>
          <w:szCs w:val="19"/>
          <w:color w:val="auto"/>
        </w:rPr>
        <w:t>If Employee is a director or shadow director of the Company or related company, Employee may be subject to special reportng requirements with regard to the acquisiton of shares of Stock or rights over shares of Stock. If Employee is the Chief Executve Ofcer (“CEO”) of the Company or related company and the above notfcaton requirements are determined to apply to the CEO of the Company or related company, the above notfcaton requirements also may apply to Employee. Employee should contact his/her personal legal advisor for further details if Employee is a director, shadow director or CEO of the Company or related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95885</wp:posOffset>
            </wp:positionV>
            <wp:extent cx="65081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9">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ectPr>
          <w:pgSz w:w="11900" w:h="16838" w:orient="portrait"/>
          <w:cols w:equalWidth="0" w:num="1">
            <w:col w:w="10100"/>
          </w:cols>
          <w:pgMar w:left="400" w:top="360" w:right="1399" w:bottom="1440" w:gutter="0" w:footer="0" w:header="0"/>
        </w:sectPr>
      </w:pPr>
    </w:p>
    <w:bookmarkStart w:id="146" w:name="page147"/>
    <w:bookmarkEnd w:id="146"/>
    <w:p>
      <w:pPr>
        <w:spacing w:after="0"/>
        <w:tabs>
          <w:tab w:leader="none" w:pos="1340" w:val="left"/>
        </w:tabs>
        <w:rPr>
          <w:sz w:val="20"/>
          <w:szCs w:val="20"/>
          <w:color w:val="auto"/>
        </w:rPr>
      </w:pPr>
      <w:r>
        <w:rPr>
          <w:rFonts w:ascii="Calibri" w:cs="Calibri" w:eastAsia="Calibri" w:hAnsi="Calibri"/>
          <w:sz w:val="38"/>
          <w:szCs w:val="38"/>
          <w:b w:val="1"/>
          <w:bCs w:val="1"/>
          <w:color w:val="auto"/>
          <w:vertAlign w:val="subscript"/>
        </w:rPr>
        <w:t>Spain</w:t>
      </w:r>
      <w:r>
        <w:rPr>
          <w:sz w:val="20"/>
          <w:szCs w:val="20"/>
          <w:color w:val="auto"/>
        </w:rPr>
        <w:tab/>
      </w:r>
      <w:r>
        <w:rPr>
          <w:rFonts w:ascii="Calibri" w:cs="Calibri" w:eastAsia="Calibri" w:hAnsi="Calibri"/>
          <w:sz w:val="15"/>
          <w:szCs w:val="15"/>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wp:posOffset>
            </wp:positionV>
            <wp:extent cx="65081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0">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249" w:lineRule="exact"/>
        <w:rPr>
          <w:sz w:val="20"/>
          <w:szCs w:val="20"/>
          <w:color w:val="auto"/>
        </w:rPr>
      </w:pPr>
    </w:p>
    <w:p>
      <w:pPr>
        <w:jc w:val="both"/>
        <w:ind w:left="1360"/>
        <w:spacing w:after="0" w:line="215" w:lineRule="auto"/>
        <w:rPr>
          <w:sz w:val="20"/>
          <w:szCs w:val="20"/>
          <w:color w:val="auto"/>
        </w:rPr>
      </w:pPr>
      <w:r>
        <w:rPr>
          <w:rFonts w:ascii="Calibri" w:cs="Calibri" w:eastAsia="Calibri" w:hAnsi="Calibri"/>
          <w:sz w:val="15"/>
          <w:szCs w:val="15"/>
          <w:color w:val="auto"/>
        </w:rPr>
        <w:t>No “ofer of securites to the public,” as defned under Spanish law, has taken place or will take place in the Spanish territory in connecton with the grant of the Restricted Stock Units under the Plan. Neither the Plan nor this Agreement have been nor will they be registered with the Comisión Nacional del Mercado de Valores (Spanish securites regulator), and they do not consttute a public ofering prospectus.</w:t>
      </w:r>
    </w:p>
    <w:p>
      <w:pPr>
        <w:spacing w:after="0" w:line="75" w:lineRule="exact"/>
        <w:rPr>
          <w:sz w:val="20"/>
          <w:szCs w:val="20"/>
          <w:color w:val="auto"/>
        </w:rPr>
      </w:pPr>
    </w:p>
    <w:p>
      <w:pPr>
        <w:ind w:left="1360"/>
        <w:spacing w:after="0"/>
        <w:rPr>
          <w:sz w:val="20"/>
          <w:szCs w:val="20"/>
          <w:color w:val="auto"/>
        </w:rPr>
      </w:pPr>
      <w:r>
        <w:rPr>
          <w:rFonts w:ascii="Calibri" w:cs="Calibri" w:eastAsia="Calibri" w:hAnsi="Calibri"/>
          <w:sz w:val="15"/>
          <w:szCs w:val="15"/>
          <w:b w:val="1"/>
          <w:bCs w:val="1"/>
          <w:color w:val="auto"/>
        </w:rPr>
        <w:t>Labor Law Acknowledgment</w:t>
      </w:r>
    </w:p>
    <w:p>
      <w:pPr>
        <w:spacing w:after="0" w:line="75" w:lineRule="exact"/>
        <w:rPr>
          <w:sz w:val="20"/>
          <w:szCs w:val="20"/>
          <w:color w:val="auto"/>
        </w:rPr>
      </w:pPr>
    </w:p>
    <w:p>
      <w:pPr>
        <w:jc w:val="both"/>
        <w:ind w:left="1360"/>
        <w:spacing w:after="0" w:line="221" w:lineRule="auto"/>
        <w:rPr>
          <w:sz w:val="20"/>
          <w:szCs w:val="20"/>
          <w:color w:val="auto"/>
        </w:rPr>
      </w:pPr>
      <w:r>
        <w:rPr>
          <w:rFonts w:ascii="Calibri" w:cs="Calibri" w:eastAsia="Calibri" w:hAnsi="Calibri"/>
          <w:sz w:val="15"/>
          <w:szCs w:val="15"/>
          <w:color w:val="auto"/>
        </w:rPr>
        <w:t>By acceptng the Restricted Stock Units granted hereunder, Employee consents to partcipaton in the Plan and acknowledges that Employee has received a copy of the Plan.</w:t>
      </w:r>
    </w:p>
    <w:p>
      <w:pPr>
        <w:spacing w:after="0" w:line="75" w:lineRule="exact"/>
        <w:rPr>
          <w:sz w:val="20"/>
          <w:szCs w:val="20"/>
          <w:color w:val="auto"/>
        </w:rPr>
      </w:pPr>
    </w:p>
    <w:p>
      <w:pPr>
        <w:jc w:val="both"/>
        <w:ind w:left="1360"/>
        <w:spacing w:after="0" w:line="205" w:lineRule="auto"/>
        <w:rPr>
          <w:sz w:val="20"/>
          <w:szCs w:val="20"/>
          <w:color w:val="auto"/>
        </w:rPr>
      </w:pPr>
      <w:r>
        <w:rPr>
          <w:rFonts w:ascii="Calibri" w:cs="Calibri" w:eastAsia="Calibri" w:hAnsi="Calibri"/>
          <w:sz w:val="15"/>
          <w:szCs w:val="15"/>
          <w:color w:val="auto"/>
        </w:rPr>
        <w:t>Employee understands that the Company has unilaterally, gratuitously and in its sole discreton decided to grant any Restricted Stock Units under the Plan to certain individuals who may be employees of the Company or its Subsidiaries and afliated companies throughout the world. The decision is a limited decision, which is entered into upon the express assumpton and conditon that any Restricted Stock Units granted will not economically or otherwise bind the Company or any of its Subsidiaries or any afliated companies on an ongoing basis, other than as expressly set forth in the Agreement. Consequently, Employee understands that the Restricted Stock Units granted hereunder are given on the assumpton and conditon that they shall not become a part of any employment contract (either with the Company or any of its Subsidiaries and afliated companies) and shall not be considered a mandatory beneft, salary for any purposes (including severance compensaton) or any other right whatsoever. Further, Employee understands and freely accepts that the future value of the Restricted Stock Units and the underlying shares of Stock is unknown and unpredictable. In additon, Employee understands that any Restricted Stock Units granted hereunder would not be made but for the assumptons and conditons referred to above; thus, Employee understands, acknowledges and freely accepts that, should any or all of the assumptons be mistaken or should any of the conditons not be met for any reason, then any grant of Restricted Stock Units or right to Restricted Stock Units shall be null and void.</w:t>
      </w:r>
    </w:p>
    <w:p>
      <w:pPr>
        <w:spacing w:after="0" w:line="83" w:lineRule="exact"/>
        <w:rPr>
          <w:sz w:val="20"/>
          <w:szCs w:val="20"/>
          <w:color w:val="auto"/>
        </w:rPr>
      </w:pPr>
    </w:p>
    <w:p>
      <w:pPr>
        <w:jc w:val="both"/>
        <w:ind w:left="1360"/>
        <w:spacing w:after="0" w:line="215" w:lineRule="auto"/>
        <w:rPr>
          <w:sz w:val="20"/>
          <w:szCs w:val="20"/>
          <w:color w:val="auto"/>
        </w:rPr>
      </w:pPr>
      <w:r>
        <w:rPr>
          <w:rFonts w:ascii="Calibri" w:cs="Calibri" w:eastAsia="Calibri" w:hAnsi="Calibri"/>
          <w:sz w:val="15"/>
          <w:szCs w:val="15"/>
          <w:color w:val="auto"/>
        </w:rPr>
        <w:t>Further, the grant of the Restricted Stock Units is expressly conditoned on Employee’s contnued and actve employment, such that if Employee’s employment terminates for any reason whatsoever, the Restricted Stock Units may cease vestng immediately, in whole or in part, efectve on the Terminaton Date (unless otherwise specifcally provided in the Agreement). This will be the case, for example, even if</w:t>
      </w:r>
    </w:p>
    <w:p>
      <w:pPr>
        <w:spacing w:after="0" w:line="1" w:lineRule="exact"/>
        <w:rPr>
          <w:sz w:val="20"/>
          <w:szCs w:val="20"/>
          <w:color w:val="auto"/>
        </w:rPr>
      </w:pPr>
    </w:p>
    <w:p>
      <w:pPr>
        <w:jc w:val="both"/>
        <w:ind w:left="1360"/>
        <w:spacing w:after="0" w:line="202" w:lineRule="auto"/>
        <w:tabs>
          <w:tab w:leader="none" w:pos="1555" w:val="left"/>
        </w:tabs>
        <w:numPr>
          <w:ilvl w:val="0"/>
          <w:numId w:val="88"/>
        </w:numPr>
        <w:rPr>
          <w:rFonts w:ascii="Calibri" w:cs="Calibri" w:eastAsia="Calibri" w:hAnsi="Calibri"/>
          <w:sz w:val="15"/>
          <w:szCs w:val="15"/>
          <w:color w:val="auto"/>
        </w:rPr>
      </w:pPr>
      <w:r>
        <w:rPr>
          <w:rFonts w:ascii="Calibri" w:cs="Calibri" w:eastAsia="Calibri" w:hAnsi="Calibri"/>
          <w:sz w:val="15"/>
          <w:szCs w:val="15"/>
          <w:color w:val="auto"/>
        </w:rPr>
        <w:t>Employee is considered to be unfairly dismissed without good cause (i.e., subject to a “despido improcedente”); (ii) Employee is dismissed for disciplinary or objectve reasons or due to a collectve dismissal; (iii) Employee terminates employment due to a change of work locaton, dutes or any other employment or contractual conditon; (iv) Employee terminates employment due to a unilateral breach of contract by the Company or the Employer; or (v) Employee’s employment terminates for any other reason whatsoever. Consequently, upon terminaton of Employee’s employment for any of the above reasons, Employee may automatcally lose any rights to the Restricted Stock Units that were not vested on the Employee’s Terminaton Date, as described in the Agreement and the Plan.</w:t>
      </w:r>
    </w:p>
    <w:p>
      <w:pPr>
        <w:spacing w:after="0" w:line="77" w:lineRule="exact"/>
        <w:rPr>
          <w:sz w:val="20"/>
          <w:szCs w:val="20"/>
          <w:color w:val="auto"/>
        </w:rPr>
      </w:pPr>
    </w:p>
    <w:p>
      <w:pPr>
        <w:ind w:left="1360"/>
        <w:spacing w:after="0"/>
        <w:rPr>
          <w:sz w:val="20"/>
          <w:szCs w:val="20"/>
          <w:color w:val="auto"/>
        </w:rPr>
      </w:pPr>
      <w:r>
        <w:rPr>
          <w:rFonts w:ascii="Calibri" w:cs="Calibri" w:eastAsia="Calibri" w:hAnsi="Calibri"/>
          <w:sz w:val="15"/>
          <w:szCs w:val="15"/>
          <w:b w:val="1"/>
          <w:bCs w:val="1"/>
          <w:color w:val="auto"/>
        </w:rPr>
        <w:t>Exchange Control Informaton</w:t>
      </w:r>
    </w:p>
    <w:p>
      <w:pPr>
        <w:spacing w:after="0" w:line="75" w:lineRule="exact"/>
        <w:rPr>
          <w:sz w:val="20"/>
          <w:szCs w:val="20"/>
          <w:color w:val="auto"/>
        </w:rPr>
      </w:pPr>
    </w:p>
    <w:p>
      <w:pPr>
        <w:jc w:val="both"/>
        <w:ind w:left="1360"/>
        <w:spacing w:after="0"/>
        <w:rPr>
          <w:sz w:val="20"/>
          <w:szCs w:val="20"/>
          <w:color w:val="auto"/>
        </w:rPr>
      </w:pPr>
      <w:r>
        <w:rPr>
          <w:rFonts w:ascii="Calibri" w:cs="Calibri" w:eastAsia="Calibri" w:hAnsi="Calibri"/>
          <w:sz w:val="15"/>
          <w:szCs w:val="15"/>
          <w:color w:val="auto"/>
        </w:rPr>
        <w:t>To partcipate in the Plan, Employee must comply with exchange control regulatons in Spain. Employee is required to declare electronically to the Bank of Spain any securites accounts (including brokerage accounts held abroad), as well as the shares of Stock held in such accounts, depending on the value of the transactons during the prior tax year or the balances in such accounts as of December 31 of the prior tax year.</w:t>
      </w:r>
    </w:p>
    <w:p>
      <w:pPr>
        <w:spacing w:after="0" w:line="173" w:lineRule="exact"/>
        <w:rPr>
          <w:sz w:val="20"/>
          <w:szCs w:val="20"/>
          <w:color w:val="auto"/>
        </w:rPr>
      </w:pPr>
    </w:p>
    <w:p>
      <w:pPr>
        <w:jc w:val="both"/>
        <w:ind w:left="1360"/>
        <w:spacing w:after="0"/>
        <w:rPr>
          <w:sz w:val="20"/>
          <w:szCs w:val="20"/>
          <w:color w:val="auto"/>
        </w:rPr>
      </w:pPr>
      <w:r>
        <w:rPr>
          <w:rFonts w:ascii="Calibri" w:cs="Calibri" w:eastAsia="Calibri" w:hAnsi="Calibri"/>
          <w:sz w:val="15"/>
          <w:szCs w:val="15"/>
          <w:color w:val="auto"/>
        </w:rPr>
        <w:t xml:space="preserve">If Employee holds 10% or more of the share capital of the Company or such other amount that would enttle Employee to join the Board, the acquisiton, ownership and dispositon of stock in a foreign company (including shares of Stock) must be declared for statstcal purposes to the </w:t>
      </w:r>
      <w:r>
        <w:rPr>
          <w:rFonts w:ascii="Calibri" w:cs="Calibri" w:eastAsia="Calibri" w:hAnsi="Calibri"/>
          <w:sz w:val="15"/>
          <w:szCs w:val="15"/>
          <w:i w:val="1"/>
          <w:iCs w:val="1"/>
          <w:color w:val="auto"/>
        </w:rPr>
        <w:t>Spanish Dirección General de Comercio e Inversiones</w:t>
      </w:r>
      <w:r>
        <w:rPr>
          <w:rFonts w:ascii="Calibri" w:cs="Calibri" w:eastAsia="Calibri" w:hAnsi="Calibri"/>
          <w:sz w:val="15"/>
          <w:szCs w:val="15"/>
          <w:color w:val="auto"/>
        </w:rPr>
        <w:t>, the Bureau for Commerce and Investments, which is a department of the Ministry of Economy and Compettveness. In this case, the declaraton must be made in January for shares of Stock acquired or disposed of during the prior year and/or for shares of Stock owned as of December 31 of the prior year; however, if the value of the shares of Stock acquired or sold exceeds €1,502,530, the declaraton must be fled within one month of the acquisiton or dispositon, as applicable.</w:t>
      </w:r>
    </w:p>
    <w:p>
      <w:pPr>
        <w:spacing w:after="0" w:line="87" w:lineRule="exact"/>
        <w:rPr>
          <w:sz w:val="20"/>
          <w:szCs w:val="20"/>
          <w:color w:val="auto"/>
        </w:rPr>
      </w:pPr>
    </w:p>
    <w:p>
      <w:pPr>
        <w:ind w:left="1360"/>
        <w:spacing w:after="0"/>
        <w:rPr>
          <w:sz w:val="20"/>
          <w:szCs w:val="20"/>
          <w:color w:val="auto"/>
        </w:rPr>
      </w:pPr>
      <w:r>
        <w:rPr>
          <w:rFonts w:ascii="Calibri" w:cs="Calibri" w:eastAsia="Calibri" w:hAnsi="Calibri"/>
          <w:sz w:val="15"/>
          <w:szCs w:val="15"/>
          <w:b w:val="1"/>
          <w:bCs w:val="1"/>
          <w:color w:val="auto"/>
        </w:rPr>
        <w:t>Foreign Asset and Account Reportng</w:t>
      </w:r>
    </w:p>
    <w:p>
      <w:pPr>
        <w:spacing w:after="0" w:line="75" w:lineRule="exact"/>
        <w:rPr>
          <w:sz w:val="20"/>
          <w:szCs w:val="20"/>
          <w:color w:val="auto"/>
        </w:rPr>
      </w:pPr>
    </w:p>
    <w:p>
      <w:pPr>
        <w:jc w:val="both"/>
        <w:ind w:left="1360"/>
        <w:spacing w:after="0"/>
        <w:rPr>
          <w:sz w:val="20"/>
          <w:szCs w:val="20"/>
          <w:color w:val="auto"/>
        </w:rPr>
      </w:pPr>
      <w:r>
        <w:rPr>
          <w:rFonts w:ascii="Calibri" w:cs="Calibri" w:eastAsia="Calibri" w:hAnsi="Calibri"/>
          <w:sz w:val="15"/>
          <w:szCs w:val="15"/>
          <w:color w:val="auto"/>
        </w:rPr>
        <w:t>Employee understands that if Employee holds assets (</w:t>
      </w:r>
      <w:r>
        <w:rPr>
          <w:rFonts w:ascii="Calibri" w:cs="Calibri" w:eastAsia="Calibri" w:hAnsi="Calibri"/>
          <w:sz w:val="15"/>
          <w:szCs w:val="15"/>
          <w:i w:val="1"/>
          <w:iCs w:val="1"/>
          <w:color w:val="auto"/>
        </w:rPr>
        <w:t>e.g.</w:t>
      </w:r>
      <w:r>
        <w:rPr>
          <w:rFonts w:ascii="Calibri" w:cs="Calibri" w:eastAsia="Calibri" w:hAnsi="Calibri"/>
          <w:sz w:val="15"/>
          <w:szCs w:val="15"/>
          <w:color w:val="auto"/>
        </w:rPr>
        <w:t>, shares of Stock or cash held in a bank or brokerage account) outside of Spain with a value in excess of a certain threshold (currently EUR 50,000) per type of asset (</w:t>
      </w:r>
      <w:r>
        <w:rPr>
          <w:rFonts w:ascii="Calibri" w:cs="Calibri" w:eastAsia="Calibri" w:hAnsi="Calibri"/>
          <w:sz w:val="15"/>
          <w:szCs w:val="15"/>
          <w:i w:val="1"/>
          <w:iCs w:val="1"/>
          <w:color w:val="auto"/>
        </w:rPr>
        <w:t>e.g.</w:t>
      </w:r>
      <w:r>
        <w:rPr>
          <w:rFonts w:ascii="Calibri" w:cs="Calibri" w:eastAsia="Calibri" w:hAnsi="Calibri"/>
          <w:sz w:val="15"/>
          <w:szCs w:val="15"/>
          <w:color w:val="auto"/>
        </w:rPr>
        <w:t>, shares of Stock, cash, etc.) as of December 31, Employee is required to report certain informaton regarding such assets on tax Form 720. Afer such assets are initally reported, the reportng obligaton will only apply for subsequent years if the value of any previously-reported assets increases by more than a specifed amount (currently EUR 20,000) or if Employee sells or otherwise disposes of previously-reported assets. The reportng must be completed by the following March 31.</w:t>
      </w:r>
    </w:p>
    <w:p>
      <w:pPr>
        <w:spacing w:after="0" w:line="181" w:lineRule="auto"/>
        <w:tabs>
          <w:tab w:leader="none" w:pos="1340" w:val="left"/>
        </w:tabs>
        <w:rPr>
          <w:sz w:val="20"/>
          <w:szCs w:val="20"/>
          <w:color w:val="auto"/>
        </w:rPr>
      </w:pPr>
      <w:r>
        <w:rPr>
          <w:rFonts w:ascii="Calibri" w:cs="Calibri" w:eastAsia="Calibri" w:hAnsi="Calibri"/>
          <w:sz w:val="29"/>
          <w:szCs w:val="29"/>
          <w:b w:val="1"/>
          <w:bCs w:val="1"/>
          <w:color w:val="auto"/>
          <w:vertAlign w:val="subscript"/>
        </w:rPr>
        <w:t>Switzerland</w:t>
      </w:r>
      <w:r>
        <w:rPr>
          <w:sz w:val="20"/>
          <w:szCs w:val="20"/>
          <w:color w:val="auto"/>
        </w:rPr>
        <w:tab/>
      </w:r>
      <w:r>
        <w:rPr>
          <w:rFonts w:ascii="Calibri" w:cs="Calibri" w:eastAsia="Calibri" w:hAnsi="Calibri"/>
          <w:sz w:val="16"/>
          <w:szCs w:val="16"/>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-59690</wp:posOffset>
            </wp:positionV>
            <wp:extent cx="65081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1">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169" w:lineRule="exact"/>
        <w:rPr>
          <w:sz w:val="20"/>
          <w:szCs w:val="20"/>
          <w:color w:val="auto"/>
        </w:rPr>
      </w:pPr>
    </w:p>
    <w:p>
      <w:pPr>
        <w:jc w:val="both"/>
        <w:ind w:left="1360"/>
        <w:spacing w:after="0" w:line="201" w:lineRule="auto"/>
        <w:rPr>
          <w:sz w:val="20"/>
          <w:szCs w:val="20"/>
          <w:color w:val="auto"/>
        </w:rPr>
      </w:pPr>
      <w:r>
        <w:rPr>
          <w:rFonts w:ascii="Calibri" w:cs="Calibri" w:eastAsia="Calibri" w:hAnsi="Calibri"/>
          <w:sz w:val="19"/>
          <w:szCs w:val="19"/>
          <w:color w:val="auto"/>
        </w:rPr>
        <w:t>Neither this document nor any other materials relatng to the Restricted Stock Units (i) consttutes a prospectus according to artcles 35 et seq. of the Swiss Federal Act on Financial Services (“FinSA”), (ii) may be publicly distributed or otherwise made publicly available in Switzerland to any person other than an employee of the Company or a Subsidiary; or (iii) has been or will be fled with, approved or supervised by any Swiss reviewing body according to Artcle 51 of FinSA or any Swiss regulatory authority, including the Swiss Financial Market Supervisory Authority (FINMA).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94615</wp:posOffset>
            </wp:positionV>
            <wp:extent cx="65081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2">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ectPr>
          <w:pgSz w:w="11900" w:h="16838" w:orient="portrait"/>
          <w:cols w:equalWidth="0" w:num="1">
            <w:col w:w="10100"/>
          </w:cols>
          <w:pgMar w:left="400" w:top="318" w:right="1399" w:bottom="1440" w:gutter="0" w:footer="0" w:header="0"/>
        </w:sectPr>
      </w:pPr>
    </w:p>
    <w:bookmarkStart w:id="147" w:name="page148"/>
    <w:bookmarkEnd w:id="147"/>
    <w:p>
      <w:pPr>
        <w:spacing w:after="0"/>
        <w:tabs>
          <w:tab w:leader="none" w:pos="1340" w:val="left"/>
        </w:tabs>
        <w:rPr>
          <w:sz w:val="20"/>
          <w:szCs w:val="20"/>
          <w:color w:val="auto"/>
        </w:rPr>
      </w:pPr>
      <w:r>
        <w:rPr>
          <w:rFonts w:ascii="Calibri" w:cs="Calibri" w:eastAsia="Calibri" w:hAnsi="Calibri"/>
          <w:sz w:val="38"/>
          <w:szCs w:val="38"/>
          <w:b w:val="1"/>
          <w:bCs w:val="1"/>
          <w:color w:val="auto"/>
          <w:vertAlign w:val="subscript"/>
        </w:rPr>
        <w:t>Thailand</w:t>
      </w:r>
      <w:r>
        <w:rPr>
          <w:sz w:val="20"/>
          <w:szCs w:val="20"/>
          <w:color w:val="auto"/>
        </w:rPr>
        <w:tab/>
      </w:r>
      <w:r>
        <w:rPr>
          <w:rFonts w:ascii="Calibri" w:cs="Calibri" w:eastAsia="Calibri" w:hAnsi="Calibri"/>
          <w:sz w:val="19"/>
          <w:szCs w:val="19"/>
          <w:b w:val="1"/>
          <w:bCs w:val="1"/>
          <w:color w:val="auto"/>
        </w:rPr>
        <w:t>Foreign Exchange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-24765</wp:posOffset>
            </wp:positionV>
            <wp:extent cx="65081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3">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225" w:lineRule="exact"/>
        <w:rPr>
          <w:sz w:val="20"/>
          <w:szCs w:val="20"/>
          <w:color w:val="auto"/>
        </w:rPr>
      </w:pPr>
    </w:p>
    <w:p>
      <w:pPr>
        <w:jc w:val="both"/>
        <w:ind w:left="1360"/>
        <w:spacing w:after="0" w:line="201" w:lineRule="auto"/>
        <w:rPr>
          <w:sz w:val="20"/>
          <w:szCs w:val="20"/>
          <w:color w:val="auto"/>
        </w:rPr>
      </w:pPr>
      <w:r>
        <w:rPr>
          <w:rFonts w:ascii="Calibri" w:cs="Calibri" w:eastAsia="Calibri" w:hAnsi="Calibri"/>
          <w:sz w:val="19"/>
          <w:szCs w:val="19"/>
          <w:color w:val="auto"/>
        </w:rPr>
        <w:t>If Employee is a Thai resident and Employee realizes sale proceeds equaling or exceeding a specifed threshold (currently USD 1,000,000) in a single transacton, Employee is required to repatriate the cash proceeds to Thailand immediately following the receipt of such proceeds and then either convert such repatriaton proceeds into Thai Baht or deposit the proceeds into a foreign currency account opened with any commercial bank in Thailand within 360 days of repatriaton. Further, Employee must specifcally report the inward remitance to the commercial bank in Thailand. Employee is personally responsible for complying with applicable exchange control requirements in Thailand.</w:t>
      </w:r>
    </w:p>
    <w:p>
      <w:pPr>
        <w:spacing w:after="0" w:line="52" w:lineRule="exact"/>
        <w:rPr>
          <w:sz w:val="20"/>
          <w:szCs w:val="20"/>
          <w:color w:val="auto"/>
        </w:rPr>
      </w:pPr>
    </w:p>
    <w:p>
      <w:pPr>
        <w:ind w:left="1360"/>
        <w:spacing w:after="0"/>
        <w:rPr>
          <w:sz w:val="20"/>
          <w:szCs w:val="20"/>
          <w:color w:val="auto"/>
        </w:rPr>
      </w:pPr>
      <w:r>
        <w:rPr>
          <w:rFonts w:ascii="Calibri" w:cs="Calibri" w:eastAsia="Calibri" w:hAnsi="Calibri"/>
          <w:sz w:val="19"/>
          <w:szCs w:val="19"/>
          <w:b w:val="1"/>
          <w:bCs w:val="1"/>
          <w:color w:val="auto"/>
        </w:rPr>
        <w:t>Labor Law Acknowledgement</w:t>
      </w:r>
    </w:p>
    <w:p>
      <w:pPr>
        <w:spacing w:after="0" w:line="135" w:lineRule="exact"/>
        <w:rPr>
          <w:sz w:val="20"/>
          <w:szCs w:val="20"/>
          <w:color w:val="auto"/>
        </w:rPr>
      </w:pPr>
    </w:p>
    <w:p>
      <w:pPr>
        <w:jc w:val="both"/>
        <w:ind w:left="1360"/>
        <w:spacing w:after="0" w:line="204" w:lineRule="auto"/>
        <w:rPr>
          <w:sz w:val="20"/>
          <w:szCs w:val="20"/>
          <w:color w:val="auto"/>
        </w:rPr>
      </w:pPr>
      <w:r>
        <w:rPr>
          <w:rFonts w:ascii="Calibri" w:cs="Calibri" w:eastAsia="Calibri" w:hAnsi="Calibri"/>
          <w:sz w:val="19"/>
          <w:szCs w:val="19"/>
          <w:color w:val="auto"/>
        </w:rPr>
        <w:t>The Agreement and the Plan, including benefts provided thereunder, are separate arrangements between Employee and the Company and are unrelated to Employee’s employment with the Thai Subsidiary. The Agreement and the Plan are not part of the terms and conditons of Employee’s employment with the Thai Subsidiary. Any income recognized under the Agreement and the Plan, if any, is not part of Employee’s remuneraton from employment with the Thai Subsidiary.</w:t>
      </w:r>
    </w:p>
    <w:p>
      <w:pPr>
        <w:spacing w:after="0" w:line="185" w:lineRule="auto"/>
        <w:tabs>
          <w:tab w:leader="none" w:pos="1340" w:val="left"/>
        </w:tabs>
        <w:rPr>
          <w:sz w:val="20"/>
          <w:szCs w:val="20"/>
          <w:color w:val="auto"/>
        </w:rPr>
      </w:pPr>
      <w:r>
        <w:rPr>
          <w:rFonts w:ascii="Calibri" w:cs="Calibri" w:eastAsia="Calibri" w:hAnsi="Calibri"/>
          <w:sz w:val="24"/>
          <w:szCs w:val="24"/>
          <w:b w:val="1"/>
          <w:bCs w:val="1"/>
          <w:color w:val="auto"/>
          <w:vertAlign w:val="subscript"/>
        </w:rPr>
        <w:t>Trinidad</w:t>
      </w:r>
      <w:r>
        <w:rPr>
          <w:sz w:val="20"/>
          <w:szCs w:val="20"/>
          <w:color w:val="auto"/>
        </w:rPr>
        <w:tab/>
      </w:r>
      <w:r>
        <w:rPr>
          <w:rFonts w:ascii="Calibri" w:cs="Calibri" w:eastAsia="Calibri" w:hAnsi="Calibri"/>
          <w:sz w:val="14"/>
          <w:szCs w:val="14"/>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-48895</wp:posOffset>
            </wp:positionV>
            <wp:extent cx="65081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4">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187" w:lineRule="exact"/>
        <w:rPr>
          <w:sz w:val="20"/>
          <w:szCs w:val="20"/>
          <w:color w:val="auto"/>
        </w:rPr>
      </w:pPr>
    </w:p>
    <w:p>
      <w:pPr>
        <w:jc w:val="both"/>
        <w:ind w:left="1360"/>
        <w:spacing w:after="0" w:line="206" w:lineRule="auto"/>
        <w:rPr>
          <w:sz w:val="20"/>
          <w:szCs w:val="20"/>
          <w:color w:val="auto"/>
        </w:rPr>
      </w:pPr>
      <w:r>
        <w:rPr>
          <w:rFonts w:ascii="Calibri" w:cs="Calibri" w:eastAsia="Calibri" w:hAnsi="Calibri"/>
          <w:sz w:val="19"/>
          <w:szCs w:val="19"/>
          <w:color w:val="auto"/>
        </w:rPr>
        <w:t>The grant of Restricted Stock Units is intended to satsfy the conditons for exemptons granted by the Trinidad and Tobago Securites and Exchange Commission. In the event this grant does not satsfy the applicable conditons, the same must be registered under the Securites Act, Chap. 83:02.</w:t>
      </w:r>
    </w:p>
    <w:p>
      <w:pPr>
        <w:sectPr>
          <w:pgSz w:w="11900" w:h="16838" w:orient="portrait"/>
          <w:cols w:equalWidth="0" w:num="1">
            <w:col w:w="10100"/>
          </w:cols>
          <w:pgMar w:left="400" w:top="360" w:right="1399" w:bottom="1440" w:gutter="0" w:footer="0" w:header="0"/>
        </w:sectPr>
      </w:pPr>
    </w:p>
    <w:p>
      <w:pPr>
        <w:spacing w:after="0" w:line="176" w:lineRule="exact"/>
        <w:rPr>
          <w:sz w:val="20"/>
          <w:szCs w:val="20"/>
          <w:color w:val="auto"/>
        </w:rPr>
      </w:pPr>
    </w:p>
    <w:p>
      <w:pPr>
        <w:spacing w:after="0" w:line="260" w:lineRule="auto"/>
        <w:rPr>
          <w:sz w:val="20"/>
          <w:szCs w:val="20"/>
          <w:color w:val="auto"/>
        </w:rPr>
      </w:pPr>
      <w:r>
        <w:rPr>
          <w:rFonts w:ascii="Calibri" w:cs="Calibri" w:eastAsia="Calibri" w:hAnsi="Calibri"/>
          <w:sz w:val="19"/>
          <w:szCs w:val="19"/>
          <w:b w:val="1"/>
          <w:bCs w:val="1"/>
          <w:color w:val="auto"/>
        </w:rPr>
        <w:t>United Arab Emirates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-135255</wp:posOffset>
            </wp:positionV>
            <wp:extent cx="65081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5">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51" w:lineRule="exact"/>
        <w:rPr>
          <w:sz w:val="20"/>
          <w:szCs w:val="20"/>
          <w:color w:val="auto"/>
        </w:rPr>
      </w:pPr>
    </w:p>
    <w:p>
      <w:pPr>
        <w:jc w:val="both"/>
        <w:spacing w:after="0" w:line="199" w:lineRule="auto"/>
        <w:rPr>
          <w:sz w:val="20"/>
          <w:szCs w:val="20"/>
          <w:color w:val="auto"/>
        </w:rPr>
      </w:pPr>
      <w:r>
        <w:rPr>
          <w:rFonts w:ascii="Calibri" w:cs="Calibri" w:eastAsia="Calibri" w:hAnsi="Calibri"/>
          <w:sz w:val="19"/>
          <w:szCs w:val="19"/>
          <w:color w:val="auto"/>
        </w:rPr>
        <w:t>The Plan has not been approved or licensed by the UAE Central Bank or any other relevant licensing authorites or governmental agencies in the United Arab Emirates. The Plan is strictly private and confdental and has not been reviewed by, deposited or registered with the UAE Central Bank or any other licensing authority or governmental agencies in the United Arab Emirates. This Plan is being issued from outside the United Arab Emirates to a limited number of employees of the Company and its afliated companies and must not be provided to any person other than the original recipient and may not be reproduced or used for any other purpose. Further, the informaton contained in this report is not intended to lead to the issue of any securites or the conclusion of any other contract of whatsoever nature within the territory of the United Arab Emirates.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95250</wp:posOffset>
            </wp:positionV>
            <wp:extent cx="65081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6">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ectPr>
          <w:pgSz w:w="11900" w:h="16838" w:orient="portrait"/>
          <w:cols w:equalWidth="0" w:num="2">
            <w:col w:w="960" w:space="400"/>
            <w:col w:w="8740"/>
          </w:cols>
          <w:pgMar w:left="400" w:top="360" w:right="1399" w:bottom="1440" w:gutter="0" w:footer="0" w:header="0"/>
          <w:type w:val="continuous"/>
        </w:sectPr>
      </w:pPr>
    </w:p>
    <w:bookmarkStart w:id="148" w:name="page149"/>
    <w:bookmarkEnd w:id="148"/>
    <w:p>
      <w:pPr>
        <w:spacing w:after="0" w:line="45" w:lineRule="exact"/>
        <w:rPr>
          <w:sz w:val="20"/>
          <w:szCs w:val="20"/>
          <w:color w:val="auto"/>
        </w:rPr>
      </w:pPr>
    </w:p>
    <w:p>
      <w:pPr>
        <w:spacing w:after="0" w:line="288" w:lineRule="auto"/>
        <w:rPr>
          <w:sz w:val="20"/>
          <w:szCs w:val="20"/>
          <w:color w:val="auto"/>
        </w:rPr>
      </w:pPr>
      <w:r>
        <w:rPr>
          <w:rFonts w:ascii="Calibri" w:cs="Calibri" w:eastAsia="Calibri" w:hAnsi="Calibri"/>
          <w:sz w:val="18"/>
          <w:szCs w:val="18"/>
          <w:b w:val="1"/>
          <w:bCs w:val="1"/>
          <w:color w:val="auto"/>
        </w:rPr>
        <w:t>United Kingdom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9"/>
          <w:szCs w:val="19"/>
          <w:b w:val="1"/>
          <w:bCs w:val="1"/>
          <w:color w:val="auto"/>
        </w:rPr>
        <w:t>Withholding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-135255</wp:posOffset>
            </wp:positionV>
            <wp:extent cx="65081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7">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Calibri" w:cs="Calibri" w:eastAsia="Calibri" w:hAnsi="Calibri"/>
          <w:sz w:val="19"/>
          <w:szCs w:val="19"/>
          <w:color w:val="auto"/>
        </w:rPr>
        <w:t>This provision shall supplement Paragraph 8 of the Agreement:</w:t>
      </w:r>
    </w:p>
    <w:p>
      <w:pPr>
        <w:spacing w:after="0" w:line="161" w:lineRule="exact"/>
        <w:rPr>
          <w:sz w:val="20"/>
          <w:szCs w:val="20"/>
          <w:color w:val="auto"/>
        </w:rPr>
      </w:pPr>
    </w:p>
    <w:p>
      <w:pPr>
        <w:jc w:val="both"/>
        <w:spacing w:after="0" w:line="203" w:lineRule="auto"/>
        <w:rPr>
          <w:sz w:val="20"/>
          <w:szCs w:val="20"/>
          <w:color w:val="auto"/>
        </w:rPr>
      </w:pPr>
      <w:r>
        <w:rPr>
          <w:rFonts w:ascii="Calibri" w:cs="Calibri" w:eastAsia="Calibri" w:hAnsi="Calibri"/>
          <w:sz w:val="19"/>
          <w:szCs w:val="19"/>
          <w:color w:val="auto"/>
        </w:rPr>
        <w:t>Without limitaton to Paragraph 8 of the Agreement, Employee agrees that Employee is liable for all Tax-Related Items and hereby covenants to pay all such Tax-Related Items, as and when requested by the Company, the Employer or by Her Majesty’s Revenue and Customs (“HMRC”) (or any other tax authority or any other relevant authority). Employee also agrees to indemnify and keep indemnifed the Company and the Employer against any Tax-Related Items that they are required to pay or withhold or have paid or will pay on Employee’s behalf to HMRC (or any other tax authority or any other relevant authority).</w:t>
      </w:r>
    </w:p>
    <w:p>
      <w:pPr>
        <w:spacing w:after="0" w:line="164" w:lineRule="exact"/>
        <w:rPr>
          <w:sz w:val="20"/>
          <w:szCs w:val="20"/>
          <w:color w:val="auto"/>
        </w:rPr>
      </w:pPr>
    </w:p>
    <w:p>
      <w:pPr>
        <w:jc w:val="both"/>
        <w:spacing w:after="0" w:line="199" w:lineRule="auto"/>
        <w:rPr>
          <w:sz w:val="20"/>
          <w:szCs w:val="20"/>
          <w:color w:val="auto"/>
        </w:rPr>
      </w:pPr>
      <w:r>
        <w:rPr>
          <w:rFonts w:ascii="Calibri" w:cs="Calibri" w:eastAsia="Calibri" w:hAnsi="Calibri"/>
          <w:sz w:val="19"/>
          <w:szCs w:val="19"/>
          <w:color w:val="auto"/>
        </w:rPr>
        <w:t>Notwithstanding the foregoing, if Employee is a director or executve ofcer (as within the meaning of Secton 13(k) of the U.S. Securites Exchange Act of 1934, as amended), the terms of the immediately foregoing provision will not apply. In the event that Employee is a director or executve ofcer and income tax due is not collected from or paid by Employee within ninety (90) days afer the U.K. tax year in which an event giving rise to the indemnifcaton described above occurs, the amount of any uncollected tax may consttute a beneft to Employee on which additonal income tax and natonal insurance contributons may be payable. Employee acknowledges that Employee ultmately will be responsible for reportng and paying any income tax due on this additonal beneft directly to HMRC under the self-assessment regime and for paying the Company or the Employer (as applicable) the amount of any employee natonal insurance contributons due on this additonal beneft, which the Company and/or the Employer may recover from Employee at any tme thereafer by any of the means referred to in Paragraph 8 of the Agreement.</w:t>
      </w:r>
    </w:p>
    <w:p>
      <w:pPr>
        <w:spacing w:after="0" w:line="5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Exclusion of Claim</w:t>
      </w:r>
    </w:p>
    <w:p>
      <w:pPr>
        <w:spacing w:after="0" w:line="71" w:lineRule="exact"/>
        <w:rPr>
          <w:sz w:val="20"/>
          <w:szCs w:val="20"/>
          <w:color w:val="auto"/>
        </w:rPr>
      </w:pPr>
    </w:p>
    <w:p>
      <w:pPr>
        <w:jc w:val="both"/>
        <w:spacing w:after="0" w:line="204" w:lineRule="auto"/>
        <w:rPr>
          <w:sz w:val="20"/>
          <w:szCs w:val="20"/>
          <w:color w:val="auto"/>
        </w:rPr>
      </w:pPr>
      <w:r>
        <w:rPr>
          <w:rFonts w:ascii="Calibri" w:cs="Calibri" w:eastAsia="Calibri" w:hAnsi="Calibri"/>
          <w:sz w:val="19"/>
          <w:szCs w:val="19"/>
          <w:color w:val="auto"/>
        </w:rPr>
        <w:t>Employee acknowledges and agrees that Employee will have no enttlement to compensaton or damages insofar as such enttlement arises or may arise from Employee ceasing to have rights under or to be enttled to Restricted Stock Units, whether or not as a result of terminaton of employment (whether such terminaton is in breach of contract or otherwise), or from the loss or diminuton in value of the Restricted Stock Units. Upon the grant of the Restricted Stock Units, Employee shall be deemed to have waived irrevocably such enttlement.</w:t>
      </w:r>
    </w:p>
    <w:p>
      <w:pPr>
        <w:spacing w:after="0" w:line="1" w:lineRule="exact"/>
        <w:rPr>
          <w:sz w:val="20"/>
          <w:szCs w:val="20"/>
          <w:color w:val="auto"/>
        </w:rPr>
      </w:pPr>
    </w:p>
    <w:p>
      <w:pPr>
        <w:sectPr>
          <w:pgSz w:w="11900" w:h="16838" w:orient="portrait"/>
          <w:cols w:equalWidth="0" w:num="2">
            <w:col w:w="700" w:space="660"/>
            <w:col w:w="8740"/>
          </w:cols>
          <w:pgMar w:left="400" w:top="766" w:right="1399" w:bottom="1440" w:gutter="0" w:footer="0" w:header="0"/>
        </w:sectPr>
      </w:pPr>
    </w:p>
    <w:p>
      <w:pPr>
        <w:spacing w:after="0" w:line="185" w:lineRule="auto"/>
        <w:tabs>
          <w:tab w:leader="none" w:pos="1340" w:val="left"/>
        </w:tabs>
        <w:rPr>
          <w:sz w:val="20"/>
          <w:szCs w:val="20"/>
          <w:color w:val="auto"/>
        </w:rPr>
      </w:pPr>
      <w:r>
        <w:rPr>
          <w:rFonts w:ascii="Calibri" w:cs="Calibri" w:eastAsia="Calibri" w:hAnsi="Calibri"/>
          <w:sz w:val="24"/>
          <w:szCs w:val="24"/>
          <w:b w:val="1"/>
          <w:bCs w:val="1"/>
          <w:color w:val="auto"/>
          <w:vertAlign w:val="subscript"/>
        </w:rPr>
        <w:t>Venezuela</w:t>
      </w:r>
      <w:r>
        <w:rPr>
          <w:sz w:val="20"/>
          <w:szCs w:val="20"/>
          <w:color w:val="auto"/>
        </w:rPr>
        <w:tab/>
      </w:r>
      <w:r>
        <w:rPr>
          <w:rFonts w:ascii="Calibri" w:cs="Calibri" w:eastAsia="Calibri" w:hAnsi="Calibri"/>
          <w:sz w:val="14"/>
          <w:szCs w:val="14"/>
          <w:b w:val="1"/>
          <w:bCs w:val="1"/>
          <w:color w:val="auto"/>
        </w:rPr>
        <w:t>Securites Law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-57150</wp:posOffset>
            </wp:positionV>
            <wp:extent cx="65081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8">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pacing w:after="0" w:line="174" w:lineRule="exact"/>
        <w:rPr>
          <w:sz w:val="20"/>
          <w:szCs w:val="20"/>
          <w:color w:val="auto"/>
        </w:rPr>
      </w:pPr>
    </w:p>
    <w:p>
      <w:pPr>
        <w:jc w:val="both"/>
        <w:ind w:left="1360"/>
        <w:spacing w:after="0" w:line="210" w:lineRule="auto"/>
        <w:rPr>
          <w:sz w:val="20"/>
          <w:szCs w:val="20"/>
          <w:color w:val="auto"/>
        </w:rPr>
      </w:pPr>
      <w:r>
        <w:rPr>
          <w:rFonts w:ascii="Calibri" w:cs="Calibri" w:eastAsia="Calibri" w:hAnsi="Calibri"/>
          <w:sz w:val="19"/>
          <w:szCs w:val="19"/>
          <w:color w:val="auto"/>
        </w:rPr>
        <w:t>The ofer of Restricted Stock Units and the shares of Stock that may be issued under the Plan is personal, private, exclusive and non-transferable and is not subject to Venezuelan government securites regulatons.</w:t>
      </w:r>
    </w:p>
    <w:p>
      <w:pPr>
        <w:spacing w:after="0" w:line="65" w:lineRule="exact"/>
        <w:rPr>
          <w:sz w:val="20"/>
          <w:szCs w:val="20"/>
          <w:color w:val="auto"/>
        </w:rPr>
      </w:pPr>
    </w:p>
    <w:p>
      <w:pPr>
        <w:ind w:left="1360"/>
        <w:spacing w:after="0"/>
        <w:rPr>
          <w:sz w:val="20"/>
          <w:szCs w:val="20"/>
          <w:color w:val="auto"/>
        </w:rPr>
      </w:pPr>
      <w:r>
        <w:rPr>
          <w:rFonts w:ascii="Calibri" w:cs="Calibri" w:eastAsia="Calibri" w:hAnsi="Calibri"/>
          <w:sz w:val="19"/>
          <w:szCs w:val="19"/>
          <w:b w:val="1"/>
          <w:bCs w:val="1"/>
          <w:color w:val="auto"/>
        </w:rPr>
        <w:t>Foreign Exchange Informaton</w:t>
      </w:r>
    </w:p>
    <w:p>
      <w:pPr>
        <w:spacing w:after="0" w:line="71" w:lineRule="exact"/>
        <w:rPr>
          <w:sz w:val="20"/>
          <w:szCs w:val="20"/>
          <w:color w:val="auto"/>
        </w:rPr>
      </w:pPr>
    </w:p>
    <w:p>
      <w:pPr>
        <w:jc w:val="both"/>
        <w:ind w:left="1360"/>
        <w:spacing w:after="0" w:line="201" w:lineRule="auto"/>
        <w:rPr>
          <w:sz w:val="20"/>
          <w:szCs w:val="20"/>
          <w:color w:val="auto"/>
        </w:rPr>
      </w:pPr>
      <w:r>
        <w:rPr>
          <w:rFonts w:ascii="Calibri" w:cs="Calibri" w:eastAsia="Calibri" w:hAnsi="Calibri"/>
          <w:sz w:val="19"/>
          <w:szCs w:val="19"/>
          <w:color w:val="auto"/>
        </w:rPr>
        <w:t>Venezuelan exchange control rules may apply in connecton with Employee’s partcipaton in the Plan and the transfer of cash proceeds into Venezuela. Following the sale of shares of Stock acquired under the Plan, Employee may be subject to certain restrictons and compliance dutes if Employee atempts to transfer such cash proceeds into Venezuela. Employee is personally responsible for complying with applicable exchange control requirements in Venezuela.</w:t>
      </w:r>
    </w:p>
    <w:p>
      <w:pPr>
        <w:spacing w:after="0" w:line="67" w:lineRule="exact"/>
        <w:rPr>
          <w:sz w:val="20"/>
          <w:szCs w:val="20"/>
          <w:color w:val="auto"/>
        </w:rPr>
      </w:pPr>
    </w:p>
    <w:p>
      <w:pPr>
        <w:ind w:left="1360"/>
        <w:spacing w:after="0"/>
        <w:rPr>
          <w:sz w:val="20"/>
          <w:szCs w:val="20"/>
          <w:color w:val="auto"/>
        </w:rPr>
      </w:pPr>
      <w:r>
        <w:rPr>
          <w:rFonts w:ascii="Calibri" w:cs="Calibri" w:eastAsia="Calibri" w:hAnsi="Calibri"/>
          <w:sz w:val="19"/>
          <w:szCs w:val="19"/>
          <w:b w:val="1"/>
          <w:bCs w:val="1"/>
          <w:color w:val="auto"/>
        </w:rPr>
        <w:t>Labor Law Acknowledgment</w:t>
      </w:r>
    </w:p>
    <w:p>
      <w:pPr>
        <w:spacing w:after="0" w:line="71" w:lineRule="exact"/>
        <w:rPr>
          <w:sz w:val="20"/>
          <w:szCs w:val="20"/>
          <w:color w:val="auto"/>
        </w:rPr>
      </w:pPr>
    </w:p>
    <w:p>
      <w:pPr>
        <w:jc w:val="both"/>
        <w:ind w:left="1360"/>
        <w:spacing w:after="0" w:line="201" w:lineRule="auto"/>
        <w:rPr>
          <w:sz w:val="20"/>
          <w:szCs w:val="20"/>
          <w:color w:val="auto"/>
        </w:rPr>
      </w:pPr>
      <w:r>
        <w:rPr>
          <w:rFonts w:ascii="Calibri" w:cs="Calibri" w:eastAsia="Calibri" w:hAnsi="Calibri"/>
          <w:sz w:val="19"/>
          <w:szCs w:val="19"/>
          <w:color w:val="auto"/>
        </w:rPr>
        <w:t>Employee acknowledges and agrees that the Plan, as well as any benefts or advantages Employee might eventually receive as a result of the receipt and sale of any shares of Stock, consttute commercial items governed by the commercial laws of the United States and will be the result of market forces driving the price of the shares of Stock which are not dependent upon Employee’s performance as an employee and, as result, will not consttute part of Employee’s salary for any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29210</wp:posOffset>
            </wp:positionV>
            <wp:extent cx="65081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9">
                      <a:extLst>
                        <a:ext uri="{28A0092B-C50C-407E-A947-70E740481C1C}"/>
                      </a:extLst>
                    </a:blip>
                    <a:srcRect/>
                    <a:stretch>
                      <a:fillRect/>
                    </a:stretch>
                  </pic:blipFill>
                  <pic:spPr bwMode="auto">
                    <a:xfrm>
                      <a:off x="0" y="0"/>
                      <a:ext cx="6508115" cy="8255"/>
                    </a:xfrm>
                    <a:prstGeom prst="rect">
                      <a:avLst/>
                    </a:prstGeom>
                    <a:noFill/>
                  </pic:spPr>
                </pic:pic>
              </a:graphicData>
            </a:graphic>
          </wp:anchor>
        </w:drawing>
      </w:r>
    </w:p>
    <w:p>
      <w:pPr>
        <w:sectPr>
          <w:pgSz w:w="11900" w:h="16838" w:orient="portrait"/>
          <w:cols w:equalWidth="0" w:num="1">
            <w:col w:w="10100"/>
          </w:cols>
          <w:pgMar w:left="400" w:top="766" w:right="1399" w:bottom="1440" w:gutter="0" w:footer="0" w:header="0"/>
          <w:type w:val="continuous"/>
        </w:sectPr>
      </w:pPr>
    </w:p>
    <w:bookmarkStart w:id="149" w:name="page150"/>
    <w:bookmarkEnd w:id="149"/>
    <w:p>
      <w:pPr>
        <w:spacing w:after="0" w:line="213" w:lineRule="auto"/>
        <w:rPr>
          <w:sz w:val="20"/>
          <w:szCs w:val="20"/>
          <w:color w:val="auto"/>
        </w:rPr>
      </w:pPr>
      <w:r>
        <w:rPr>
          <w:rFonts w:ascii="Calibri" w:cs="Calibri" w:eastAsia="Calibri" w:hAnsi="Calibri"/>
          <w:sz w:val="19"/>
          <w:szCs w:val="19"/>
          <w:b w:val="1"/>
          <w:bCs w:val="1"/>
          <w:color w:val="auto"/>
        </w:rPr>
        <w:t>IN WITNESS WHEREOF</w:t>
      </w:r>
      <w:r>
        <w:rPr>
          <w:rFonts w:ascii="Calibri" w:cs="Calibri" w:eastAsia="Calibri" w:hAnsi="Calibri"/>
          <w:sz w:val="19"/>
          <w:szCs w:val="19"/>
          <w:color w:val="auto"/>
        </w:rPr>
        <w:t>, the Company has caused this Agreement to be duly executed by an ofcer thereunto duly authorized as of the date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frst above writen.</w:t>
      </w:r>
    </w:p>
    <w:p>
      <w:pPr>
        <w:ind w:left="1220"/>
        <w:spacing w:after="0" w:line="194" w:lineRule="auto"/>
        <w:rPr>
          <w:sz w:val="20"/>
          <w:szCs w:val="20"/>
          <w:color w:val="auto"/>
        </w:rPr>
      </w:pPr>
      <w:r>
        <w:rPr>
          <w:rFonts w:ascii="Calibri" w:cs="Calibri" w:eastAsia="Calibri" w:hAnsi="Calibri"/>
          <w:sz w:val="19"/>
          <w:szCs w:val="19"/>
          <w:b w:val="1"/>
          <w:bCs w:val="1"/>
          <w:color w:val="auto"/>
        </w:rPr>
        <w:t>HALLIBURTON COMPANY</w:t>
      </w:r>
    </w:p>
    <w:p>
      <w:pPr>
        <w:spacing w:after="0" w:line="387" w:lineRule="exact"/>
        <w:rPr>
          <w:sz w:val="20"/>
          <w:szCs w:val="20"/>
          <w:color w:val="auto"/>
        </w:rPr>
      </w:pPr>
    </w:p>
    <w:p>
      <w:pPr>
        <w:ind w:left="1220"/>
        <w:spacing w:after="0"/>
        <w:rPr>
          <w:sz w:val="20"/>
          <w:szCs w:val="20"/>
          <w:color w:val="auto"/>
        </w:rPr>
      </w:pPr>
      <w:r>
        <w:rPr>
          <w:rFonts w:ascii="Calibri" w:cs="Calibri" w:eastAsia="Calibri" w:hAnsi="Calibri"/>
          <w:sz w:val="19"/>
          <w:szCs w:val="19"/>
          <w:color w:val="auto"/>
        </w:rPr>
        <w:t>By</w:t>
      </w:r>
    </w:p>
    <w:p>
      <w:pPr>
        <w:spacing w:after="0" w:line="142" w:lineRule="exact"/>
        <w:rPr>
          <w:sz w:val="20"/>
          <w:szCs w:val="20"/>
          <w:color w:val="auto"/>
        </w:rPr>
      </w:pPr>
    </w:p>
    <w:p>
      <w:pPr>
        <w:ind w:left="1220"/>
        <w:spacing w:after="0"/>
        <w:rPr>
          <w:sz w:val="20"/>
          <w:szCs w:val="20"/>
          <w:color w:val="auto"/>
        </w:rPr>
      </w:pPr>
      <w:r>
        <w:rPr>
          <w:rFonts w:ascii="Calibri" w:cs="Calibri" w:eastAsia="Calibri" w:hAnsi="Calibri"/>
          <w:sz w:val="19"/>
          <w:szCs w:val="19"/>
          <w:color w:val="auto"/>
        </w:rPr>
        <w:t>Jefrey A. Miller</w:t>
      </w:r>
    </w:p>
    <w:p>
      <w:pPr>
        <w:ind w:left="1220"/>
        <w:spacing w:after="0" w:line="200" w:lineRule="auto"/>
        <w:rPr>
          <w:sz w:val="20"/>
          <w:szCs w:val="20"/>
          <w:color w:val="auto"/>
        </w:rPr>
      </w:pPr>
      <w:r>
        <w:rPr>
          <w:rFonts w:ascii="Calibri" w:cs="Calibri" w:eastAsia="Calibri" w:hAnsi="Calibri"/>
          <w:sz w:val="19"/>
          <w:szCs w:val="19"/>
          <w:color w:val="auto"/>
        </w:rPr>
        <w:t>Chairman, President and Chief Executve Ofcer</w:t>
      </w:r>
    </w:p>
    <w:p>
      <w:pPr>
        <w:spacing w:after="0" w:line="18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 xml:space="preserve">I HEREBY AGREE TO THE TERMS AND CONDITIONS SET FORTH IN THIS RESTRICTED STOCK UNIT AGREEMENT DATED </w:t>
      </w:r>
      <w:r>
        <w:rPr>
          <w:rFonts w:ascii="Calibri" w:cs="Calibri" w:eastAsia="Calibri" w:hAnsi="Calibri"/>
          <w:sz w:val="19"/>
          <w:szCs w:val="19"/>
          <w:b w:val="1"/>
          <w:bCs w:val="1"/>
          <w:color w:val="auto"/>
          <w:highlight w:val="yellow"/>
        </w:rPr>
        <w:t>&lt;&lt;Grant Date&gt;&gt;.</w:t>
      </w:r>
    </w:p>
    <w:p>
      <w:pPr>
        <w:spacing w:after="0" w:line="193" w:lineRule="exact"/>
        <w:rPr>
          <w:sz w:val="20"/>
          <w:szCs w:val="20"/>
          <w:color w:val="auto"/>
        </w:rPr>
      </w:pPr>
    </w:p>
    <w:p>
      <w:pPr>
        <w:spacing w:after="0"/>
        <w:rPr>
          <w:sz w:val="20"/>
          <w:szCs w:val="20"/>
          <w:color w:val="auto"/>
        </w:rPr>
      </w:pPr>
      <w:r>
        <w:rPr>
          <w:rFonts w:ascii="Calibri" w:cs="Calibri" w:eastAsia="Calibri" w:hAnsi="Calibri"/>
          <w:sz w:val="19"/>
          <w:szCs w:val="19"/>
          <w:color w:val="auto"/>
          <w:highlight w:val="yellow"/>
        </w:rPr>
        <w:t>&lt;&lt;Electronic Signature&gt;&gt;</w:t>
      </w:r>
    </w:p>
    <w:p>
      <w:pPr>
        <w:spacing w:after="0" w:line="142" w:lineRule="exact"/>
        <w:rPr>
          <w:sz w:val="20"/>
          <w:szCs w:val="20"/>
          <w:color w:val="auto"/>
        </w:rPr>
      </w:pPr>
    </w:p>
    <w:p>
      <w:pPr>
        <w:spacing w:after="0"/>
        <w:rPr>
          <w:sz w:val="20"/>
          <w:szCs w:val="20"/>
          <w:color w:val="auto"/>
        </w:rPr>
      </w:pPr>
      <w:r>
        <w:rPr>
          <w:rFonts w:ascii="Calibri" w:cs="Calibri" w:eastAsia="Calibri" w:hAnsi="Calibri"/>
          <w:sz w:val="19"/>
          <w:szCs w:val="19"/>
          <w:color w:val="auto"/>
          <w:highlight w:val="yellow"/>
        </w:rPr>
        <w:t>&lt;&lt;Acceptance Date&gt;&gt;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alibri" w:cs="Calibri" w:eastAsia="Calibri" w:hAnsi="Calibri"/>
          <w:sz w:val="15"/>
          <w:szCs w:val="15"/>
          <w:color w:val="auto"/>
        </w:rPr>
        <w:t>RSUUSX522</w:t>
      </w:r>
    </w:p>
    <w:p>
      <w:pPr>
        <w:sectPr>
          <w:pgSz w:w="11900" w:h="16838" w:orient="portrait"/>
          <w:cols w:equalWidth="0" w:num="1">
            <w:col w:w="11240"/>
          </w:cols>
          <w:pgMar w:left="320" w:top="707" w:right="339" w:bottom="1440" w:gutter="0" w:footer="0" w:header="0"/>
        </w:sectPr>
      </w:pPr>
    </w:p>
    <w:bookmarkStart w:id="150" w:name="page151"/>
    <w:bookmarkEnd w:id="150"/>
    <w:p>
      <w:pPr>
        <w:spacing w:after="0"/>
        <w:rPr>
          <w:sz w:val="20"/>
          <w:szCs w:val="20"/>
          <w:color w:val="auto"/>
        </w:rPr>
      </w:pPr>
      <w:r>
        <w:rPr>
          <w:rFonts w:ascii="Calibri" w:cs="Calibri" w:eastAsia="Calibri" w:hAnsi="Calibri"/>
          <w:sz w:val="27"/>
          <w:szCs w:val="27"/>
          <w:color w:val="auto"/>
        </w:rPr>
        <w:t>PERFORMANCE SHARE UNIT AWARD AGREEMENT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060" w:val="left"/>
        </w:tabs>
        <w:rPr>
          <w:sz w:val="20"/>
          <w:szCs w:val="20"/>
          <w:color w:val="auto"/>
        </w:rPr>
      </w:pPr>
      <w:r>
        <w:rPr>
          <w:rFonts w:ascii="Calibri" w:cs="Calibri" w:eastAsia="Calibri" w:hAnsi="Calibri"/>
          <w:sz w:val="19"/>
          <w:szCs w:val="19"/>
          <w:color w:val="auto"/>
        </w:rPr>
        <w:t>Grant Date:</w:t>
      </w:r>
      <w:r>
        <w:rPr>
          <w:sz w:val="20"/>
          <w:szCs w:val="20"/>
          <w:color w:val="auto"/>
        </w:rPr>
        <w:tab/>
      </w:r>
      <w:r>
        <w:rPr>
          <w:rFonts w:ascii="Calibri" w:cs="Calibri" w:eastAsia="Calibri" w:hAnsi="Calibri"/>
          <w:sz w:val="19"/>
          <w:szCs w:val="19"/>
          <w:b w:val="1"/>
          <w:bCs w:val="1"/>
          <w:color w:val="auto"/>
          <w:highlight w:val="yellow"/>
        </w:rPr>
        <w:t>&lt;&lt;Grant Date&gt;&gt;</w:t>
      </w:r>
    </w:p>
    <w:p>
      <w:pPr>
        <w:spacing w:after="0" w:line="181" w:lineRule="exact"/>
        <w:rPr>
          <w:sz w:val="20"/>
          <w:szCs w:val="20"/>
          <w:color w:val="auto"/>
        </w:rPr>
      </w:pPr>
    </w:p>
    <w:p>
      <w:pPr>
        <w:spacing w:after="0"/>
        <w:tabs>
          <w:tab w:leader="none" w:pos="2120" w:val="left"/>
        </w:tabs>
        <w:rPr>
          <w:sz w:val="20"/>
          <w:szCs w:val="20"/>
          <w:color w:val="auto"/>
        </w:rPr>
      </w:pPr>
      <w:r>
        <w:rPr>
          <w:rFonts w:ascii="Calibri" w:cs="Calibri" w:eastAsia="Calibri" w:hAnsi="Calibri"/>
          <w:sz w:val="19"/>
          <w:szCs w:val="19"/>
          <w:color w:val="auto"/>
        </w:rPr>
        <w:t>Grantee (“Employee”):</w:t>
      </w:r>
      <w:r>
        <w:rPr>
          <w:sz w:val="20"/>
          <w:szCs w:val="20"/>
          <w:color w:val="auto"/>
        </w:rPr>
        <w:tab/>
      </w:r>
      <w:r>
        <w:rPr>
          <w:rFonts w:ascii="Calibri" w:cs="Calibri" w:eastAsia="Calibri" w:hAnsi="Calibri"/>
          <w:sz w:val="19"/>
          <w:szCs w:val="19"/>
          <w:b w:val="1"/>
          <w:bCs w:val="1"/>
          <w:color w:val="auto"/>
          <w:highlight w:val="yellow"/>
        </w:rPr>
        <w:t>&lt;&lt;Partcipant Name&gt;&gt;</w:t>
      </w:r>
    </w:p>
    <w:p>
      <w:pPr>
        <w:spacing w:after="0" w:line="193" w:lineRule="exact"/>
        <w:rPr>
          <w:sz w:val="20"/>
          <w:szCs w:val="20"/>
          <w:color w:val="auto"/>
        </w:rPr>
      </w:pPr>
    </w:p>
    <w:p>
      <w:pPr>
        <w:spacing w:after="0"/>
        <w:tabs>
          <w:tab w:leader="none" w:pos="6940" w:val="left"/>
        </w:tabs>
        <w:rPr>
          <w:sz w:val="20"/>
          <w:szCs w:val="20"/>
          <w:color w:val="auto"/>
        </w:rPr>
      </w:pPr>
      <w:r>
        <w:rPr>
          <w:rFonts w:ascii="Calibri" w:cs="Calibri" w:eastAsia="Calibri" w:hAnsi="Calibri"/>
          <w:sz w:val="19"/>
          <w:szCs w:val="19"/>
          <w:color w:val="auto"/>
        </w:rPr>
        <w:t>Aggregate Number of Performance Share Units Subject to Award (the “Plan Amount”):</w:t>
      </w:r>
      <w:r>
        <w:rPr>
          <w:sz w:val="20"/>
          <w:szCs w:val="20"/>
          <w:color w:val="auto"/>
        </w:rPr>
        <w:tab/>
      </w:r>
      <w:r>
        <w:rPr>
          <w:rFonts w:ascii="Calibri" w:cs="Calibri" w:eastAsia="Calibri" w:hAnsi="Calibri"/>
          <w:sz w:val="19"/>
          <w:szCs w:val="19"/>
          <w:b w:val="1"/>
          <w:bCs w:val="1"/>
          <w:color w:val="auto"/>
          <w:highlight w:val="yellow"/>
        </w:rPr>
        <w:t>&lt;&lt;Number_Units&gt;&gt;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10" w:lineRule="auto"/>
        <w:rPr>
          <w:sz w:val="20"/>
          <w:szCs w:val="20"/>
          <w:color w:val="auto"/>
        </w:rPr>
      </w:pPr>
      <w:r>
        <w:rPr>
          <w:rFonts w:ascii="Calibri" w:cs="Calibri" w:eastAsia="Calibri" w:hAnsi="Calibri"/>
          <w:sz w:val="19"/>
          <w:szCs w:val="19"/>
          <w:color w:val="auto"/>
        </w:rPr>
        <w:t xml:space="preserve">This </w:t>
      </w:r>
      <w:r>
        <w:rPr>
          <w:rFonts w:ascii="Calibri" w:cs="Calibri" w:eastAsia="Calibri" w:hAnsi="Calibri"/>
          <w:sz w:val="19"/>
          <w:szCs w:val="19"/>
          <w:b w:val="1"/>
          <w:bCs w:val="1"/>
          <w:color w:val="auto"/>
        </w:rPr>
        <w:t>PERFORMANCE SHARE UNIT AWARD AGREEMENT</w:t>
      </w:r>
      <w:r>
        <w:rPr>
          <w:rFonts w:ascii="Calibri" w:cs="Calibri" w:eastAsia="Calibri" w:hAnsi="Calibri"/>
          <w:sz w:val="19"/>
          <w:szCs w:val="19"/>
          <w:color w:val="auto"/>
        </w:rPr>
        <w:t xml:space="preserve"> (“Agreement”) is made as of </w:t>
      </w:r>
      <w:r>
        <w:rPr>
          <w:rFonts w:ascii="Calibri" w:cs="Calibri" w:eastAsia="Calibri" w:hAnsi="Calibri"/>
          <w:sz w:val="19"/>
          <w:szCs w:val="19"/>
          <w:b w:val="1"/>
          <w:bCs w:val="1"/>
          <w:color w:val="auto"/>
          <w:highlight w:val="yellow"/>
        </w:rPr>
        <w:t>&lt;&lt;Grant Date&gt;&gt;</w:t>
      </w:r>
      <w:r>
        <w:rPr>
          <w:rFonts w:ascii="Calibri" w:cs="Calibri" w:eastAsia="Calibri" w:hAnsi="Calibri"/>
          <w:sz w:val="19"/>
          <w:szCs w:val="19"/>
          <w:color w:val="auto"/>
        </w:rPr>
        <w:t xml:space="preserve">, between </w:t>
      </w:r>
      <w:r>
        <w:rPr>
          <w:rFonts w:ascii="Calibri" w:cs="Calibri" w:eastAsia="Calibri" w:hAnsi="Calibri"/>
          <w:sz w:val="19"/>
          <w:szCs w:val="19"/>
          <w:b w:val="1"/>
          <w:bCs w:val="1"/>
          <w:color w:val="auto"/>
        </w:rPr>
        <w:t>HALLIBURTON COMPANY</w:t>
      </w:r>
      <w:r>
        <w:rPr>
          <w:rFonts w:ascii="Calibri" w:cs="Calibri" w:eastAsia="Calibri" w:hAnsi="Calibri"/>
          <w:sz w:val="19"/>
          <w:szCs w:val="19"/>
          <w:color w:val="auto"/>
        </w:rPr>
        <w:t xml:space="preserve">, a Delaware corporaton (the “Company”), and </w:t>
      </w:r>
      <w:r>
        <w:rPr>
          <w:rFonts w:ascii="Calibri" w:cs="Calibri" w:eastAsia="Calibri" w:hAnsi="Calibri"/>
          <w:sz w:val="19"/>
          <w:szCs w:val="19"/>
          <w:b w:val="1"/>
          <w:bCs w:val="1"/>
          <w:color w:val="auto"/>
          <w:highlight w:val="yellow"/>
        </w:rPr>
        <w:t>&lt;&lt;Partcipant Name&gt;&gt;</w:t>
      </w:r>
      <w:r>
        <w:rPr>
          <w:rFonts w:ascii="Calibri" w:cs="Calibri" w:eastAsia="Calibri" w:hAnsi="Calibri"/>
          <w:sz w:val="19"/>
          <w:szCs w:val="19"/>
          <w:color w:val="auto"/>
        </w:rPr>
        <w:t xml:space="preserve"> (“Employee”).</w:t>
      </w:r>
    </w:p>
    <w:p>
      <w:pPr>
        <w:spacing w:after="0" w:line="200" w:lineRule="exact"/>
        <w:rPr>
          <w:sz w:val="20"/>
          <w:szCs w:val="20"/>
          <w:color w:val="auto"/>
        </w:rPr>
      </w:pPr>
    </w:p>
    <w:p>
      <w:pPr>
        <w:jc w:val="both"/>
        <w:ind w:left="620" w:hanging="307"/>
        <w:spacing w:after="0" w:line="201" w:lineRule="auto"/>
        <w:tabs>
          <w:tab w:leader="none" w:pos="612" w:val="left"/>
        </w:tabs>
        <w:numPr>
          <w:ilvl w:val="0"/>
          <w:numId w:val="89"/>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Award of Units</w:t>
      </w:r>
      <w:r>
        <w:rPr>
          <w:rFonts w:ascii="Calibri" w:cs="Calibri" w:eastAsia="Calibri" w:hAnsi="Calibri"/>
          <w:sz w:val="19"/>
          <w:szCs w:val="19"/>
          <w:color w:val="auto"/>
        </w:rPr>
        <w:t>. As a partcipant in the 2024 cycle (the “2024 Cycle”) of the Halliburton Company Performance Unit Program (the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“PUP”), which has been established under the Halliburton Company Stock and Incentve Plan, as amended (the “Plan”), ffy percent of Employee’s payout for the 2024 Cycle will be in the form of shares of Company common stock, par value USD 2.50 per share (“Stock”). Accordingly, Employee is hereby awarded the number of units equal to the Plan Amount, evidencing the right to receive shares of Stock, subject to the terms and conditons of this Agreement and the PUP. The units granted pursuant to this Agreement are referred to as the “Performance Share Units”.</w:t>
      </w:r>
    </w:p>
    <w:p>
      <w:pPr>
        <w:spacing w:after="0" w:line="201" w:lineRule="exact"/>
        <w:rPr>
          <w:rFonts w:ascii="Calibri" w:cs="Calibri" w:eastAsia="Calibri" w:hAnsi="Calibri"/>
          <w:sz w:val="19"/>
          <w:szCs w:val="19"/>
          <w:color w:val="auto"/>
        </w:rPr>
      </w:pPr>
    </w:p>
    <w:p>
      <w:pPr>
        <w:jc w:val="both"/>
        <w:ind w:left="620" w:hanging="307"/>
        <w:spacing w:after="0" w:line="205" w:lineRule="auto"/>
        <w:tabs>
          <w:tab w:leader="none" w:pos="612" w:val="left"/>
        </w:tabs>
        <w:numPr>
          <w:ilvl w:val="0"/>
          <w:numId w:val="89"/>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PUP and Plan Incorporated</w:t>
      </w:r>
      <w:r>
        <w:rPr>
          <w:rFonts w:ascii="Calibri" w:cs="Calibri" w:eastAsia="Calibri" w:hAnsi="Calibri"/>
          <w:sz w:val="19"/>
          <w:szCs w:val="19"/>
          <w:color w:val="auto"/>
        </w:rPr>
        <w:t>. Employee acknowledges receipt of a copy of the PUP and Plan and agrees that this award of Performance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Share Units shall be subject to all of the terms and conditons set forth in the PUP and Plan, including future amendments thereto. The PUP and Plan are incorporated herein by reference as a part of this Agreement. Except as otherwise defned herein, capitalized terms shall have the same meaning ascribed to them under the PUP and Plan.</w:t>
      </w:r>
    </w:p>
    <w:p>
      <w:pPr>
        <w:spacing w:after="0" w:line="181" w:lineRule="exact"/>
        <w:rPr>
          <w:rFonts w:ascii="Calibri" w:cs="Calibri" w:eastAsia="Calibri" w:hAnsi="Calibri"/>
          <w:sz w:val="19"/>
          <w:szCs w:val="19"/>
          <w:color w:val="auto"/>
        </w:rPr>
      </w:pPr>
    </w:p>
    <w:p>
      <w:pPr>
        <w:ind w:left="620" w:hanging="307"/>
        <w:spacing w:after="0"/>
        <w:tabs>
          <w:tab w:leader="none" w:pos="620" w:val="left"/>
        </w:tabs>
        <w:numPr>
          <w:ilvl w:val="0"/>
          <w:numId w:val="89"/>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Determinaton of the Final Number of Performance Share Units</w:t>
      </w:r>
      <w:r>
        <w:rPr>
          <w:rFonts w:ascii="Calibri" w:cs="Calibri" w:eastAsia="Calibri" w:hAnsi="Calibri"/>
          <w:sz w:val="19"/>
          <w:szCs w:val="19"/>
          <w:b w:val="1"/>
          <w:bCs w:val="1"/>
          <w:color w:val="auto"/>
        </w:rPr>
        <w:t>.</w:t>
      </w:r>
    </w:p>
    <w:p>
      <w:pPr>
        <w:spacing w:after="0" w:line="199" w:lineRule="exact"/>
        <w:rPr>
          <w:rFonts w:ascii="Calibri" w:cs="Calibri" w:eastAsia="Calibri" w:hAnsi="Calibri"/>
          <w:sz w:val="19"/>
          <w:szCs w:val="19"/>
          <w:color w:val="auto"/>
        </w:rPr>
      </w:pPr>
    </w:p>
    <w:p>
      <w:pPr>
        <w:jc w:val="both"/>
        <w:ind w:left="1240" w:hanging="309"/>
        <w:spacing w:after="0" w:line="204" w:lineRule="auto"/>
        <w:tabs>
          <w:tab w:leader="none" w:pos="1244" w:val="left"/>
        </w:tabs>
        <w:numPr>
          <w:ilvl w:val="1"/>
          <w:numId w:val="89"/>
        </w:numPr>
        <w:rPr>
          <w:rFonts w:ascii="Calibri" w:cs="Calibri" w:eastAsia="Calibri" w:hAnsi="Calibri"/>
          <w:sz w:val="19"/>
          <w:szCs w:val="19"/>
          <w:color w:val="auto"/>
        </w:rPr>
      </w:pPr>
      <w:r>
        <w:rPr>
          <w:rFonts w:ascii="Calibri" w:cs="Calibri" w:eastAsia="Calibri" w:hAnsi="Calibri"/>
          <w:sz w:val="19"/>
          <w:szCs w:val="19"/>
          <w:b w:val="1"/>
          <w:bCs w:val="1"/>
          <w:color w:val="auto"/>
        </w:rPr>
        <w:t xml:space="preserve">Performance Goals and Measures. </w:t>
      </w:r>
      <w:r>
        <w:rPr>
          <w:rFonts w:ascii="Calibri" w:cs="Calibri" w:eastAsia="Calibri" w:hAnsi="Calibri"/>
          <w:sz w:val="19"/>
          <w:szCs w:val="19"/>
          <w:color w:val="auto"/>
        </w:rPr>
        <w:t>The 2024 Cycle describes how the fnal number of Performance Share Units will be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calculated according to this Agreement. The fnal number of Performance Share Units will be between 0% and 250% of the Plan Amount (the “Final Award”) and will be based on the Compensaton Commitee’s (the “Commitee”) determinaton of (1) the Company’s relatve average Return on Capital Employed and (2) a relatve Total Shareholder Return modifer (collectvely, the “Performance Goals”) over the Performance Period.</w:t>
      </w:r>
    </w:p>
    <w:p>
      <w:pPr>
        <w:spacing w:after="0" w:line="181" w:lineRule="exact"/>
        <w:rPr>
          <w:rFonts w:ascii="Calibri" w:cs="Calibri" w:eastAsia="Calibri" w:hAnsi="Calibri"/>
          <w:sz w:val="19"/>
          <w:szCs w:val="19"/>
          <w:color w:val="auto"/>
        </w:rPr>
      </w:pPr>
    </w:p>
    <w:p>
      <w:pPr>
        <w:ind w:left="1240" w:hanging="309"/>
        <w:spacing w:after="0"/>
        <w:tabs>
          <w:tab w:leader="none" w:pos="1240" w:val="left"/>
        </w:tabs>
        <w:numPr>
          <w:ilvl w:val="1"/>
          <w:numId w:val="89"/>
        </w:numPr>
        <w:rPr>
          <w:rFonts w:ascii="Calibri" w:cs="Calibri" w:eastAsia="Calibri" w:hAnsi="Calibri"/>
          <w:sz w:val="19"/>
          <w:szCs w:val="19"/>
          <w:color w:val="auto"/>
        </w:rPr>
      </w:pPr>
      <w:r>
        <w:rPr>
          <w:rFonts w:ascii="Calibri" w:cs="Calibri" w:eastAsia="Calibri" w:hAnsi="Calibri"/>
          <w:sz w:val="19"/>
          <w:szCs w:val="19"/>
          <w:b w:val="1"/>
          <w:bCs w:val="1"/>
          <w:color w:val="auto"/>
        </w:rPr>
        <w:t xml:space="preserve">Performance Period. </w:t>
      </w:r>
      <w:r>
        <w:rPr>
          <w:rFonts w:ascii="Calibri" w:cs="Calibri" w:eastAsia="Calibri" w:hAnsi="Calibri"/>
          <w:sz w:val="19"/>
          <w:szCs w:val="19"/>
          <w:color w:val="auto"/>
        </w:rPr>
        <w:t>The 2024 Cycle begins on January 1, 2024 and ends on December 31, 2026 (the “Performance Period”).</w:t>
      </w:r>
    </w:p>
    <w:p>
      <w:pPr>
        <w:spacing w:after="0" w:line="199" w:lineRule="exact"/>
        <w:rPr>
          <w:rFonts w:ascii="Calibri" w:cs="Calibri" w:eastAsia="Calibri" w:hAnsi="Calibri"/>
          <w:sz w:val="19"/>
          <w:szCs w:val="19"/>
          <w:color w:val="auto"/>
        </w:rPr>
      </w:pPr>
    </w:p>
    <w:p>
      <w:pPr>
        <w:jc w:val="both"/>
        <w:ind w:left="1240" w:hanging="309"/>
        <w:spacing w:after="0" w:line="201" w:lineRule="auto"/>
        <w:tabs>
          <w:tab w:leader="none" w:pos="1233" w:val="left"/>
        </w:tabs>
        <w:numPr>
          <w:ilvl w:val="1"/>
          <w:numId w:val="89"/>
        </w:numPr>
        <w:rPr>
          <w:rFonts w:ascii="Calibri" w:cs="Calibri" w:eastAsia="Calibri" w:hAnsi="Calibri"/>
          <w:sz w:val="19"/>
          <w:szCs w:val="19"/>
          <w:color w:val="auto"/>
        </w:rPr>
      </w:pPr>
      <w:r>
        <w:rPr>
          <w:rFonts w:ascii="Calibri" w:cs="Calibri" w:eastAsia="Calibri" w:hAnsi="Calibri"/>
          <w:sz w:val="19"/>
          <w:szCs w:val="19"/>
          <w:b w:val="1"/>
          <w:bCs w:val="1"/>
          <w:color w:val="auto"/>
        </w:rPr>
        <w:t>Timing</w:t>
      </w:r>
      <w:r>
        <w:rPr>
          <w:rFonts w:ascii="Calibri" w:cs="Calibri" w:eastAsia="Calibri" w:hAnsi="Calibri"/>
          <w:sz w:val="19"/>
          <w:szCs w:val="19"/>
          <w:color w:val="auto"/>
        </w:rPr>
        <w:t>. Afer the close of the Performance Period, but in no event later than 60 days following the last day of the Performance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Period, the Commitee shall determine the extent to which the Performance Goals have been achieved in accordance with the 2024 Cycle and will determine the Final Award. Employee must be contnuously employed by the Company or a Subsidiary of the Company at all tmes from the Grant Date untl the end of the Performance Period in order to receive the Final Award. For the avoidance of doubt, if the Commitee determines that the level of achievement of the Performance Goals does not meet the minimum threshold requirement specifed in the 2024 Cycle, then all Performance Share Units will be forfeited.</w:t>
      </w:r>
    </w:p>
    <w:p>
      <w:pPr>
        <w:spacing w:after="0" w:line="194" w:lineRule="exact"/>
        <w:rPr>
          <w:rFonts w:ascii="Calibri" w:cs="Calibri" w:eastAsia="Calibri" w:hAnsi="Calibri"/>
          <w:sz w:val="19"/>
          <w:szCs w:val="19"/>
          <w:color w:val="auto"/>
        </w:rPr>
      </w:pPr>
    </w:p>
    <w:p>
      <w:pPr>
        <w:ind w:left="620" w:hanging="307"/>
        <w:spacing w:after="0"/>
        <w:tabs>
          <w:tab w:leader="none" w:pos="620" w:val="left"/>
        </w:tabs>
        <w:numPr>
          <w:ilvl w:val="0"/>
          <w:numId w:val="89"/>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Forfeiture of Performance Share Units</w:t>
      </w:r>
      <w:r>
        <w:rPr>
          <w:rFonts w:ascii="Calibri" w:cs="Calibri" w:eastAsia="Calibri" w:hAnsi="Calibri"/>
          <w:sz w:val="19"/>
          <w:szCs w:val="19"/>
          <w:color w:val="auto"/>
        </w:rPr>
        <w:t>.</w:t>
      </w:r>
    </w:p>
    <w:p>
      <w:pPr>
        <w:spacing w:after="0" w:line="199" w:lineRule="exact"/>
        <w:rPr>
          <w:rFonts w:ascii="Calibri" w:cs="Calibri" w:eastAsia="Calibri" w:hAnsi="Calibri"/>
          <w:sz w:val="19"/>
          <w:szCs w:val="19"/>
          <w:color w:val="auto"/>
        </w:rPr>
      </w:pPr>
    </w:p>
    <w:p>
      <w:pPr>
        <w:jc w:val="both"/>
        <w:ind w:left="1240" w:hanging="309"/>
        <w:spacing w:after="0" w:line="205" w:lineRule="auto"/>
        <w:tabs>
          <w:tab w:leader="none" w:pos="1244" w:val="left"/>
        </w:tabs>
        <w:numPr>
          <w:ilvl w:val="1"/>
          <w:numId w:val="89"/>
        </w:numPr>
        <w:rPr>
          <w:rFonts w:ascii="Calibri" w:cs="Calibri" w:eastAsia="Calibri" w:hAnsi="Calibri"/>
          <w:sz w:val="19"/>
          <w:szCs w:val="19"/>
          <w:color w:val="auto"/>
        </w:rPr>
      </w:pPr>
      <w:r>
        <w:rPr>
          <w:rFonts w:ascii="Calibri" w:cs="Calibri" w:eastAsia="Calibri" w:hAnsi="Calibri"/>
          <w:sz w:val="19"/>
          <w:szCs w:val="19"/>
          <w:b w:val="1"/>
          <w:bCs w:val="1"/>
          <w:color w:val="auto"/>
        </w:rPr>
        <w:t>General</w:t>
      </w:r>
      <w:r>
        <w:rPr>
          <w:rFonts w:ascii="Calibri" w:cs="Calibri" w:eastAsia="Calibri" w:hAnsi="Calibri"/>
          <w:sz w:val="19"/>
          <w:szCs w:val="19"/>
          <w:color w:val="auto"/>
        </w:rPr>
        <w:t>. Except as provided in this Secton 4, if Employee does not remain contnuously employed by the Company or a</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Subsidiary of the Company untl the end of the Performance Period, Employee will have no rights under this Agreement and all the Performance Share Units will be forfeited as of his or her Terminaton Date. For the avoidance of doubt, “Terminaton Date” for purposes of this award will be deemed to occur as of the date</w:t>
      </w:r>
    </w:p>
    <w:p>
      <w:pPr>
        <w:sectPr>
          <w:pgSz w:w="11900" w:h="16838" w:orient="portrait"/>
          <w:cols w:equalWidth="0" w:num="1">
            <w:col w:w="11240"/>
          </w:cols>
          <w:pgMar w:left="320" w:top="935" w:right="339" w:bottom="1440" w:gutter="0" w:footer="0" w:header="0"/>
        </w:sectPr>
      </w:pPr>
    </w:p>
    <w:bookmarkStart w:id="151" w:name="page152"/>
    <w:bookmarkEnd w:id="151"/>
    <w:p>
      <w:pPr>
        <w:jc w:val="both"/>
        <w:ind w:left="927"/>
        <w:spacing w:after="0" w:line="205" w:lineRule="auto"/>
        <w:rPr>
          <w:sz w:val="20"/>
          <w:szCs w:val="20"/>
          <w:color w:val="auto"/>
        </w:rPr>
      </w:pPr>
      <w:r>
        <w:rPr>
          <w:rFonts w:ascii="Calibri" w:cs="Calibri" w:eastAsia="Calibri" w:hAnsi="Calibri"/>
          <w:sz w:val="19"/>
          <w:szCs w:val="19"/>
          <w:color w:val="auto"/>
        </w:rPr>
        <w:t>Employee is no longer actvely providing services as an employee, unless otherwise determined by the Company in its sole discreton, and Employee shall not be considered to be actvely providing services during any notce period that may be specifed under contract or applicable law with respect to such terminaton, including any “garden leave” or similar period, except as may otherwise be permited in the Company’s sole discreton.</w:t>
      </w:r>
    </w:p>
    <w:p>
      <w:pPr>
        <w:spacing w:after="0" w:line="200" w:lineRule="exact"/>
        <w:rPr>
          <w:sz w:val="20"/>
          <w:szCs w:val="20"/>
          <w:color w:val="auto"/>
        </w:rPr>
      </w:pPr>
    </w:p>
    <w:p>
      <w:pPr>
        <w:jc w:val="both"/>
        <w:ind w:left="927" w:hanging="309"/>
        <w:spacing w:after="0" w:line="199" w:lineRule="auto"/>
        <w:tabs>
          <w:tab w:leader="none" w:pos="927" w:val="left"/>
        </w:tabs>
        <w:numPr>
          <w:ilvl w:val="0"/>
          <w:numId w:val="90"/>
        </w:numPr>
        <w:rPr>
          <w:rFonts w:ascii="Calibri" w:cs="Calibri" w:eastAsia="Calibri" w:hAnsi="Calibri"/>
          <w:sz w:val="19"/>
          <w:szCs w:val="19"/>
          <w:color w:val="auto"/>
        </w:rPr>
      </w:pPr>
      <w:r>
        <w:rPr>
          <w:rFonts w:ascii="Calibri" w:cs="Calibri" w:eastAsia="Calibri" w:hAnsi="Calibri"/>
          <w:sz w:val="19"/>
          <w:szCs w:val="19"/>
          <w:b w:val="1"/>
          <w:bCs w:val="1"/>
          <w:color w:val="auto"/>
        </w:rPr>
        <w:t>Death or Disability</w:t>
      </w:r>
      <w:r>
        <w:rPr>
          <w:rFonts w:ascii="Calibri" w:cs="Calibri" w:eastAsia="Calibri" w:hAnsi="Calibri"/>
          <w:sz w:val="19"/>
          <w:szCs w:val="19"/>
          <w:color w:val="auto"/>
        </w:rPr>
        <w:t>. If Employee’s employment with the Company terminates due to death or disability (as determined by the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Company) on or before the fnal day of the Performance Period, then the Company will cause a prorated number of Performance Share Units to be issued to Employee. The pro-rated amount will be equal to the product of (1) and (2) where (1) is the amount Employee would have received under this Agreement based on the actual results of the Performance Goals as determined by the Commitee if Employee’s employment with the Company had not been terminated due to Employee’s death or disability and (2) is a fracton, the numerator of which shall be the number of days Employee was employed during the Performance Period as of the Terminaton Date and the denominator of which is the total number of days in the Performance Period. On the date of setlement pursuant to Secton 5, payment will be made to Employee, Employee’s legal representatve, or the person to whom Employee’s rights pass to by will or the laws of descent and distributon.</w:t>
      </w:r>
    </w:p>
    <w:p>
      <w:pPr>
        <w:spacing w:after="0" w:line="190" w:lineRule="exact"/>
        <w:rPr>
          <w:rFonts w:ascii="Calibri" w:cs="Calibri" w:eastAsia="Calibri" w:hAnsi="Calibri"/>
          <w:sz w:val="19"/>
          <w:szCs w:val="19"/>
          <w:color w:val="auto"/>
        </w:rPr>
      </w:pPr>
    </w:p>
    <w:p>
      <w:pPr>
        <w:jc w:val="both"/>
        <w:ind w:left="927" w:hanging="309"/>
        <w:spacing w:after="0" w:line="225" w:lineRule="auto"/>
        <w:tabs>
          <w:tab w:leader="none" w:pos="920" w:val="left"/>
        </w:tabs>
        <w:numPr>
          <w:ilvl w:val="0"/>
          <w:numId w:val="90"/>
        </w:numPr>
        <w:rPr>
          <w:rFonts w:ascii="Calibri" w:cs="Calibri" w:eastAsia="Calibri" w:hAnsi="Calibri"/>
          <w:sz w:val="19"/>
          <w:szCs w:val="19"/>
          <w:color w:val="auto"/>
        </w:rPr>
      </w:pPr>
      <w:r>
        <w:rPr>
          <w:rFonts w:ascii="Calibri" w:cs="Calibri" w:eastAsia="Calibri" w:hAnsi="Calibri"/>
          <w:sz w:val="19"/>
          <w:szCs w:val="19"/>
          <w:b w:val="1"/>
          <w:bCs w:val="1"/>
          <w:color w:val="auto"/>
        </w:rPr>
        <w:t>Retrement</w:t>
      </w:r>
      <w:r>
        <w:rPr>
          <w:rFonts w:ascii="Calibri" w:cs="Calibri" w:eastAsia="Calibri" w:hAnsi="Calibri"/>
          <w:sz w:val="19"/>
          <w:szCs w:val="19"/>
          <w:color w:val="auto"/>
        </w:rPr>
        <w:t>. In the event of Employee’s retrement (as determined by the Company), Employee will, for no consideraton,</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forfeit all Performance Share Units unless, upon the recommendaton of applicable management of the Company and/or business unit, the Commitee or its delegate, as appropriate, may, in the Commitee’s or such delegate’s sole discreton, approve a pro-rated amount of Performance Share Units. The pro-rated amount will be equal to the product of (1) and (2) where (1) is the amount Employee would have received under this Agreement based on the actual results of the Performance Goals as determined by the Commitee if Employee had not retred and (2) is a fracton, the numerator of which shall be the number of days Employee was employed during the Performance Period as of the date of retrement and the denominator of which is the total number of days in the Performance Period. Payment will be made to Employee on the date of setlement pursuant to Secton 5.</w:t>
      </w:r>
    </w:p>
    <w:p>
      <w:pPr>
        <w:spacing w:after="0" w:line="194" w:lineRule="exact"/>
        <w:rPr>
          <w:sz w:val="20"/>
          <w:szCs w:val="20"/>
          <w:color w:val="auto"/>
        </w:rPr>
      </w:pPr>
    </w:p>
    <w:p>
      <w:pPr>
        <w:jc w:val="both"/>
        <w:ind w:left="927" w:hanging="309"/>
        <w:spacing w:after="0" w:line="199" w:lineRule="auto"/>
        <w:tabs>
          <w:tab w:leader="none" w:pos="923" w:val="left"/>
        </w:tabs>
        <w:numPr>
          <w:ilvl w:val="0"/>
          <w:numId w:val="91"/>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Setlement of Performance Share Units</w:t>
      </w:r>
      <w:r>
        <w:rPr>
          <w:rFonts w:ascii="Calibri" w:cs="Calibri" w:eastAsia="Calibri" w:hAnsi="Calibri"/>
          <w:sz w:val="19"/>
          <w:szCs w:val="19"/>
          <w:color w:val="auto"/>
        </w:rPr>
        <w:t>. Payment of any Final Award shall be made as soon as administratvely practcable but</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in no event later than 75 days afer the end of the Performance Period. Setlement of Final Awards are intended to be in the form of shares of Stock; provided however, that setlement may be made by a cash payment in an amount equal to the Fair Market Value of the shares of Stock that correspond to the Final Award to the extent that setlement in shares of Stock (i) is prohibited under local law, (ii) would require Employee, the Company or any Subsidiary or afliated company to obtain the approval of any governmental or regulatory body in Employee’s country of employment (or residence, if diferent), (iii) would result in adverse tax consequences to Employee, the Company, or any Subsidiary or afliated company, or (iv) is administratvely burdensome. Notwithstanding anything else in this Agreement, any Final Award shall be immediately forfeited if, at the tme such payment would otherwise be made, Employee is in violaton of Secton 5 of this Agreement, or, where applicable, of any non-solicitaton or non-competton covenant of any other writen agreement between Employee and the Company or any Subsidiary or afliated company, including, but not limited to, any employment agreement.</w:t>
      </w:r>
    </w:p>
    <w:p>
      <w:pPr>
        <w:spacing w:after="0" w:line="244" w:lineRule="exact"/>
        <w:rPr>
          <w:sz w:val="20"/>
          <w:szCs w:val="20"/>
          <w:color w:val="auto"/>
        </w:rPr>
      </w:pPr>
    </w:p>
    <w:p>
      <w:pPr>
        <w:jc w:val="both"/>
        <w:ind w:left="307"/>
        <w:spacing w:after="0" w:line="206" w:lineRule="auto"/>
        <w:rPr>
          <w:sz w:val="20"/>
          <w:szCs w:val="20"/>
          <w:color w:val="auto"/>
        </w:rPr>
      </w:pPr>
      <w:r>
        <w:rPr>
          <w:rFonts w:ascii="Calibri" w:cs="Calibri" w:eastAsia="Calibri" w:hAnsi="Calibri"/>
          <w:sz w:val="19"/>
          <w:szCs w:val="19"/>
          <w:color w:val="auto"/>
        </w:rPr>
        <w:t>The Company may require Employee to sell such shares of Stock immediately or within a specifed period following Employee’s terminaton of employment (in which case Employee hereby agrees that the Company shall have the authority to issue sale instructons in relaton to such shares of Stock on Employee’s behalf pursuant to this authorizaton).</w:t>
      </w:r>
    </w:p>
    <w:p>
      <w:pPr>
        <w:spacing w:after="0" w:line="202" w:lineRule="exact"/>
        <w:rPr>
          <w:sz w:val="20"/>
          <w:szCs w:val="20"/>
          <w:color w:val="auto"/>
        </w:rPr>
      </w:pPr>
    </w:p>
    <w:p>
      <w:pPr>
        <w:jc w:val="both"/>
        <w:ind w:left="307" w:hanging="307"/>
        <w:spacing w:after="0" w:line="201" w:lineRule="auto"/>
        <w:tabs>
          <w:tab w:leader="none" w:pos="299" w:val="left"/>
        </w:tabs>
        <w:numPr>
          <w:ilvl w:val="0"/>
          <w:numId w:val="92"/>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Non-Disclosure, Non-Solicit and Non-Compete Covenants</w:t>
      </w:r>
      <w:r>
        <w:rPr>
          <w:rFonts w:ascii="Calibri" w:cs="Calibri" w:eastAsia="Calibri" w:hAnsi="Calibri"/>
          <w:sz w:val="19"/>
          <w:szCs w:val="19"/>
          <w:color w:val="auto"/>
        </w:rPr>
        <w:t>. To further align Employee’s interests with the Company’s long-term</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business interests, including the preservaton of the Company’s goodwill and the protecton of the Confdental Business Informaton (as defned below) that Employee has obtained and will, necessarily contnue to receive and rely on, Employee and the Company hereby agree to the following:</w:t>
      </w:r>
    </w:p>
    <w:p>
      <w:pPr>
        <w:spacing w:after="0" w:line="202" w:lineRule="exact"/>
        <w:rPr>
          <w:rFonts w:ascii="Calibri" w:cs="Calibri" w:eastAsia="Calibri" w:hAnsi="Calibri"/>
          <w:sz w:val="19"/>
          <w:szCs w:val="19"/>
          <w:color w:val="auto"/>
        </w:rPr>
      </w:pPr>
    </w:p>
    <w:p>
      <w:pPr>
        <w:ind w:left="927" w:hanging="309"/>
        <w:spacing w:after="0" w:line="216" w:lineRule="auto"/>
        <w:tabs>
          <w:tab w:leader="none" w:pos="931" w:val="left"/>
        </w:tabs>
        <w:numPr>
          <w:ilvl w:val="1"/>
          <w:numId w:val="92"/>
        </w:numPr>
        <w:rPr>
          <w:rFonts w:ascii="Calibri" w:cs="Calibri" w:eastAsia="Calibri" w:hAnsi="Calibri"/>
          <w:sz w:val="19"/>
          <w:szCs w:val="19"/>
          <w:color w:val="auto"/>
        </w:rPr>
      </w:pPr>
      <w:r>
        <w:rPr>
          <w:rFonts w:ascii="Calibri" w:cs="Calibri" w:eastAsia="Calibri" w:hAnsi="Calibri"/>
          <w:sz w:val="19"/>
          <w:szCs w:val="19"/>
          <w:b w:val="1"/>
          <w:bCs w:val="1"/>
          <w:color w:val="auto"/>
        </w:rPr>
        <w:t>Non-Disclosure of Confdental Business Informaton</w:t>
      </w:r>
      <w:r>
        <w:rPr>
          <w:rFonts w:ascii="Calibri" w:cs="Calibri" w:eastAsia="Calibri" w:hAnsi="Calibri"/>
          <w:sz w:val="19"/>
          <w:szCs w:val="19"/>
          <w:color w:val="auto"/>
        </w:rPr>
        <w:t>. Employee agrees that (a) the Company’s Confdental Business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Informaton consttutes valuable, special, and unique assets</w:t>
      </w:r>
    </w:p>
    <w:p>
      <w:pPr>
        <w:sectPr>
          <w:pgSz w:w="11900" w:h="16838" w:orient="portrait"/>
          <w:cols w:equalWidth="0" w:num="1">
            <w:col w:w="10927"/>
          </w:cols>
          <w:pgMar w:left="633" w:top="901" w:right="339" w:bottom="1440" w:gutter="0" w:footer="0" w:header="0"/>
        </w:sectPr>
      </w:pPr>
    </w:p>
    <w:bookmarkStart w:id="152" w:name="page153"/>
    <w:bookmarkEnd w:id="152"/>
    <w:p>
      <w:pPr>
        <w:jc w:val="both"/>
        <w:ind w:left="309"/>
        <w:spacing w:after="0" w:line="198" w:lineRule="auto"/>
        <w:rPr>
          <w:sz w:val="20"/>
          <w:szCs w:val="20"/>
          <w:color w:val="auto"/>
        </w:rPr>
      </w:pPr>
      <w:r>
        <w:rPr>
          <w:rFonts w:ascii="Calibri" w:cs="Calibri" w:eastAsia="Calibri" w:hAnsi="Calibri"/>
          <w:sz w:val="19"/>
          <w:szCs w:val="19"/>
          <w:color w:val="auto"/>
        </w:rPr>
        <w:t>that the Company uses in its business to obtain a compettve advantage over its compettors; and (b) the protecton of such Confdental Business Informaton against unauthorized disclosure and Employee’s use thereof is of critcal importance to the Company in maintaining its compettve positon. Employee also acknowledges and agrees that any unauthorized use or disclosure of such Confdental Business Informaton or other confdental informaton would cause irreparable harm to the Company. In consideraton of the foregoing, Employee thereby agrees that Employee will not at any tme during employment by the Company, and for so long thereafer as the pertnent informaton or documentaton remains confdental, use (either for the beneft of Employee or the beneft of others), publish, disclose, claim ownership of, communicate, divulge or send to others, access, or take, any Confdental Business Informaton or any confdental informaton of the Company or its afliates, including the vendors, consultants, joint ventures, or customers of the Company, except to the extent needed to carry out Employee’s obligatons to the Company or as otherwise authorized in writng by the Company. Employee acknowledges and agrees that any unauthorized use or disclosure of Confdental Business Informaton or other confdental informaton would cause irreparable harm to the Company. Notwithstanding the foregoing, this Agreement does not prevent Employee from:</w:t>
      </w:r>
    </w:p>
    <w:p>
      <w:pPr>
        <w:spacing w:after="0" w:line="5" w:lineRule="exact"/>
        <w:rPr>
          <w:sz w:val="20"/>
          <w:szCs w:val="20"/>
          <w:color w:val="auto"/>
        </w:rPr>
      </w:pPr>
    </w:p>
    <w:p>
      <w:pPr>
        <w:jc w:val="both"/>
        <w:ind w:left="309" w:firstLine="1"/>
        <w:spacing w:after="0" w:line="195" w:lineRule="auto"/>
        <w:tabs>
          <w:tab w:leader="none" w:pos="524" w:val="left"/>
        </w:tabs>
        <w:numPr>
          <w:ilvl w:val="1"/>
          <w:numId w:val="93"/>
        </w:numPr>
        <w:rPr>
          <w:rFonts w:ascii="Calibri" w:cs="Calibri" w:eastAsia="Calibri" w:hAnsi="Calibri"/>
          <w:sz w:val="19"/>
          <w:szCs w:val="19"/>
          <w:color w:val="auto"/>
        </w:rPr>
      </w:pPr>
      <w:r>
        <w:rPr>
          <w:rFonts w:ascii="Calibri" w:cs="Calibri" w:eastAsia="Calibri" w:hAnsi="Calibri"/>
          <w:sz w:val="19"/>
          <w:szCs w:val="19"/>
          <w:color w:val="auto"/>
        </w:rPr>
        <w:t>making a good faith report of possible violatons of applicable law to the Securites and Exchange Commission or any other governmental agency or entty; or (ii) making disclosures that are protected under the whistleblower provisions of applicable law or receiving any award for informaton provided under such whistleblower provisions.</w:t>
      </w:r>
    </w:p>
    <w:p>
      <w:pPr>
        <w:spacing w:after="0" w:line="201" w:lineRule="exact"/>
        <w:rPr>
          <w:rFonts w:ascii="Calibri" w:cs="Calibri" w:eastAsia="Calibri" w:hAnsi="Calibri"/>
          <w:sz w:val="19"/>
          <w:szCs w:val="19"/>
          <w:color w:val="auto"/>
        </w:rPr>
      </w:pPr>
    </w:p>
    <w:p>
      <w:pPr>
        <w:jc w:val="both"/>
        <w:ind w:left="309" w:hanging="309"/>
        <w:spacing w:after="0" w:line="206" w:lineRule="auto"/>
        <w:tabs>
          <w:tab w:leader="none" w:pos="308" w:val="left"/>
        </w:tabs>
        <w:numPr>
          <w:ilvl w:val="0"/>
          <w:numId w:val="94"/>
        </w:numPr>
        <w:rPr>
          <w:rFonts w:ascii="Calibri" w:cs="Calibri" w:eastAsia="Calibri" w:hAnsi="Calibri"/>
          <w:sz w:val="19"/>
          <w:szCs w:val="19"/>
          <w:color w:val="auto"/>
        </w:rPr>
      </w:pPr>
      <w:r>
        <w:rPr>
          <w:rFonts w:ascii="Calibri" w:cs="Calibri" w:eastAsia="Calibri" w:hAnsi="Calibri"/>
          <w:sz w:val="19"/>
          <w:szCs w:val="19"/>
          <w:b w:val="1"/>
          <w:bCs w:val="1"/>
          <w:color w:val="auto"/>
        </w:rPr>
        <w:t>Non-Solicit and Non-Compete</w:t>
      </w:r>
      <w:r>
        <w:rPr>
          <w:rFonts w:ascii="Calibri" w:cs="Calibri" w:eastAsia="Calibri" w:hAnsi="Calibri"/>
          <w:sz w:val="19"/>
          <w:szCs w:val="19"/>
          <w:color w:val="auto"/>
        </w:rPr>
        <w:t>. During Employee’s employment with the Company and for one year immediately thereafer,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Employee will not, other than on behalf of the Company, directly or indirectly, as a proprietor, partner, employee, agent or otherwise:</w:t>
      </w:r>
    </w:p>
    <w:p>
      <w:pPr>
        <w:spacing w:after="0" w:line="202" w:lineRule="exact"/>
        <w:rPr>
          <w:rFonts w:ascii="Calibri" w:cs="Calibri" w:eastAsia="Calibri" w:hAnsi="Calibri"/>
          <w:sz w:val="19"/>
          <w:szCs w:val="19"/>
          <w:color w:val="auto"/>
        </w:rPr>
      </w:pPr>
    </w:p>
    <w:p>
      <w:pPr>
        <w:jc w:val="both"/>
        <w:ind w:left="929" w:hanging="310"/>
        <w:spacing w:after="0" w:line="201" w:lineRule="auto"/>
        <w:tabs>
          <w:tab w:leader="none" w:pos="925" w:val="left"/>
        </w:tabs>
        <w:numPr>
          <w:ilvl w:val="2"/>
          <w:numId w:val="94"/>
        </w:numPr>
        <w:rPr>
          <w:rFonts w:ascii="Calibri" w:cs="Calibri" w:eastAsia="Calibri" w:hAnsi="Calibri"/>
          <w:sz w:val="19"/>
          <w:szCs w:val="19"/>
          <w:color w:val="auto"/>
        </w:rPr>
      </w:pPr>
      <w:r>
        <w:rPr>
          <w:rFonts w:ascii="Calibri" w:cs="Calibri" w:eastAsia="Calibri" w:hAnsi="Calibri"/>
          <w:sz w:val="19"/>
          <w:szCs w:val="19"/>
          <w:color w:val="auto"/>
        </w:rPr>
        <w:t>Solicit, directly or indirectly, or cause or permit others to solicit, directly or indirectly, any person (i) formerly employed by the Company during the six (6) month period immediately preceding or following the terminaton of Employee’s employment (“Former Employee”) or (ii) employed by the Company (“Current Employee”). The term “solicit” includes, but is not limited to, the following (regardless of whether done directly or indirectly): (a) requestng that a Former or Current Employee change employment; (b) informing a Former or Current Employee that an opening exists elsewhere;</w:t>
      </w:r>
    </w:p>
    <w:p>
      <w:pPr>
        <w:spacing w:after="0" w:line="2" w:lineRule="exact"/>
        <w:rPr>
          <w:rFonts w:ascii="Calibri" w:cs="Calibri" w:eastAsia="Calibri" w:hAnsi="Calibri"/>
          <w:sz w:val="19"/>
          <w:szCs w:val="19"/>
          <w:color w:val="auto"/>
        </w:rPr>
      </w:pPr>
    </w:p>
    <w:p>
      <w:pPr>
        <w:jc w:val="both"/>
        <w:ind w:left="929"/>
        <w:spacing w:after="0" w:line="195" w:lineRule="auto"/>
        <w:tabs>
          <w:tab w:leader="none" w:pos="1205" w:val="left"/>
        </w:tabs>
        <w:numPr>
          <w:ilvl w:val="3"/>
          <w:numId w:val="94"/>
        </w:numPr>
        <w:rPr>
          <w:rFonts w:ascii="Calibri" w:cs="Calibri" w:eastAsia="Calibri" w:hAnsi="Calibri"/>
          <w:sz w:val="19"/>
          <w:szCs w:val="19"/>
          <w:color w:val="auto"/>
        </w:rPr>
      </w:pPr>
      <w:r>
        <w:rPr>
          <w:rFonts w:ascii="Calibri" w:cs="Calibri" w:eastAsia="Calibri" w:hAnsi="Calibri"/>
          <w:sz w:val="19"/>
          <w:szCs w:val="19"/>
          <w:color w:val="auto"/>
        </w:rPr>
        <w:t>assistng a Former or Current Employee in fnding employment elsewhere; (d) inquiring if a Former or Current Employee “knows of anyone who might be interested” in a positon elsewhere; (e) inquiring if a Former or Current Employee might have an interest in employment elsewhere; (f) informing others of the name or status of, or other informaton about, a Former or Current Employee; or (g) any other similar conduct, the intended or actual efect of which is that a Former Employee afliates with another employer or a Current Employee leaves the employment of the Company.</w:t>
      </w:r>
    </w:p>
    <w:p>
      <w:pPr>
        <w:spacing w:after="0" w:line="203" w:lineRule="exact"/>
        <w:rPr>
          <w:rFonts w:ascii="Calibri" w:cs="Calibri" w:eastAsia="Calibri" w:hAnsi="Calibri"/>
          <w:sz w:val="19"/>
          <w:szCs w:val="19"/>
          <w:color w:val="auto"/>
        </w:rPr>
      </w:pPr>
    </w:p>
    <w:p>
      <w:pPr>
        <w:jc w:val="both"/>
        <w:ind w:left="929" w:hanging="310"/>
        <w:spacing w:after="0" w:line="201" w:lineRule="auto"/>
        <w:tabs>
          <w:tab w:leader="none" w:pos="925" w:val="left"/>
        </w:tabs>
        <w:numPr>
          <w:ilvl w:val="2"/>
          <w:numId w:val="94"/>
        </w:numPr>
        <w:rPr>
          <w:rFonts w:ascii="Calibri" w:cs="Calibri" w:eastAsia="Calibri" w:hAnsi="Calibri"/>
          <w:sz w:val="19"/>
          <w:szCs w:val="19"/>
          <w:color w:val="auto"/>
        </w:rPr>
      </w:pPr>
      <w:r>
        <w:rPr>
          <w:rFonts w:ascii="Calibri" w:cs="Calibri" w:eastAsia="Calibri" w:hAnsi="Calibri"/>
          <w:sz w:val="19"/>
          <w:szCs w:val="19"/>
          <w:color w:val="auto"/>
        </w:rPr>
        <w:t>Anywhere in the world, directly or indirectly, either (a) solicit, encourage, or induce to terminate or reduce its business with the Company, or (b) provide any products and/or services that compete directly with products and/or services provided, marketed, and/or under development by the Company at any tme during the two (2) years preceding the terminaton of Employee’s employment, in both cases, to any person or entty who paid or engaged the Company for products and/or services, or who received the beneft of the Company’s products and/or services, or with whom Employee had any substantal dealings while Employee was employed by the Company, during the two (2) years preceding Employee’s terminaton of employment with the Company.</w:t>
      </w:r>
    </w:p>
    <w:p>
      <w:pPr>
        <w:spacing w:after="0" w:line="200" w:lineRule="exact"/>
        <w:rPr>
          <w:rFonts w:ascii="Calibri" w:cs="Calibri" w:eastAsia="Calibri" w:hAnsi="Calibri"/>
          <w:sz w:val="19"/>
          <w:szCs w:val="19"/>
          <w:color w:val="auto"/>
        </w:rPr>
      </w:pPr>
    </w:p>
    <w:p>
      <w:pPr>
        <w:jc w:val="both"/>
        <w:ind w:left="929" w:hanging="310"/>
        <w:spacing w:after="0" w:line="199" w:lineRule="auto"/>
        <w:tabs>
          <w:tab w:leader="none" w:pos="925" w:val="left"/>
        </w:tabs>
        <w:numPr>
          <w:ilvl w:val="2"/>
          <w:numId w:val="94"/>
        </w:numPr>
        <w:rPr>
          <w:rFonts w:ascii="Calibri" w:cs="Calibri" w:eastAsia="Calibri" w:hAnsi="Calibri"/>
          <w:sz w:val="19"/>
          <w:szCs w:val="19"/>
          <w:color w:val="auto"/>
        </w:rPr>
      </w:pPr>
      <w:r>
        <w:rPr>
          <w:rFonts w:ascii="Calibri" w:cs="Calibri" w:eastAsia="Calibri" w:hAnsi="Calibri"/>
          <w:sz w:val="19"/>
          <w:szCs w:val="19"/>
          <w:color w:val="auto"/>
        </w:rPr>
        <w:t>Engage, directly or indirectly, either as a proprietor, stockholder, partner, director, ofcer, member, employee, consultant, or otherwise, in any existng or future business operatng in North America or in any of the ten countries outside of North America that produced the highest revenues for the Company in the year preceding Employee’s terminaton of employment that ofers, sells, or provides equipment, products or services that compete with the Company’s equipment, products or services (each, a “Compettve Business”). Nothing in this Secton 5 shall prohibit Employee and Employee’s afliates from owning, as passive investors, in the aggregate not more than fve percent of equity securites of any Compettve Business.</w:t>
      </w:r>
    </w:p>
    <w:p>
      <w:pPr>
        <w:sectPr>
          <w:pgSz w:w="11900" w:h="16838" w:orient="portrait"/>
          <w:cols w:equalWidth="0" w:num="1">
            <w:col w:w="10309"/>
          </w:cols>
          <w:pgMar w:left="1251" w:top="901" w:right="339" w:bottom="1440" w:gutter="0" w:footer="0" w:header="0"/>
        </w:sectPr>
      </w:pPr>
    </w:p>
    <w:bookmarkStart w:id="153" w:name="page154"/>
    <w:bookmarkEnd w:id="153"/>
    <w:p>
      <w:pPr>
        <w:jc w:val="both"/>
        <w:ind w:left="929" w:hanging="310"/>
        <w:spacing w:after="0" w:line="205" w:lineRule="auto"/>
        <w:tabs>
          <w:tab w:leader="none" w:pos="969" w:val="left"/>
        </w:tabs>
        <w:numPr>
          <w:ilvl w:val="0"/>
          <w:numId w:val="95"/>
        </w:numPr>
        <w:rPr>
          <w:rFonts w:ascii="Calibri" w:cs="Calibri" w:eastAsia="Calibri" w:hAnsi="Calibri"/>
          <w:sz w:val="19"/>
          <w:szCs w:val="19"/>
          <w:color w:val="auto"/>
        </w:rPr>
      </w:pPr>
      <w:r>
        <w:rPr>
          <w:rFonts w:ascii="Calibri" w:cs="Calibri" w:eastAsia="Calibri" w:hAnsi="Calibri"/>
          <w:sz w:val="19"/>
          <w:szCs w:val="19"/>
          <w:color w:val="auto"/>
        </w:rPr>
        <w:t>Act in any capacity for or with any Compettve Business, or for or with any of their agents, if in such capacity Employee would, because of the nature of his/her role with such Compettve Business and Employee’s knowledge of Confdental Business Informaton, inevitably use and/or disclose any Confdental Business Informaton in his/her work for, or on behalf of, the Compettve Business or its agent.</w:t>
      </w:r>
    </w:p>
    <w:p>
      <w:pPr>
        <w:spacing w:after="0" w:line="200" w:lineRule="exact"/>
        <w:rPr>
          <w:rFonts w:ascii="Calibri" w:cs="Calibri" w:eastAsia="Calibri" w:hAnsi="Calibri"/>
          <w:sz w:val="19"/>
          <w:szCs w:val="19"/>
          <w:color w:val="auto"/>
        </w:rPr>
      </w:pPr>
    </w:p>
    <w:p>
      <w:pPr>
        <w:ind w:left="929" w:hanging="310"/>
        <w:spacing w:after="0" w:line="210" w:lineRule="auto"/>
        <w:tabs>
          <w:tab w:leader="none" w:pos="925" w:val="left"/>
        </w:tabs>
        <w:numPr>
          <w:ilvl w:val="0"/>
          <w:numId w:val="95"/>
        </w:numPr>
        <w:rPr>
          <w:rFonts w:ascii="Calibri" w:cs="Calibri" w:eastAsia="Calibri" w:hAnsi="Calibri"/>
          <w:sz w:val="19"/>
          <w:szCs w:val="19"/>
          <w:color w:val="auto"/>
        </w:rPr>
      </w:pPr>
      <w:r>
        <w:rPr>
          <w:rFonts w:ascii="Calibri" w:cs="Calibri" w:eastAsia="Calibri" w:hAnsi="Calibri"/>
          <w:sz w:val="19"/>
          <w:szCs w:val="19"/>
          <w:color w:val="auto"/>
        </w:rPr>
        <w:t>Otherwise interfere with, disrupt or atempt to disrupt relatons between the Company and any of its employees, contractors, vendors, third party business afliates, or consultants.</w:t>
      </w:r>
    </w:p>
    <w:p>
      <w:pPr>
        <w:spacing w:after="0" w:line="200" w:lineRule="exact"/>
        <w:rPr>
          <w:sz w:val="20"/>
          <w:szCs w:val="20"/>
          <w:color w:val="auto"/>
        </w:rPr>
      </w:pPr>
    </w:p>
    <w:p>
      <w:pPr>
        <w:jc w:val="both"/>
        <w:ind w:left="469"/>
        <w:spacing w:after="0" w:line="199" w:lineRule="auto"/>
        <w:rPr>
          <w:sz w:val="20"/>
          <w:szCs w:val="20"/>
          <w:color w:val="auto"/>
        </w:rPr>
      </w:pPr>
      <w:r>
        <w:rPr>
          <w:rFonts w:ascii="Calibri" w:cs="Calibri" w:eastAsia="Calibri" w:hAnsi="Calibri"/>
          <w:sz w:val="19"/>
          <w:szCs w:val="19"/>
          <w:color w:val="auto"/>
        </w:rPr>
        <w:t>Employee agrees that (a) the covenants contained in this Agreement are necessary for the protecton of the Company’s business, goodwill, customer and employee relatonships and Confdental Business Informaton, and (b) the compensaton and other consideraton received by Employee, including the Performance Share Units, are based on Employee’s agreement to such covenants. Employee represents and warrants that the tme, scope of actvity and geographic area restricted by this Agreement are reasonable, especially in the view of the worldwide scope of the business operatons of the Company, Employee’s positon and responsibilites with the Company, and the nature of the Confdental Business Informaton, that the enforcement of those restrictons contained in this Agreement would not be unduly burdensome to or impose any undue hardship on Employee, and that Employee will be able to earn a reasonable living while abiding by such covenants.</w:t>
      </w:r>
    </w:p>
    <w:p>
      <w:pPr>
        <w:spacing w:after="0" w:line="200" w:lineRule="exact"/>
        <w:rPr>
          <w:sz w:val="20"/>
          <w:szCs w:val="20"/>
          <w:color w:val="auto"/>
        </w:rPr>
      </w:pPr>
    </w:p>
    <w:p>
      <w:pPr>
        <w:spacing w:after="0" w:line="234" w:lineRule="exact"/>
        <w:rPr>
          <w:sz w:val="20"/>
          <w:szCs w:val="20"/>
          <w:color w:val="auto"/>
        </w:rPr>
      </w:pPr>
    </w:p>
    <w:p>
      <w:pPr>
        <w:jc w:val="both"/>
        <w:ind w:left="309" w:hanging="309"/>
        <w:spacing w:after="0" w:line="204" w:lineRule="auto"/>
        <w:tabs>
          <w:tab w:leader="none" w:pos="301" w:val="left"/>
        </w:tabs>
        <w:numPr>
          <w:ilvl w:val="0"/>
          <w:numId w:val="96"/>
        </w:numPr>
        <w:rPr>
          <w:rFonts w:ascii="Calibri" w:cs="Calibri" w:eastAsia="Calibri" w:hAnsi="Calibri"/>
          <w:sz w:val="19"/>
          <w:szCs w:val="19"/>
          <w:color w:val="auto"/>
        </w:rPr>
      </w:pPr>
      <w:r>
        <w:rPr>
          <w:rFonts w:ascii="Calibri" w:cs="Calibri" w:eastAsia="Calibri" w:hAnsi="Calibri"/>
          <w:sz w:val="19"/>
          <w:szCs w:val="19"/>
          <w:b w:val="1"/>
          <w:bCs w:val="1"/>
          <w:color w:val="auto"/>
        </w:rPr>
        <w:t>State Specifc Limitatons</w:t>
      </w:r>
      <w:r>
        <w:rPr>
          <w:rFonts w:ascii="Calibri" w:cs="Calibri" w:eastAsia="Calibri" w:hAnsi="Calibri"/>
          <w:sz w:val="19"/>
          <w:szCs w:val="19"/>
          <w:color w:val="auto"/>
        </w:rPr>
        <w:t>. Employee and the Company hereby further agree that, in spite of anything in the Agreement to the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contrary, if and to the extent Employee works for the Company, not including temporary assignments or business travel, in the states mentoned below, the restrictons in Paragraph 5(b) will be revised as set forth below. During any porton of Employee’s employment with the Company when Employee is not assigned to one of the states listed below, this Agreement shall be enforceable in its entrety:</w:t>
      </w:r>
    </w:p>
    <w:p>
      <w:pPr>
        <w:spacing w:after="0" w:line="213" w:lineRule="exact"/>
        <w:rPr>
          <w:rFonts w:ascii="Calibri" w:cs="Calibri" w:eastAsia="Calibri" w:hAnsi="Calibri"/>
          <w:sz w:val="19"/>
          <w:szCs w:val="19"/>
          <w:color w:val="auto"/>
        </w:rPr>
      </w:pPr>
    </w:p>
    <w:p>
      <w:pPr>
        <w:jc w:val="both"/>
        <w:ind w:left="929" w:hanging="310"/>
        <w:spacing w:after="0" w:line="237" w:lineRule="auto"/>
        <w:tabs>
          <w:tab w:leader="none" w:pos="932" w:val="left"/>
        </w:tabs>
        <w:numPr>
          <w:ilvl w:val="1"/>
          <w:numId w:val="96"/>
        </w:numPr>
        <w:rPr>
          <w:rFonts w:ascii="Calibri" w:cs="Calibri" w:eastAsia="Calibri" w:hAnsi="Calibri"/>
          <w:sz w:val="19"/>
          <w:szCs w:val="19"/>
          <w:color w:val="auto"/>
        </w:rPr>
      </w:pPr>
      <w:r>
        <w:rPr>
          <w:rFonts w:ascii="Calibri" w:cs="Calibri" w:eastAsia="Calibri" w:hAnsi="Calibri"/>
          <w:sz w:val="19"/>
          <w:szCs w:val="19"/>
          <w:color w:val="auto"/>
        </w:rPr>
        <w:t>California: The only provisions of Paragraph 5(b) that will apply during Employee’s ongoing (not temporary or business travel) assignment in California shall be Subparagraph (i) and, to the extent necessary to protect the Company’s trade secrets, Subparagraphs (iv) and (v).</w:t>
      </w:r>
    </w:p>
    <w:p>
      <w:pPr>
        <w:spacing w:after="0" w:line="228" w:lineRule="exact"/>
        <w:rPr>
          <w:rFonts w:ascii="Calibri" w:cs="Calibri" w:eastAsia="Calibri" w:hAnsi="Calibri"/>
          <w:sz w:val="19"/>
          <w:szCs w:val="19"/>
          <w:color w:val="auto"/>
        </w:rPr>
      </w:pPr>
    </w:p>
    <w:p>
      <w:pPr>
        <w:jc w:val="both"/>
        <w:ind w:left="929" w:hanging="310"/>
        <w:spacing w:after="0" w:line="234" w:lineRule="auto"/>
        <w:tabs>
          <w:tab w:leader="none" w:pos="928" w:val="left"/>
        </w:tabs>
        <w:numPr>
          <w:ilvl w:val="1"/>
          <w:numId w:val="96"/>
        </w:numPr>
        <w:rPr>
          <w:rFonts w:ascii="Calibri" w:cs="Calibri" w:eastAsia="Calibri" w:hAnsi="Calibri"/>
          <w:sz w:val="19"/>
          <w:szCs w:val="19"/>
          <w:color w:val="auto"/>
        </w:rPr>
      </w:pPr>
      <w:r>
        <w:rPr>
          <w:rFonts w:ascii="Calibri" w:cs="Calibri" w:eastAsia="Calibri" w:hAnsi="Calibri"/>
          <w:sz w:val="19"/>
          <w:szCs w:val="19"/>
          <w:color w:val="auto"/>
        </w:rPr>
        <w:t>Colorado: Colorado: If Employee has an ongoing (not temporary or business travel) assignment in Colorado, the provisions of Paragraph 5(b)(i), (ii), (iv) and (v) shall only apply to Employee if Employee’s annualized cash compensaton meets or exceeds the threshold amount for highly compensated workers within the meaning of C.R.S. § 8-2-113(2) and the provisions of Paragraph 5(b)(iii) shall only apply to Employee if Employee’s annualized cash compensaton is at least 60% of the then-applicable highly-compensated threshold under Colorado law. Additonally, Employee acknowledges that the Company has provided Employee with a separate notce advising Employee of the restrictve covenants in Paragraph 5 in accordance with CRS § 8-2-113 and that the Company gave Employee at least fourteen (14) days to review the notce and the Agreement.</w:t>
      </w:r>
    </w:p>
    <w:p>
      <w:pPr>
        <w:spacing w:after="0" w:line="234" w:lineRule="exact"/>
        <w:rPr>
          <w:rFonts w:ascii="Calibri" w:cs="Calibri" w:eastAsia="Calibri" w:hAnsi="Calibri"/>
          <w:sz w:val="19"/>
          <w:szCs w:val="19"/>
          <w:color w:val="auto"/>
        </w:rPr>
      </w:pPr>
    </w:p>
    <w:p>
      <w:pPr>
        <w:ind w:left="929" w:hanging="310"/>
        <w:spacing w:after="0"/>
        <w:tabs>
          <w:tab w:leader="none" w:pos="929" w:val="left"/>
        </w:tabs>
        <w:numPr>
          <w:ilvl w:val="1"/>
          <w:numId w:val="96"/>
        </w:numPr>
        <w:rPr>
          <w:rFonts w:ascii="Calibri" w:cs="Calibri" w:eastAsia="Calibri" w:hAnsi="Calibri"/>
          <w:sz w:val="19"/>
          <w:szCs w:val="19"/>
          <w:color w:val="auto"/>
        </w:rPr>
      </w:pPr>
      <w:r>
        <w:rPr>
          <w:rFonts w:ascii="Calibri" w:cs="Calibri" w:eastAsia="Calibri" w:hAnsi="Calibri"/>
          <w:sz w:val="19"/>
          <w:szCs w:val="19"/>
          <w:color w:val="auto"/>
        </w:rPr>
        <w:t>Louisiana: The provisions of Paragraph 5(b) will apply during Employee’s ongoing (not temporary or business travel)</w:t>
      </w:r>
    </w:p>
    <w:p>
      <w:pPr>
        <w:jc w:val="both"/>
        <w:ind w:left="929"/>
        <w:spacing w:after="0"/>
        <w:rPr>
          <w:rFonts w:ascii="Calibri" w:cs="Calibri" w:eastAsia="Calibri" w:hAnsi="Calibri"/>
          <w:sz w:val="19"/>
          <w:szCs w:val="19"/>
          <w:color w:val="auto"/>
        </w:rPr>
      </w:pPr>
      <w:r>
        <w:rPr>
          <w:rFonts w:ascii="Calibri" w:cs="Calibri" w:eastAsia="Calibri" w:hAnsi="Calibri"/>
          <w:sz w:val="19"/>
          <w:szCs w:val="19"/>
          <w:color w:val="auto"/>
        </w:rPr>
        <w:t>assignment in Louisiana in the following Louisiana parishes and municipalites: Acadia, Bienville, Bossier, Caddo, Calcasieu, Cameron, Iberia, Lafayete, Lafourche, Orleans, Plaquemines, Rapides, St. Mary, St. Martn, Terrebonne, and Vermilion.</w:t>
      </w:r>
    </w:p>
    <w:p>
      <w:pPr>
        <w:spacing w:after="0" w:line="200" w:lineRule="exact"/>
        <w:rPr>
          <w:rFonts w:ascii="Calibri" w:cs="Calibri" w:eastAsia="Calibri" w:hAnsi="Calibri"/>
          <w:sz w:val="19"/>
          <w:szCs w:val="19"/>
          <w:color w:val="auto"/>
        </w:rPr>
      </w:pPr>
    </w:p>
    <w:p>
      <w:pPr>
        <w:spacing w:after="0" w:line="244" w:lineRule="exact"/>
        <w:rPr>
          <w:rFonts w:ascii="Calibri" w:cs="Calibri" w:eastAsia="Calibri" w:hAnsi="Calibri"/>
          <w:sz w:val="19"/>
          <w:szCs w:val="19"/>
          <w:color w:val="auto"/>
        </w:rPr>
      </w:pPr>
    </w:p>
    <w:p>
      <w:pPr>
        <w:ind w:left="929" w:hanging="310"/>
        <w:spacing w:after="0" w:line="236" w:lineRule="auto"/>
        <w:tabs>
          <w:tab w:leader="none" w:pos="928" w:val="left"/>
        </w:tabs>
        <w:numPr>
          <w:ilvl w:val="1"/>
          <w:numId w:val="96"/>
        </w:numPr>
        <w:rPr>
          <w:rFonts w:ascii="Calibri" w:cs="Calibri" w:eastAsia="Calibri" w:hAnsi="Calibri"/>
          <w:sz w:val="19"/>
          <w:szCs w:val="19"/>
          <w:color w:val="auto"/>
        </w:rPr>
      </w:pPr>
      <w:r>
        <w:rPr>
          <w:rFonts w:ascii="Calibri" w:cs="Calibri" w:eastAsia="Calibri" w:hAnsi="Calibri"/>
          <w:sz w:val="19"/>
          <w:szCs w:val="19"/>
          <w:color w:val="auto"/>
        </w:rPr>
        <w:t>North Dakota: All provisions of Paragraph 5(b) will apply during Employee’s ongoing (not temporary or business travel) assignment in North Dakota. For the one-year</w:t>
      </w:r>
    </w:p>
    <w:p>
      <w:pPr>
        <w:sectPr>
          <w:pgSz w:w="11900" w:h="16838" w:orient="portrait"/>
          <w:cols w:equalWidth="0" w:num="1">
            <w:col w:w="10309"/>
          </w:cols>
          <w:pgMar w:left="1251" w:top="1133" w:right="339" w:bottom="1440" w:gutter="0" w:footer="0" w:header="0"/>
        </w:sectPr>
      </w:pPr>
    </w:p>
    <w:bookmarkStart w:id="154" w:name="page155"/>
    <w:bookmarkEnd w:id="154"/>
    <w:p>
      <w:pPr>
        <w:jc w:val="both"/>
        <w:ind w:left="1547"/>
        <w:spacing w:after="0" w:line="233" w:lineRule="auto"/>
        <w:rPr>
          <w:sz w:val="20"/>
          <w:szCs w:val="20"/>
          <w:color w:val="auto"/>
        </w:rPr>
      </w:pPr>
      <w:r>
        <w:rPr>
          <w:rFonts w:ascii="Calibri" w:cs="Calibri" w:eastAsia="Calibri" w:hAnsi="Calibri"/>
          <w:sz w:val="19"/>
          <w:szCs w:val="19"/>
          <w:color w:val="auto"/>
        </w:rPr>
        <w:t>period immediately following the end of said Employee’s employment, the only provisions of Paragraph 5(b) that will apply shall be Subparagraph (i) and, to the extent necessary to protect Company’s trade secrets and/or Confdental Business Informaton, Subparagraphs (iv) and (v).</w:t>
      </w:r>
    </w:p>
    <w:p>
      <w:pPr>
        <w:spacing w:after="0" w:line="240" w:lineRule="exact"/>
        <w:rPr>
          <w:sz w:val="20"/>
          <w:szCs w:val="20"/>
          <w:color w:val="auto"/>
        </w:rPr>
      </w:pPr>
    </w:p>
    <w:p>
      <w:pPr>
        <w:jc w:val="both"/>
        <w:ind w:left="1547" w:hanging="310"/>
        <w:spacing w:after="0" w:line="231" w:lineRule="auto"/>
        <w:tabs>
          <w:tab w:leader="none" w:pos="1542" w:val="left"/>
        </w:tabs>
        <w:numPr>
          <w:ilvl w:val="2"/>
          <w:numId w:val="97"/>
        </w:numPr>
        <w:rPr>
          <w:rFonts w:ascii="Calibri" w:cs="Calibri" w:eastAsia="Calibri" w:hAnsi="Calibri"/>
          <w:sz w:val="19"/>
          <w:szCs w:val="19"/>
          <w:color w:val="auto"/>
        </w:rPr>
      </w:pPr>
      <w:r>
        <w:rPr>
          <w:rFonts w:ascii="Calibri" w:cs="Calibri" w:eastAsia="Calibri" w:hAnsi="Calibri"/>
          <w:sz w:val="19"/>
          <w:szCs w:val="19"/>
          <w:u w:val="single" w:color="auto"/>
          <w:color w:val="auto"/>
        </w:rPr>
        <w:t>Oklahoma</w:t>
      </w:r>
      <w:r>
        <w:rPr>
          <w:rFonts w:ascii="Calibri" w:cs="Calibri" w:eastAsia="Calibri" w:hAnsi="Calibri"/>
          <w:sz w:val="19"/>
          <w:szCs w:val="19"/>
          <w:color w:val="auto"/>
        </w:rPr>
        <w:t>: The only provisions of Paragraph 5(b) that will apply during Employee’s ongoing (not temporary or business travel) assignment in Oklahoma shall be Subparagraph (i), and to the extent necessary to prevent the direct solicitaton of the sale of goods and/or services from the customers of the Company, Subparagraph (ii), and to the extent necessary to protect the Company’s trade secrets, Subparagraphs (iv) and (v).</w:t>
      </w:r>
    </w:p>
    <w:p>
      <w:pPr>
        <w:spacing w:after="0" w:line="200" w:lineRule="exact"/>
        <w:rPr>
          <w:rFonts w:ascii="Calibri" w:cs="Calibri" w:eastAsia="Calibri" w:hAnsi="Calibri"/>
          <w:sz w:val="19"/>
          <w:szCs w:val="19"/>
          <w:color w:val="auto"/>
        </w:rPr>
      </w:pPr>
    </w:p>
    <w:p>
      <w:pPr>
        <w:spacing w:after="0" w:line="247" w:lineRule="exact"/>
        <w:rPr>
          <w:rFonts w:ascii="Calibri" w:cs="Calibri" w:eastAsia="Calibri" w:hAnsi="Calibri"/>
          <w:sz w:val="19"/>
          <w:szCs w:val="19"/>
          <w:color w:val="auto"/>
        </w:rPr>
      </w:pPr>
    </w:p>
    <w:p>
      <w:pPr>
        <w:jc w:val="both"/>
        <w:ind w:left="927" w:hanging="309"/>
        <w:spacing w:after="0" w:line="198" w:lineRule="auto"/>
        <w:tabs>
          <w:tab w:leader="none" w:pos="927" w:val="left"/>
        </w:tabs>
        <w:numPr>
          <w:ilvl w:val="1"/>
          <w:numId w:val="98"/>
        </w:numPr>
        <w:rPr>
          <w:rFonts w:ascii="Calibri" w:cs="Calibri" w:eastAsia="Calibri" w:hAnsi="Calibri"/>
          <w:sz w:val="19"/>
          <w:szCs w:val="19"/>
          <w:color w:val="auto"/>
        </w:rPr>
      </w:pPr>
      <w:r>
        <w:rPr>
          <w:rFonts w:ascii="Calibri" w:cs="Calibri" w:eastAsia="Calibri" w:hAnsi="Calibri"/>
          <w:sz w:val="19"/>
          <w:szCs w:val="19"/>
          <w:b w:val="1"/>
          <w:bCs w:val="1"/>
          <w:color w:val="auto"/>
        </w:rPr>
        <w:t>Confdental Business Informaton</w:t>
      </w:r>
      <w:r>
        <w:rPr>
          <w:rFonts w:ascii="Calibri" w:cs="Calibri" w:eastAsia="Calibri" w:hAnsi="Calibri"/>
          <w:sz w:val="19"/>
          <w:szCs w:val="19"/>
          <w:color w:val="auto"/>
        </w:rPr>
        <w:t>. As used in this Agreement, the term “Confdental Business Informaton” means any and all</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of the Company’s trade secrets, confdental and/or proprietary informaton, and all other informaton and data that is not generally known to third persons who could derive economic value from its use or disclosure, including, but not limited to, the Company’s strategies, methods, products, sofware, designs, drawings, books, records, data, and technical informaton concerning its products, equipment, services and processes, procurement procedures and pricing techniques; the methods though which the Company identfes, hires, trains and compensates its employees; details regarding the Company’s employees, including their compensaton, contact informaton, and their performance and conduct; methods to locate and qualify contractors, vendors and third party afliates; the identty of and other informaton (such as credit and fnancial data) concerning the Company’s contractors, vendors and third party afliates; the individuals, and their contact Informaton, at contractors, vendors and third party afliates with whom the Company has dealt; the amounts and types of goods and/or services purchased in the past from contractors, vendors and third party afliates; the amounts paid for such past purchases; the identty of the Company’s customers; the individuals, and their contact informaton, at customers with whom Employee has dealt; the amounts and types of products and services purchased in the past by such customers; the amount paid for such past purchases, the tming of such past purchases, and the method of payment for such past purchases; the Company’s plans for future products and services; the details of any ongoing or planned negotatons for future products and services; and the Company’s plans for the future, including without limitaton plans for its products and services, for geographic and customer markets, and for marketng, promotng, selling, distributng and providing its products and services.</w:t>
      </w:r>
    </w:p>
    <w:p>
      <w:pPr>
        <w:spacing w:after="0" w:line="189" w:lineRule="exact"/>
        <w:rPr>
          <w:rFonts w:ascii="Calibri" w:cs="Calibri" w:eastAsia="Calibri" w:hAnsi="Calibri"/>
          <w:sz w:val="19"/>
          <w:szCs w:val="19"/>
          <w:color w:val="auto"/>
        </w:rPr>
      </w:pPr>
    </w:p>
    <w:p>
      <w:pPr>
        <w:jc w:val="both"/>
        <w:ind w:left="307" w:hanging="307"/>
        <w:spacing w:after="0" w:line="205" w:lineRule="auto"/>
        <w:tabs>
          <w:tab w:leader="none" w:pos="299" w:val="left"/>
        </w:tabs>
        <w:numPr>
          <w:ilvl w:val="0"/>
          <w:numId w:val="99"/>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Shareholder Rights and Dividends</w:t>
      </w:r>
      <w:r>
        <w:rPr>
          <w:rFonts w:ascii="Calibri" w:cs="Calibri" w:eastAsia="Calibri" w:hAnsi="Calibri"/>
          <w:sz w:val="19"/>
          <w:szCs w:val="19"/>
          <w:color w:val="auto"/>
        </w:rPr>
        <w:t>. Employee shall have no rights to dividends, dividend equivalents or any other rights of a</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shareholder with respect to the Performance Share Units unless and untl such tme as the award has been setled by the transfer of shares of Stock to Employee. Upon setlement of the Final Award, any dividends Employee would have earned had he or she held the amount of Stock equal to the Final Award amount for the duraton of the Performance Period will be paid in cash to Employee.</w:t>
      </w:r>
    </w:p>
    <w:p>
      <w:pPr>
        <w:spacing w:after="0" w:line="200" w:lineRule="exact"/>
        <w:rPr>
          <w:rFonts w:ascii="Calibri" w:cs="Calibri" w:eastAsia="Calibri" w:hAnsi="Calibri"/>
          <w:sz w:val="19"/>
          <w:szCs w:val="19"/>
          <w:color w:val="auto"/>
        </w:rPr>
      </w:pPr>
    </w:p>
    <w:p>
      <w:pPr>
        <w:ind w:left="307" w:hanging="307"/>
        <w:spacing w:after="0" w:line="210" w:lineRule="auto"/>
        <w:tabs>
          <w:tab w:leader="none" w:pos="299" w:val="left"/>
        </w:tabs>
        <w:numPr>
          <w:ilvl w:val="0"/>
          <w:numId w:val="99"/>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No Fractonal Shares</w:t>
      </w:r>
      <w:r>
        <w:rPr>
          <w:rFonts w:ascii="Calibri" w:cs="Calibri" w:eastAsia="Calibri" w:hAnsi="Calibri"/>
          <w:sz w:val="19"/>
          <w:szCs w:val="19"/>
          <w:color w:val="auto"/>
        </w:rPr>
        <w:t>. All provisions of this agreement concern whole shares of Stock. If the applicaton of any provision of this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agreement would yield a fractonal share of Stock, such fractonal shares will be rounded down to the next whole share of Stock.</w:t>
      </w:r>
    </w:p>
    <w:p>
      <w:pPr>
        <w:spacing w:after="0" w:line="200" w:lineRule="exact"/>
        <w:rPr>
          <w:rFonts w:ascii="Calibri" w:cs="Calibri" w:eastAsia="Calibri" w:hAnsi="Calibri"/>
          <w:sz w:val="19"/>
          <w:szCs w:val="19"/>
          <w:color w:val="auto"/>
        </w:rPr>
      </w:pPr>
    </w:p>
    <w:p>
      <w:pPr>
        <w:jc w:val="both"/>
        <w:ind w:left="307" w:hanging="307"/>
        <w:spacing w:after="0"/>
        <w:tabs>
          <w:tab w:leader="none" w:pos="299" w:val="left"/>
        </w:tabs>
        <w:numPr>
          <w:ilvl w:val="0"/>
          <w:numId w:val="99"/>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Non-Transferability</w:t>
      </w:r>
      <w:r>
        <w:rPr>
          <w:rFonts w:ascii="Calibri" w:cs="Calibri" w:eastAsia="Calibri" w:hAnsi="Calibri"/>
          <w:sz w:val="19"/>
          <w:szCs w:val="19"/>
          <w:color w:val="auto"/>
        </w:rPr>
        <w:t>. The Performance Share Units may not be sold, assigned, pledged, exchanged, hypothecated, encumbered,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 xml:space="preserve">disposed of, or otherwise transferred, except </w:t>
      </w:r>
      <w:r>
        <w:rPr>
          <w:rFonts w:ascii="Calibri" w:cs="Calibri" w:eastAsia="Calibri" w:hAnsi="Calibri"/>
          <w:sz w:val="19"/>
          <w:szCs w:val="19"/>
          <w:color w:val="231F20"/>
        </w:rPr>
        <w:t>by will or the laws of descent and distributon or</w:t>
      </w:r>
      <w:r>
        <w:rPr>
          <w:rFonts w:ascii="Calibri" w:cs="Calibri" w:eastAsia="Calibri" w:hAnsi="Calibri"/>
          <w:sz w:val="19"/>
          <w:szCs w:val="19"/>
          <w:color w:val="auto"/>
        </w:rPr>
        <w:t xml:space="preserve"> pursuant to a “qualifed domestc relatons order” as defned by the Code or Title I of the U.S. Employee Retrement Income Security Act of 1974, as amended, or similar order. Upon any atempt to transfer, assign, pledge, hypothecate or otherwise dispose of the Performance Share Units or of such rights contrary to the provisions hereof or in the PUP or the Plan, the Performance Share Units and such rights shall immediately become null and void.</w:t>
      </w:r>
    </w:p>
    <w:p>
      <w:pPr>
        <w:spacing w:after="0" w:line="206" w:lineRule="exact"/>
        <w:rPr>
          <w:rFonts w:ascii="Calibri" w:cs="Calibri" w:eastAsia="Calibri" w:hAnsi="Calibri"/>
          <w:sz w:val="19"/>
          <w:szCs w:val="19"/>
          <w:color w:val="auto"/>
        </w:rPr>
      </w:pPr>
    </w:p>
    <w:p>
      <w:pPr>
        <w:ind w:left="307" w:hanging="307"/>
        <w:spacing w:after="0" w:line="216" w:lineRule="auto"/>
        <w:tabs>
          <w:tab w:leader="none" w:pos="299" w:val="left"/>
        </w:tabs>
        <w:numPr>
          <w:ilvl w:val="0"/>
          <w:numId w:val="99"/>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Withholding of Tax</w:t>
      </w:r>
      <w:r>
        <w:rPr>
          <w:rFonts w:ascii="Calibri" w:cs="Calibri" w:eastAsia="Calibri" w:hAnsi="Calibri"/>
          <w:sz w:val="19"/>
          <w:szCs w:val="19"/>
          <w:color w:val="auto"/>
        </w:rPr>
        <w:t>. Employee acknowledges that, regardless of any acton taken by the Company or, if diferent, the Subsidiary or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afliated company that employs Employee (the “Employer”), the</w:t>
      </w:r>
    </w:p>
    <w:p>
      <w:pPr>
        <w:sectPr>
          <w:pgSz w:w="11900" w:h="16838" w:orient="portrait"/>
          <w:cols w:equalWidth="0" w:num="1">
            <w:col w:w="10927"/>
          </w:cols>
          <w:pgMar w:left="633" w:top="927" w:right="339" w:bottom="1440" w:gutter="0" w:footer="0" w:header="0"/>
        </w:sectPr>
      </w:pPr>
    </w:p>
    <w:bookmarkStart w:id="155" w:name="page156"/>
    <w:bookmarkEnd w:id="155"/>
    <w:p>
      <w:pPr>
        <w:jc w:val="both"/>
        <w:ind w:left="307"/>
        <w:spacing w:after="0" w:line="198" w:lineRule="auto"/>
        <w:rPr>
          <w:sz w:val="20"/>
          <w:szCs w:val="20"/>
          <w:color w:val="auto"/>
        </w:rPr>
      </w:pPr>
      <w:r>
        <w:rPr>
          <w:rFonts w:ascii="Calibri" w:cs="Calibri" w:eastAsia="Calibri" w:hAnsi="Calibri"/>
          <w:sz w:val="19"/>
          <w:szCs w:val="19"/>
          <w:color w:val="auto"/>
        </w:rPr>
        <w:t>ultmate liability for all income tax, social contributons, payroll tax, fringe benefts tax, payment on account, hypothetcal tax or other tax-related items related to Employee’s partcipaton in the PUP and legally applicable to Employee or deemed by the Company or the Employer in their discreton to be an appropriate charge to Employee even if legally applicable to the Company or the Employer (“Tax-Related Items”), is and remains Employee’s responsibility and may exceed the amount actually withheld by the Company or the Employer, if any. Employee further acknowledges that the Company and/or the Employer (a) make no representatons or undertakings regarding the treatment of any Tax-Related Items in connecton with any aspect of the Performance Share Units, including, but not limited to, the grant, the subsequent sale of shares of Stock acquired, and the receipt of any dividends; and (b) do not commit to and are under no obligaton to structure the terms of the grant or any aspect of the Performance Share Units to reduce or eliminate Employee’s liability for Tax-Related Items or achieve any partcular tax result. Further, if Employee is subject to Tax-Related Items in more than one jurisdicton between the Grant Date and the date of any relevant taxable or tax withholding event, as applicable, Employee acknowledges that the Company and/or the Employer (or former employer, as applicable) may be required to withhold or account for Tax-Related Items in more than one jurisdicton.</w:t>
      </w:r>
    </w:p>
    <w:p>
      <w:pPr>
        <w:spacing w:after="0" w:line="205" w:lineRule="exact"/>
        <w:rPr>
          <w:sz w:val="20"/>
          <w:szCs w:val="20"/>
          <w:color w:val="auto"/>
        </w:rPr>
      </w:pPr>
    </w:p>
    <w:p>
      <w:pPr>
        <w:jc w:val="both"/>
        <w:ind w:left="307"/>
        <w:spacing w:after="0" w:line="198" w:lineRule="auto"/>
        <w:rPr>
          <w:sz w:val="20"/>
          <w:szCs w:val="20"/>
          <w:color w:val="auto"/>
        </w:rPr>
      </w:pPr>
      <w:r>
        <w:rPr>
          <w:rFonts w:ascii="Calibri" w:cs="Calibri" w:eastAsia="Calibri" w:hAnsi="Calibri"/>
          <w:sz w:val="19"/>
          <w:szCs w:val="19"/>
          <w:color w:val="auto"/>
        </w:rPr>
        <w:t>Prior to the relevant taxable or tax withholding event, as applicable, Employee agrees to make adequate arrangements satsfactory to the Company and/or the Employer to satsfy all Tax-Related Items. In this regard, Employee authorizes the Company and/or the Employer, or their respectve agents, at their discreton, to satsfy the obligatons with regard to all Tax-Related Items by one or a combinaton of the following: (i) withholding from Employee’s wages or other cash compensaton payable to Employee by the Company and/or the Employer; (ii) withholding from the shares of Stock to be delivered upon setlement of the Performance Share Units or other awards granted to Employee having a Fair Market Value equal to the amount required to be withheld; (iii) withholding from the proceeds of the sale of shares of Stock acquired upon setlement of the Performance Share Units, either through a voluntary sale or through a mandatory sale arranged by the Company (on Employee’s behalf pursuant to this authorizaton without further consent); or (iv) permitng Employee to tender to the Company cash (including check, bank draf or money order delivered to the Company’s Stock Plan Administrator) or, if allowed by the Commitee, shares of Stock previously acquired by Employee having a Fair Market Value equal to the amount required to be withheld.</w:t>
      </w:r>
    </w:p>
    <w:p>
      <w:pPr>
        <w:spacing w:after="0" w:line="203" w:lineRule="exact"/>
        <w:rPr>
          <w:sz w:val="20"/>
          <w:szCs w:val="20"/>
          <w:color w:val="auto"/>
        </w:rPr>
      </w:pPr>
    </w:p>
    <w:p>
      <w:pPr>
        <w:jc w:val="both"/>
        <w:ind w:left="307"/>
        <w:spacing w:after="0" w:line="205" w:lineRule="auto"/>
        <w:rPr>
          <w:sz w:val="20"/>
          <w:szCs w:val="20"/>
          <w:color w:val="auto"/>
        </w:rPr>
      </w:pPr>
      <w:r>
        <w:rPr>
          <w:rFonts w:ascii="Calibri" w:cs="Calibri" w:eastAsia="Calibri" w:hAnsi="Calibri"/>
          <w:sz w:val="19"/>
          <w:szCs w:val="19"/>
          <w:color w:val="auto"/>
        </w:rPr>
        <w:t>Notwithstanding the foregoing, if Employee is subject to Secton 16 of the U.S. Securites Exchange Act of 1934, as amended, pursuant to Rule 16a-2 promulgated thereunder, any tax withholding obligatons shall be satsfed by having the Company withhold a number of shares of Stock having a Fair Market Value equal to the amount required to be withheld from the shares of Stock to be delivered upon setlement of the Performance Share Units.</w:t>
      </w:r>
    </w:p>
    <w:p>
      <w:pPr>
        <w:spacing w:after="0" w:line="136" w:lineRule="exact"/>
        <w:rPr>
          <w:sz w:val="20"/>
          <w:szCs w:val="20"/>
          <w:color w:val="auto"/>
        </w:rPr>
      </w:pPr>
    </w:p>
    <w:p>
      <w:pPr>
        <w:jc w:val="both"/>
        <w:ind w:left="307"/>
        <w:spacing w:after="0" w:line="199" w:lineRule="auto"/>
        <w:rPr>
          <w:sz w:val="20"/>
          <w:szCs w:val="20"/>
          <w:color w:val="auto"/>
        </w:rPr>
      </w:pPr>
      <w:r>
        <w:rPr>
          <w:rFonts w:ascii="Calibri" w:cs="Calibri" w:eastAsia="Calibri" w:hAnsi="Calibri"/>
          <w:sz w:val="19"/>
          <w:szCs w:val="19"/>
          <w:color w:val="auto"/>
        </w:rPr>
        <w:t>Depending on the withholding method, the Company may withhold or account for Tax-Related Items by considering applicable statutory withholding rates (as determined by the Company in good faith and in its sole discreton) or other applicable withholding rates, including maximum applicable rates. In the event of over-withholding, Employee may receive a refund of any over-withheld amount in cash (with no enttlement to the equivalent in shares of Stock), or if not refunded, Employee may seek a refund from the local tax authorites. In the event of under-withholding, Employee may be required to pay any additonal Tax-Related Items directly to the applicable tax authority or to the Company and/or the Employer. If the obligaton for Tax-Related Items is satsfed by withholding from the shares of Stock to be delivered upon setlement of the Performance Share Units, for tax purposes, Employee is deemed to have been issued the full number of shares of Stock subject to the Performance Share Units, notwithstanding that a number of shares of Stock are held back solely for the purpose of paying the Tax-Related Items. Employee will have no further rights with respect to any shares of Stock that are retained by the Company pursuant to this provision.</w:t>
      </w:r>
    </w:p>
    <w:p>
      <w:pPr>
        <w:spacing w:after="0" w:line="140" w:lineRule="exact"/>
        <w:rPr>
          <w:sz w:val="20"/>
          <w:szCs w:val="20"/>
          <w:color w:val="auto"/>
        </w:rPr>
      </w:pPr>
    </w:p>
    <w:p>
      <w:pPr>
        <w:jc w:val="both"/>
        <w:ind w:left="307"/>
        <w:spacing w:after="0" w:line="205" w:lineRule="auto"/>
        <w:rPr>
          <w:sz w:val="20"/>
          <w:szCs w:val="20"/>
          <w:color w:val="auto"/>
        </w:rPr>
      </w:pPr>
      <w:r>
        <w:rPr>
          <w:rFonts w:ascii="Calibri" w:cs="Calibri" w:eastAsia="Calibri" w:hAnsi="Calibri"/>
          <w:sz w:val="19"/>
          <w:szCs w:val="19"/>
          <w:color w:val="auto"/>
        </w:rPr>
        <w:t>Employee agrees to pay to the Company or the Employer any amount of Tax-Related Items that the Company or the Employer may be required to withhold or account for as a result of Employee’s partcipaton in the PUP that cannot be satsfed by the means previously described. The Company may refuse to issue or deliver shares of Stock or proceeds from the sale of shares of Stock untl arrangements satsfactory to the Company have been made in connecton with the Tax-Related Items.</w:t>
      </w:r>
    </w:p>
    <w:p>
      <w:pPr>
        <w:spacing w:after="0" w:line="187" w:lineRule="exact"/>
        <w:rPr>
          <w:sz w:val="20"/>
          <w:szCs w:val="20"/>
          <w:color w:val="auto"/>
        </w:rPr>
      </w:pPr>
    </w:p>
    <w:p>
      <w:pPr>
        <w:jc w:val="both"/>
        <w:ind w:left="307" w:hanging="307"/>
        <w:spacing w:after="0" w:line="211" w:lineRule="auto"/>
        <w:tabs>
          <w:tab w:leader="none" w:pos="307" w:val="left"/>
        </w:tabs>
        <w:numPr>
          <w:ilvl w:val="0"/>
          <w:numId w:val="100"/>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Status of Shares of Stock</w:t>
      </w:r>
      <w:r>
        <w:rPr>
          <w:rFonts w:ascii="Calibri" w:cs="Calibri" w:eastAsia="Calibri" w:hAnsi="Calibri"/>
          <w:sz w:val="19"/>
          <w:szCs w:val="19"/>
          <w:color w:val="auto"/>
        </w:rPr>
        <w:t>. The Company shall not be obligated to issue any shares of Stock pursuant to any Performance Share Units at</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any tme, when the ofering of the shares of Stock covered by such Performance Share Unit has not been registered under the U.S. Securites Act of 1933, as amended</w:t>
      </w:r>
    </w:p>
    <w:p>
      <w:pPr>
        <w:sectPr>
          <w:pgSz w:w="11900" w:h="16838" w:orient="portrait"/>
          <w:cols w:equalWidth="0" w:num="1">
            <w:col w:w="10927"/>
          </w:cols>
          <w:pgMar w:left="633" w:top="901" w:right="339" w:bottom="1440" w:gutter="0" w:footer="0" w:header="0"/>
        </w:sectPr>
      </w:pPr>
    </w:p>
    <w:bookmarkStart w:id="156" w:name="page157"/>
    <w:bookmarkEnd w:id="156"/>
    <w:p>
      <w:pPr>
        <w:jc w:val="both"/>
        <w:ind w:left="307"/>
        <w:spacing w:after="0" w:line="204" w:lineRule="auto"/>
        <w:rPr>
          <w:sz w:val="20"/>
          <w:szCs w:val="20"/>
          <w:color w:val="auto"/>
        </w:rPr>
      </w:pPr>
      <w:r>
        <w:rPr>
          <w:rFonts w:ascii="Calibri" w:cs="Calibri" w:eastAsia="Calibri" w:hAnsi="Calibri"/>
          <w:sz w:val="19"/>
          <w:szCs w:val="19"/>
          <w:color w:val="auto"/>
        </w:rPr>
        <w:t>(the “Act”) or such other country, U.S. federal or state laws, rules or regulatons as the Company deems applicable and, in the opinion of legal counsel for the Company, there is no exempton from the registraton. The Company intends to use reasonable eforts to ensure that no such delay will occur. In the event exempton from registraton under the Act is available upon setlement of the Performance Share Units, Employee, if requested by the Company to do so, will execute and deliver to the Company in writng an agreement containing such provisions as the Company may require to assure compliance with applicable securites laws.</w:t>
      </w:r>
    </w:p>
    <w:p>
      <w:pPr>
        <w:spacing w:after="0" w:line="187" w:lineRule="exact"/>
        <w:rPr>
          <w:sz w:val="20"/>
          <w:szCs w:val="20"/>
          <w:color w:val="auto"/>
        </w:rPr>
      </w:pPr>
    </w:p>
    <w:p>
      <w:pPr>
        <w:jc w:val="both"/>
        <w:ind w:left="307"/>
        <w:spacing w:after="0" w:line="201" w:lineRule="auto"/>
        <w:rPr>
          <w:sz w:val="20"/>
          <w:szCs w:val="20"/>
          <w:color w:val="auto"/>
        </w:rPr>
      </w:pPr>
      <w:r>
        <w:rPr>
          <w:rFonts w:ascii="Calibri" w:cs="Calibri" w:eastAsia="Calibri" w:hAnsi="Calibri"/>
          <w:sz w:val="19"/>
          <w:szCs w:val="19"/>
          <w:color w:val="auto"/>
        </w:rPr>
        <w:t>Employee agrees that the shares of Stock which Employee may acquire upon setlement of the Performance Share Units will not be sold or otherwise disposed of in any manner which would consttute a violaton of any applicable U.S. federal, state or non- U.S. securites laws. Employee also agrees (i) that the Company may refuse to register the transfer of the shares of Stock acquired under the Performance Share Units on the stock transfer records of the Company if such proposed transfer would in the opinion of counsel to the Company consttute a violaton of any applicable securites law, and (ii) that the Company may give related instructons to its transfer agent, if any, to stop registraton of the transfer of the shares of Stock acquired under the PUP.</w:t>
      </w:r>
    </w:p>
    <w:p>
      <w:pPr>
        <w:spacing w:after="0" w:line="195" w:lineRule="exact"/>
        <w:rPr>
          <w:sz w:val="20"/>
          <w:szCs w:val="20"/>
          <w:color w:val="auto"/>
        </w:rPr>
      </w:pPr>
    </w:p>
    <w:p>
      <w:pPr>
        <w:ind w:left="307" w:hanging="307"/>
        <w:spacing w:after="0"/>
        <w:tabs>
          <w:tab w:leader="none" w:pos="307" w:val="left"/>
        </w:tabs>
        <w:numPr>
          <w:ilvl w:val="0"/>
          <w:numId w:val="101"/>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Nature of Grant</w:t>
      </w:r>
      <w:r>
        <w:rPr>
          <w:rFonts w:ascii="Calibri" w:cs="Calibri" w:eastAsia="Calibri" w:hAnsi="Calibri"/>
          <w:sz w:val="19"/>
          <w:szCs w:val="19"/>
          <w:color w:val="auto"/>
        </w:rPr>
        <w:t>. In acceptng the Performance Share Units, Employee acknowledges and agrees that:</w:t>
      </w:r>
    </w:p>
    <w:p>
      <w:pPr>
        <w:spacing w:after="0" w:line="199" w:lineRule="exact"/>
        <w:rPr>
          <w:rFonts w:ascii="Calibri" w:cs="Calibri" w:eastAsia="Calibri" w:hAnsi="Calibri"/>
          <w:sz w:val="19"/>
          <w:szCs w:val="19"/>
          <w:color w:val="auto"/>
        </w:rPr>
      </w:pPr>
    </w:p>
    <w:p>
      <w:pPr>
        <w:ind w:left="927" w:hanging="618"/>
        <w:spacing w:after="0" w:line="210" w:lineRule="auto"/>
        <w:tabs>
          <w:tab w:leader="none" w:pos="923" w:val="left"/>
        </w:tabs>
        <w:numPr>
          <w:ilvl w:val="1"/>
          <w:numId w:val="101"/>
        </w:numPr>
        <w:rPr>
          <w:rFonts w:ascii="Calibri" w:cs="Calibri" w:eastAsia="Calibri" w:hAnsi="Calibri"/>
          <w:sz w:val="19"/>
          <w:szCs w:val="19"/>
          <w:color w:val="auto"/>
        </w:rPr>
      </w:pPr>
      <w:r>
        <w:rPr>
          <w:rFonts w:ascii="Calibri" w:cs="Calibri" w:eastAsia="Calibri" w:hAnsi="Calibri"/>
          <w:sz w:val="19"/>
          <w:szCs w:val="19"/>
          <w:color w:val="auto"/>
        </w:rPr>
        <w:t>the PUP is established voluntarily by the Company, it is discretonary in nature and it may be modifed, amended, suspended or terminated by the Company, in its sole discreton, at any tme (subject to any limitatons set forth in the PUP);</w:t>
      </w:r>
    </w:p>
    <w:p>
      <w:pPr>
        <w:spacing w:after="0" w:line="174" w:lineRule="exact"/>
        <w:rPr>
          <w:rFonts w:ascii="Calibri" w:cs="Calibri" w:eastAsia="Calibri" w:hAnsi="Calibri"/>
          <w:sz w:val="19"/>
          <w:szCs w:val="19"/>
          <w:color w:val="auto"/>
        </w:rPr>
      </w:pPr>
    </w:p>
    <w:p>
      <w:pPr>
        <w:jc w:val="both"/>
        <w:ind w:left="927" w:hanging="618"/>
        <w:spacing w:after="0" w:line="206" w:lineRule="auto"/>
        <w:tabs>
          <w:tab w:leader="none" w:pos="923" w:val="left"/>
        </w:tabs>
        <w:numPr>
          <w:ilvl w:val="1"/>
          <w:numId w:val="101"/>
        </w:numPr>
        <w:rPr>
          <w:rFonts w:ascii="Calibri" w:cs="Calibri" w:eastAsia="Calibri" w:hAnsi="Calibri"/>
          <w:sz w:val="19"/>
          <w:szCs w:val="19"/>
          <w:color w:val="auto"/>
        </w:rPr>
      </w:pPr>
      <w:r>
        <w:rPr>
          <w:rFonts w:ascii="Calibri" w:cs="Calibri" w:eastAsia="Calibri" w:hAnsi="Calibri"/>
          <w:sz w:val="19"/>
          <w:szCs w:val="19"/>
          <w:color w:val="auto"/>
        </w:rPr>
        <w:t>the grant of the Performance Share Units is voluntary and occasional and does not create any contractual or other right to receive future grants of performance share units, or benefts in lieu of performance share units, even if performance share units or other awards have been granted in the past;</w:t>
      </w:r>
    </w:p>
    <w:p>
      <w:pPr>
        <w:spacing w:after="0" w:line="170" w:lineRule="exact"/>
        <w:rPr>
          <w:rFonts w:ascii="Calibri" w:cs="Calibri" w:eastAsia="Calibri" w:hAnsi="Calibri"/>
          <w:sz w:val="19"/>
          <w:szCs w:val="19"/>
          <w:color w:val="auto"/>
        </w:rPr>
      </w:pPr>
    </w:p>
    <w:p>
      <w:pPr>
        <w:ind w:left="927" w:hanging="618"/>
        <w:spacing w:after="0"/>
        <w:tabs>
          <w:tab w:leader="none" w:pos="927" w:val="left"/>
        </w:tabs>
        <w:numPr>
          <w:ilvl w:val="1"/>
          <w:numId w:val="101"/>
        </w:numPr>
        <w:rPr>
          <w:rFonts w:ascii="Calibri" w:cs="Calibri" w:eastAsia="Calibri" w:hAnsi="Calibri"/>
          <w:sz w:val="19"/>
          <w:szCs w:val="19"/>
          <w:color w:val="auto"/>
        </w:rPr>
      </w:pPr>
      <w:r>
        <w:rPr>
          <w:rFonts w:ascii="Calibri" w:cs="Calibri" w:eastAsia="Calibri" w:hAnsi="Calibri"/>
          <w:sz w:val="19"/>
          <w:szCs w:val="19"/>
          <w:color w:val="auto"/>
        </w:rPr>
        <w:t>all decisions with respect to future awards, if any, will be at the sole discreton of the Company;</w:t>
      </w:r>
    </w:p>
    <w:p>
      <w:pPr>
        <w:spacing w:after="0" w:line="167" w:lineRule="exact"/>
        <w:rPr>
          <w:rFonts w:ascii="Calibri" w:cs="Calibri" w:eastAsia="Calibri" w:hAnsi="Calibri"/>
          <w:sz w:val="19"/>
          <w:szCs w:val="19"/>
          <w:color w:val="auto"/>
        </w:rPr>
      </w:pPr>
    </w:p>
    <w:p>
      <w:pPr>
        <w:ind w:left="927" w:hanging="618"/>
        <w:spacing w:after="0"/>
        <w:tabs>
          <w:tab w:leader="none" w:pos="927" w:val="left"/>
        </w:tabs>
        <w:numPr>
          <w:ilvl w:val="1"/>
          <w:numId w:val="101"/>
        </w:numPr>
        <w:rPr>
          <w:rFonts w:ascii="Calibri" w:cs="Calibri" w:eastAsia="Calibri" w:hAnsi="Calibri"/>
          <w:sz w:val="19"/>
          <w:szCs w:val="19"/>
          <w:color w:val="auto"/>
        </w:rPr>
      </w:pPr>
      <w:r>
        <w:rPr>
          <w:rFonts w:ascii="Calibri" w:cs="Calibri" w:eastAsia="Calibri" w:hAnsi="Calibri"/>
          <w:sz w:val="19"/>
          <w:szCs w:val="19"/>
          <w:color w:val="auto"/>
        </w:rPr>
        <w:t>Employee’s partcipaton in the PUP is voluntary;</w:t>
      </w:r>
    </w:p>
    <w:p>
      <w:pPr>
        <w:spacing w:after="0" w:line="161" w:lineRule="exact"/>
        <w:rPr>
          <w:rFonts w:ascii="Calibri" w:cs="Calibri" w:eastAsia="Calibri" w:hAnsi="Calibri"/>
          <w:sz w:val="19"/>
          <w:szCs w:val="19"/>
          <w:color w:val="auto"/>
        </w:rPr>
      </w:pPr>
    </w:p>
    <w:p>
      <w:pPr>
        <w:jc w:val="both"/>
        <w:ind w:left="927" w:hanging="618"/>
        <w:spacing w:after="0" w:line="205" w:lineRule="auto"/>
        <w:tabs>
          <w:tab w:leader="none" w:pos="923" w:val="left"/>
        </w:tabs>
        <w:numPr>
          <w:ilvl w:val="1"/>
          <w:numId w:val="101"/>
        </w:numPr>
        <w:rPr>
          <w:rFonts w:ascii="Calibri" w:cs="Calibri" w:eastAsia="Calibri" w:hAnsi="Calibri"/>
          <w:sz w:val="19"/>
          <w:szCs w:val="19"/>
          <w:color w:val="auto"/>
        </w:rPr>
      </w:pPr>
      <w:r>
        <w:rPr>
          <w:rFonts w:ascii="Calibri" w:cs="Calibri" w:eastAsia="Calibri" w:hAnsi="Calibri"/>
          <w:sz w:val="19"/>
          <w:szCs w:val="19"/>
          <w:color w:val="auto"/>
        </w:rPr>
        <w:t>the Performance Share Units and Employee’s partcipaton in the PUP shall not create a right to employment or be interpreted as forming an employment contract with the Company or any of its Subsidiaries or afliated companies and shall not interfere with the ability of the Company or the Employer, as applicable, to terminate Employee’s employment relatonship (as otherwise may be permited under local law);</w:t>
      </w:r>
    </w:p>
    <w:p>
      <w:pPr>
        <w:spacing w:after="0" w:line="174" w:lineRule="exact"/>
        <w:rPr>
          <w:rFonts w:ascii="Calibri" w:cs="Calibri" w:eastAsia="Calibri" w:hAnsi="Calibri"/>
          <w:sz w:val="19"/>
          <w:szCs w:val="19"/>
          <w:color w:val="auto"/>
        </w:rPr>
      </w:pPr>
    </w:p>
    <w:p>
      <w:pPr>
        <w:jc w:val="both"/>
        <w:ind w:left="927" w:hanging="618"/>
        <w:spacing w:after="0" w:line="206" w:lineRule="auto"/>
        <w:tabs>
          <w:tab w:leader="none" w:pos="923" w:val="left"/>
        </w:tabs>
        <w:numPr>
          <w:ilvl w:val="1"/>
          <w:numId w:val="101"/>
        </w:numPr>
        <w:rPr>
          <w:rFonts w:ascii="Calibri" w:cs="Calibri" w:eastAsia="Calibri" w:hAnsi="Calibri"/>
          <w:sz w:val="19"/>
          <w:szCs w:val="19"/>
          <w:color w:val="auto"/>
        </w:rPr>
      </w:pPr>
      <w:r>
        <w:rPr>
          <w:rFonts w:ascii="Calibri" w:cs="Calibri" w:eastAsia="Calibri" w:hAnsi="Calibri"/>
          <w:sz w:val="19"/>
          <w:szCs w:val="19"/>
          <w:color w:val="auto"/>
        </w:rPr>
        <w:t>unless otherwise agreed with the Company, the Performance Share Units and any shares of Stock acquired upon setlement of the Performance Share Units, and the income from and value of the same, are not granted as consideraton for, or in connecton with, any service Employee may provide as a director of any Subsidiary or afliate of the Company;</w:t>
      </w:r>
    </w:p>
    <w:p>
      <w:pPr>
        <w:spacing w:after="0" w:line="176" w:lineRule="exact"/>
        <w:rPr>
          <w:rFonts w:ascii="Calibri" w:cs="Calibri" w:eastAsia="Calibri" w:hAnsi="Calibri"/>
          <w:sz w:val="19"/>
          <w:szCs w:val="19"/>
          <w:color w:val="auto"/>
        </w:rPr>
      </w:pPr>
    </w:p>
    <w:p>
      <w:pPr>
        <w:jc w:val="both"/>
        <w:ind w:left="927" w:hanging="618"/>
        <w:spacing w:after="0" w:line="204" w:lineRule="auto"/>
        <w:tabs>
          <w:tab w:leader="none" w:pos="923" w:val="left"/>
        </w:tabs>
        <w:numPr>
          <w:ilvl w:val="1"/>
          <w:numId w:val="101"/>
        </w:numPr>
        <w:rPr>
          <w:rFonts w:ascii="Calibri" w:cs="Calibri" w:eastAsia="Calibri" w:hAnsi="Calibri"/>
          <w:sz w:val="19"/>
          <w:szCs w:val="19"/>
          <w:color w:val="auto"/>
        </w:rPr>
      </w:pPr>
      <w:r>
        <w:rPr>
          <w:rFonts w:ascii="Calibri" w:cs="Calibri" w:eastAsia="Calibri" w:hAnsi="Calibri"/>
          <w:sz w:val="19"/>
          <w:szCs w:val="19"/>
          <w:color w:val="auto"/>
        </w:rPr>
        <w:t>the Performance Share Units and any shares of Stock acquired under the PUP and the income and value of the same are not part of normal or expected compensaton for purposes of calculatng any severance, resignaton, terminaton, redundancy, dismissal, end-of-service payments, holiday pay, bonuses, long-service awards, pension or retrement or welfare benefts or similar payments and in no event should be considered as compensaton for, or relatng in any way to, past services for the Company, the Employer or any Subsidiary or afliate of the Company;</w:t>
      </w:r>
    </w:p>
    <w:p>
      <w:pPr>
        <w:spacing w:after="0" w:line="161" w:lineRule="exact"/>
        <w:rPr>
          <w:rFonts w:ascii="Calibri" w:cs="Calibri" w:eastAsia="Calibri" w:hAnsi="Calibri"/>
          <w:sz w:val="19"/>
          <w:szCs w:val="19"/>
          <w:color w:val="auto"/>
        </w:rPr>
      </w:pPr>
    </w:p>
    <w:p>
      <w:pPr>
        <w:jc w:val="both"/>
        <w:ind w:left="927" w:hanging="618"/>
        <w:spacing w:after="0"/>
        <w:tabs>
          <w:tab w:leader="none" w:pos="923" w:val="left"/>
        </w:tabs>
        <w:numPr>
          <w:ilvl w:val="1"/>
          <w:numId w:val="101"/>
        </w:numPr>
        <w:rPr>
          <w:rFonts w:ascii="Calibri" w:cs="Calibri" w:eastAsia="Calibri" w:hAnsi="Calibri"/>
          <w:sz w:val="19"/>
          <w:szCs w:val="19"/>
          <w:color w:val="auto"/>
        </w:rPr>
      </w:pPr>
      <w:r>
        <w:rPr>
          <w:rFonts w:ascii="Calibri" w:cs="Calibri" w:eastAsia="Calibri" w:hAnsi="Calibri"/>
          <w:sz w:val="19"/>
          <w:szCs w:val="19"/>
          <w:color w:val="auto"/>
        </w:rPr>
        <w:t>the fnal number of Performance Share Units earned under this Agreement is unknown, and the number may be zero if the Commitee determines that the level of achievement of the Performance Goals does not meet the minimum threshold requirement specifed for the 2024 Cycle, in which case all of the Performance Share Units will be forfeited for no consideraton;</w:t>
      </w:r>
    </w:p>
    <w:p>
      <w:pPr>
        <w:spacing w:after="0" w:line="271" w:lineRule="exact"/>
        <w:rPr>
          <w:rFonts w:ascii="Calibri" w:cs="Calibri" w:eastAsia="Calibri" w:hAnsi="Calibri"/>
          <w:sz w:val="19"/>
          <w:szCs w:val="19"/>
          <w:color w:val="auto"/>
        </w:rPr>
      </w:pPr>
    </w:p>
    <w:p>
      <w:pPr>
        <w:ind w:left="927" w:hanging="618"/>
        <w:spacing w:after="0" w:line="216" w:lineRule="auto"/>
        <w:tabs>
          <w:tab w:leader="none" w:pos="923" w:val="left"/>
        </w:tabs>
        <w:numPr>
          <w:ilvl w:val="1"/>
          <w:numId w:val="101"/>
        </w:numPr>
        <w:rPr>
          <w:rFonts w:ascii="Calibri" w:cs="Calibri" w:eastAsia="Calibri" w:hAnsi="Calibri"/>
          <w:sz w:val="19"/>
          <w:szCs w:val="19"/>
          <w:color w:val="auto"/>
        </w:rPr>
      </w:pPr>
      <w:r>
        <w:rPr>
          <w:rFonts w:ascii="Calibri" w:cs="Calibri" w:eastAsia="Calibri" w:hAnsi="Calibri"/>
          <w:sz w:val="19"/>
          <w:szCs w:val="19"/>
          <w:color w:val="auto"/>
        </w:rPr>
        <w:t>the future value of the shares of Stock underlying the Performance Share Units is unknown, indeterminable, and cannot be predicted with certainty;</w:t>
      </w:r>
    </w:p>
    <w:p>
      <w:pPr>
        <w:sectPr>
          <w:pgSz w:w="11900" w:h="16838" w:orient="portrait"/>
          <w:cols w:equalWidth="0" w:num="1">
            <w:col w:w="10927"/>
          </w:cols>
          <w:pgMar w:left="633" w:top="901" w:right="339" w:bottom="1440" w:gutter="0" w:footer="0" w:header="0"/>
        </w:sectPr>
      </w:pPr>
    </w:p>
    <w:bookmarkStart w:id="157" w:name="page158"/>
    <w:bookmarkEnd w:id="157"/>
    <w:p>
      <w:pPr>
        <w:ind w:left="927" w:hanging="618"/>
        <w:spacing w:after="0"/>
        <w:tabs>
          <w:tab w:leader="none" w:pos="927" w:val="left"/>
        </w:tabs>
        <w:numPr>
          <w:ilvl w:val="1"/>
          <w:numId w:val="102"/>
        </w:numPr>
        <w:rPr>
          <w:rFonts w:ascii="Calibri" w:cs="Calibri" w:eastAsia="Calibri" w:hAnsi="Calibri"/>
          <w:sz w:val="19"/>
          <w:szCs w:val="19"/>
          <w:color w:val="auto"/>
        </w:rPr>
      </w:pPr>
      <w:r>
        <w:rPr>
          <w:rFonts w:ascii="Calibri" w:cs="Calibri" w:eastAsia="Calibri" w:hAnsi="Calibri"/>
          <w:sz w:val="19"/>
          <w:szCs w:val="19"/>
          <w:color w:val="auto"/>
        </w:rPr>
        <w:t>upon setlement of the Performance Share Units, the value of such shares of Stock may increase or decrease in value;</w:t>
      </w:r>
    </w:p>
    <w:p>
      <w:pPr>
        <w:spacing w:after="0" w:line="173" w:lineRule="exact"/>
        <w:rPr>
          <w:rFonts w:ascii="Calibri" w:cs="Calibri" w:eastAsia="Calibri" w:hAnsi="Calibri"/>
          <w:sz w:val="19"/>
          <w:szCs w:val="19"/>
          <w:color w:val="auto"/>
        </w:rPr>
      </w:pPr>
    </w:p>
    <w:p>
      <w:pPr>
        <w:jc w:val="both"/>
        <w:ind w:left="927" w:hanging="618"/>
        <w:spacing w:after="0" w:line="205" w:lineRule="auto"/>
        <w:tabs>
          <w:tab w:leader="none" w:pos="931" w:val="left"/>
        </w:tabs>
        <w:numPr>
          <w:ilvl w:val="1"/>
          <w:numId w:val="102"/>
        </w:numPr>
        <w:rPr>
          <w:rFonts w:ascii="Calibri" w:cs="Calibri" w:eastAsia="Calibri" w:hAnsi="Calibri"/>
          <w:sz w:val="19"/>
          <w:szCs w:val="19"/>
          <w:color w:val="auto"/>
        </w:rPr>
      </w:pPr>
      <w:r>
        <w:rPr>
          <w:rFonts w:ascii="Calibri" w:cs="Calibri" w:eastAsia="Calibri" w:hAnsi="Calibri"/>
          <w:sz w:val="19"/>
          <w:szCs w:val="19"/>
          <w:color w:val="auto"/>
        </w:rPr>
        <w:t>no claim or enttlement to compensaton or damages shall arise from forfeiture of the Performance Share Units resultng from terminaton of Employee’s employment (for any reason whatsoever and whether or not in breach of local labor laws or later found invalid) and, in consideraton of the Performance Share Units, Employee agrees not to insttute any claim against the Company or the Employer;</w:t>
      </w:r>
    </w:p>
    <w:p>
      <w:pPr>
        <w:spacing w:after="0" w:line="161" w:lineRule="exact"/>
        <w:rPr>
          <w:rFonts w:ascii="Calibri" w:cs="Calibri" w:eastAsia="Calibri" w:hAnsi="Calibri"/>
          <w:sz w:val="19"/>
          <w:szCs w:val="19"/>
          <w:color w:val="auto"/>
        </w:rPr>
      </w:pPr>
    </w:p>
    <w:p>
      <w:pPr>
        <w:jc w:val="both"/>
        <w:ind w:left="927" w:hanging="618"/>
        <w:spacing w:after="0" w:line="205" w:lineRule="auto"/>
        <w:tabs>
          <w:tab w:leader="none" w:pos="931" w:val="left"/>
        </w:tabs>
        <w:numPr>
          <w:ilvl w:val="1"/>
          <w:numId w:val="102"/>
        </w:numPr>
        <w:rPr>
          <w:rFonts w:ascii="Calibri" w:cs="Calibri" w:eastAsia="Calibri" w:hAnsi="Calibri"/>
          <w:sz w:val="19"/>
          <w:szCs w:val="19"/>
          <w:color w:val="auto"/>
        </w:rPr>
      </w:pPr>
      <w:r>
        <w:rPr>
          <w:rFonts w:ascii="Calibri" w:cs="Calibri" w:eastAsia="Calibri" w:hAnsi="Calibri"/>
          <w:sz w:val="19"/>
          <w:szCs w:val="19"/>
          <w:color w:val="auto"/>
        </w:rPr>
        <w:t>the Performance Share Units and the benefts evidenced by this Agreement do not create any enttlement not otherwise specifcally provided for in the PUP or provided by the Company in its discreton, to have the Performance Share Units or any such benefts transferred to, or assumed by, another company, nor to be exchanged, cashed out or substtuted for, in connecton with any corporate transacton afectng the shares of Stock; and</w:t>
      </w:r>
    </w:p>
    <w:p>
      <w:pPr>
        <w:spacing w:after="0" w:line="174" w:lineRule="exact"/>
        <w:rPr>
          <w:rFonts w:ascii="Calibri" w:cs="Calibri" w:eastAsia="Calibri" w:hAnsi="Calibri"/>
          <w:sz w:val="19"/>
          <w:szCs w:val="19"/>
          <w:color w:val="auto"/>
        </w:rPr>
      </w:pPr>
    </w:p>
    <w:p>
      <w:pPr>
        <w:jc w:val="both"/>
        <w:ind w:left="927" w:hanging="618"/>
        <w:spacing w:after="0" w:line="205" w:lineRule="auto"/>
        <w:tabs>
          <w:tab w:leader="none" w:pos="931" w:val="left"/>
        </w:tabs>
        <w:numPr>
          <w:ilvl w:val="1"/>
          <w:numId w:val="102"/>
        </w:numPr>
        <w:rPr>
          <w:rFonts w:ascii="Calibri" w:cs="Calibri" w:eastAsia="Calibri" w:hAnsi="Calibri"/>
          <w:sz w:val="19"/>
          <w:szCs w:val="19"/>
          <w:color w:val="auto"/>
        </w:rPr>
      </w:pPr>
      <w:r>
        <w:rPr>
          <w:rFonts w:ascii="Calibri" w:cs="Calibri" w:eastAsia="Calibri" w:hAnsi="Calibri"/>
          <w:sz w:val="19"/>
          <w:szCs w:val="19"/>
          <w:color w:val="auto"/>
        </w:rPr>
        <w:t>neither the Company nor any of its Subsidiaries or afliated companies shall be liable for any foreign exchange rate fuctuaton between Employee’s local currency and the U.S. dollar that may afect the value of the Performance Share Units or any amounts due to Employee pursuant to the setlement of the Performance Share Units or the subsequent sale of any shares of Stock acquired upon setlement of the Performance Share Units.</w:t>
      </w:r>
    </w:p>
    <w:p>
      <w:pPr>
        <w:spacing w:after="0" w:line="161" w:lineRule="exact"/>
        <w:rPr>
          <w:rFonts w:ascii="Calibri" w:cs="Calibri" w:eastAsia="Calibri" w:hAnsi="Calibri"/>
          <w:sz w:val="19"/>
          <w:szCs w:val="19"/>
          <w:color w:val="auto"/>
        </w:rPr>
      </w:pPr>
    </w:p>
    <w:p>
      <w:pPr>
        <w:jc w:val="both"/>
        <w:ind w:left="307" w:hanging="307"/>
        <w:spacing w:after="0" w:line="201" w:lineRule="auto"/>
        <w:tabs>
          <w:tab w:leader="none" w:pos="307" w:val="left"/>
        </w:tabs>
        <w:numPr>
          <w:ilvl w:val="0"/>
          <w:numId w:val="103"/>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Data Privacy</w:t>
      </w:r>
      <w:r>
        <w:rPr>
          <w:rFonts w:ascii="Calibri" w:cs="Calibri" w:eastAsia="Calibri" w:hAnsi="Calibri"/>
          <w:sz w:val="19"/>
          <w:szCs w:val="19"/>
          <w:color w:val="auto"/>
        </w:rPr>
        <w:t>.</w:t>
      </w:r>
      <w:r>
        <w:rPr>
          <w:rFonts w:ascii="Calibri" w:cs="Calibri" w:eastAsia="Calibri" w:hAnsi="Calibri"/>
          <w:sz w:val="19"/>
          <w:szCs w:val="19"/>
          <w:b w:val="1"/>
          <w:bCs w:val="1"/>
          <w:color w:val="auto"/>
        </w:rPr>
        <w:t xml:space="preserve"> </w:t>
      </w:r>
      <w:r>
        <w:rPr>
          <w:rFonts w:ascii="Calibri" w:cs="Calibri" w:eastAsia="Calibri" w:hAnsi="Calibri"/>
          <w:sz w:val="19"/>
          <w:szCs w:val="19"/>
          <w:i w:val="1"/>
          <w:iCs w:val="1"/>
          <w:color w:val="auto"/>
        </w:rPr>
        <w:t>Employee understands that the Company, its Subsidiaries and afliated companies and/or the Employer may hold certain</w:t>
      </w:r>
      <w:r>
        <w:rPr>
          <w:rFonts w:ascii="Calibri" w:cs="Calibri" w:eastAsia="Calibri" w:hAnsi="Calibri"/>
          <w:sz w:val="19"/>
          <w:szCs w:val="19"/>
          <w:b w:val="1"/>
          <w:bCs w:val="1"/>
          <w:color w:val="auto"/>
        </w:rPr>
        <w:t xml:space="preserve"> </w:t>
      </w:r>
      <w:r>
        <w:rPr>
          <w:rFonts w:ascii="Calibri" w:cs="Calibri" w:eastAsia="Calibri" w:hAnsi="Calibri"/>
          <w:sz w:val="19"/>
          <w:szCs w:val="19"/>
          <w:i w:val="1"/>
          <w:iCs w:val="1"/>
          <w:color w:val="auto"/>
        </w:rPr>
        <w:t>personal informaton about Employee, specifcally: Employee’s name, home address, email address and telephone number, date of birth, social security or insurance number, passport number or other identfcaton number, salary, natonality, and any shares of Stock or directorships held in the Company, and details of the Performance Share Units or any other enttlement to shares of Stock, canceled, exercised, vested, unvested or outstanding in Employee’s favor (“Data”), for the purpose of implementng, administering and managing the PUP. More informaton about how the Company collects, processes, protects, and transfers Data, as well as the rights of Employees in relaton to their Data, is found in the Employee Privacy Notce available on HalWorld.</w:t>
      </w:r>
    </w:p>
    <w:p>
      <w:pPr>
        <w:spacing w:after="0" w:line="200" w:lineRule="exact"/>
        <w:rPr>
          <w:rFonts w:ascii="Calibri" w:cs="Calibri" w:eastAsia="Calibri" w:hAnsi="Calibri"/>
          <w:sz w:val="19"/>
          <w:szCs w:val="19"/>
          <w:color w:val="auto"/>
        </w:rPr>
      </w:pPr>
    </w:p>
    <w:p>
      <w:pPr>
        <w:jc w:val="both"/>
        <w:ind w:left="307"/>
        <w:spacing w:after="0" w:line="205" w:lineRule="auto"/>
        <w:rPr>
          <w:rFonts w:ascii="Calibri" w:cs="Calibri" w:eastAsia="Calibri" w:hAnsi="Calibri"/>
          <w:sz w:val="19"/>
          <w:szCs w:val="19"/>
          <w:color w:val="auto"/>
        </w:rPr>
      </w:pPr>
      <w:r>
        <w:rPr>
          <w:rFonts w:ascii="Calibri" w:cs="Calibri" w:eastAsia="Calibri" w:hAnsi="Calibri"/>
          <w:sz w:val="19"/>
          <w:szCs w:val="19"/>
          <w:i w:val="1"/>
          <w:iCs w:val="1"/>
          <w:color w:val="auto"/>
        </w:rPr>
        <w:t>Employee hereby explicitly and unambiguously consents to the collecton, use and transfer, in electronic or other form, of Employee’s Data as described in this Agreement and any other grant materials by and among, as necessary and applicable, the Company and any of its Subsidiaries or afliated companies, for the exclusive purpose of implementng, administering and managing Employee’s partcipaton in the PUP.</w:t>
      </w:r>
    </w:p>
    <w:p>
      <w:pPr>
        <w:spacing w:after="0" w:line="200" w:lineRule="exact"/>
        <w:rPr>
          <w:rFonts w:ascii="Calibri" w:cs="Calibri" w:eastAsia="Calibri" w:hAnsi="Calibri"/>
          <w:sz w:val="19"/>
          <w:szCs w:val="19"/>
          <w:color w:val="auto"/>
        </w:rPr>
      </w:pPr>
    </w:p>
    <w:p>
      <w:pPr>
        <w:jc w:val="both"/>
        <w:ind w:left="307"/>
        <w:spacing w:after="0" w:line="199" w:lineRule="auto"/>
        <w:rPr>
          <w:rFonts w:ascii="Calibri" w:cs="Calibri" w:eastAsia="Calibri" w:hAnsi="Calibri"/>
          <w:sz w:val="19"/>
          <w:szCs w:val="19"/>
          <w:color w:val="auto"/>
        </w:rPr>
      </w:pPr>
      <w:r>
        <w:rPr>
          <w:rFonts w:ascii="Calibri" w:cs="Calibri" w:eastAsia="Calibri" w:hAnsi="Calibri"/>
          <w:sz w:val="19"/>
          <w:szCs w:val="19"/>
          <w:i w:val="1"/>
          <w:iCs w:val="1"/>
          <w:color w:val="auto"/>
        </w:rPr>
        <w:t>Employee understands that Data will be transferred to the stock brokerage or other fnancial or administratve services frm designated by the Company (the “Stock Plan Administrator”) which is assistng the Company with the implementaton, administraton and management of the PUP. Employee authorizes the Company, the Company’s Stock Plan Administrator and any other possible recipients that may assist the Company (presently or in the future) with implementng, administering and managing the PUP to receive, possess, use, retain and transfer Data, in electronic or other form, for the sole purpose of implementng, administering and managing Employee’s partcipaton in the PUP. Further, Employee understands that Employee is providing the consents herein on a purely voluntary basis. If Employee does not consent, or if Employee later seeks to revoke his or her consent, Employee’s service status and career will not be afected; the only consequence of refusing or withdrawing Employee’s consent is that the Company would not be able to grant Employee the Performance Share Units or other equity awards or administer or maintain such awards. Therefore, Employee understands that refusing or withdrawing his or her consent may afect Employee’s ability to partcipate in the PUP.</w:t>
      </w:r>
    </w:p>
    <w:p>
      <w:pPr>
        <w:spacing w:after="0" w:line="139" w:lineRule="exact"/>
        <w:rPr>
          <w:rFonts w:ascii="Calibri" w:cs="Calibri" w:eastAsia="Calibri" w:hAnsi="Calibri"/>
          <w:sz w:val="19"/>
          <w:szCs w:val="19"/>
          <w:color w:val="auto"/>
        </w:rPr>
      </w:pPr>
    </w:p>
    <w:p>
      <w:pPr>
        <w:jc w:val="both"/>
        <w:ind w:left="307" w:hanging="307"/>
        <w:spacing w:after="0" w:line="201" w:lineRule="auto"/>
        <w:tabs>
          <w:tab w:leader="none" w:pos="307" w:val="left"/>
        </w:tabs>
        <w:numPr>
          <w:ilvl w:val="0"/>
          <w:numId w:val="103"/>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Insider Trading; Market Abuse Laws</w:t>
      </w:r>
      <w:r>
        <w:rPr>
          <w:rFonts w:ascii="Calibri" w:cs="Calibri" w:eastAsia="Calibri" w:hAnsi="Calibri"/>
          <w:sz w:val="19"/>
          <w:szCs w:val="19"/>
          <w:color w:val="auto"/>
        </w:rPr>
        <w:t>. By partcipatng in the PUP, Employee agrees to comply with the Company’s policy on insider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trading. Employee further acknowledges that, depending on Employee’s or his or her broker’s country of residence or where the shares of Stock are listed, Employee may be subject to insider trading restrictons and/or market abuse laws that may afect Employee’s ability to accept, acquire, sell or otherwise dispose of shares of Stock, rights to shares of Stock (e.g., restricted stock units) or rights linked to the value of shares of Stock, during such tmes Employee is considered to have “inside informaton” regarding the Company as defned by the laws or regulatons in Employee’s country. Local insider trading laws and regulatons may prohibit the cancellaton or</w:t>
      </w:r>
    </w:p>
    <w:p>
      <w:pPr>
        <w:sectPr>
          <w:pgSz w:w="11900" w:h="16838" w:orient="portrait"/>
          <w:cols w:equalWidth="0" w:num="1">
            <w:col w:w="10927"/>
          </w:cols>
          <w:pgMar w:left="633" w:top="895" w:right="339" w:bottom="1440" w:gutter="0" w:footer="0" w:header="0"/>
        </w:sectPr>
      </w:pPr>
    </w:p>
    <w:bookmarkStart w:id="158" w:name="page159"/>
    <w:bookmarkEnd w:id="158"/>
    <w:p>
      <w:pPr>
        <w:jc w:val="both"/>
        <w:ind w:left="307"/>
        <w:spacing w:after="0" w:line="201" w:lineRule="auto"/>
        <w:rPr>
          <w:sz w:val="20"/>
          <w:szCs w:val="20"/>
          <w:color w:val="auto"/>
        </w:rPr>
      </w:pPr>
      <w:r>
        <w:rPr>
          <w:rFonts w:ascii="Calibri" w:cs="Calibri" w:eastAsia="Calibri" w:hAnsi="Calibri"/>
          <w:sz w:val="19"/>
          <w:szCs w:val="19"/>
          <w:color w:val="auto"/>
        </w:rPr>
        <w:t>amendment of orders Employee places before he or she possessed inside informaton. Furthermore, Employee could be prohibited from (i) disclosing the inside informaton to any third party (other than on a “need to know” basis) and (ii) ”tpping” third partes or causing them otherwise to buy or sell securites. Employee understands that third partes include fellow employees. Any restricton under these laws or regulatons are separate from and in additon to any restrictons that may be imposed under any applicable Company insider trading policy. Employee acknowledges that it is Employee’s responsibility to comply with any applicable restrictons, and that Employee should therefore consult Employee’s personal advisor on this mater.</w:t>
      </w:r>
    </w:p>
    <w:p>
      <w:pPr>
        <w:spacing w:after="0" w:line="201" w:lineRule="exact"/>
        <w:rPr>
          <w:sz w:val="20"/>
          <w:szCs w:val="20"/>
          <w:color w:val="auto"/>
        </w:rPr>
      </w:pPr>
    </w:p>
    <w:p>
      <w:pPr>
        <w:jc w:val="both"/>
        <w:ind w:left="307" w:hanging="307"/>
        <w:spacing w:after="0" w:line="199" w:lineRule="auto"/>
        <w:tabs>
          <w:tab w:leader="none" w:pos="307" w:val="left"/>
        </w:tabs>
        <w:numPr>
          <w:ilvl w:val="0"/>
          <w:numId w:val="104"/>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Electronic Delivery and Partcipaton</w:t>
      </w:r>
      <w:r>
        <w:rPr>
          <w:rFonts w:ascii="Calibri" w:cs="Calibri" w:eastAsia="Calibri" w:hAnsi="Calibri"/>
          <w:sz w:val="19"/>
          <w:szCs w:val="19"/>
          <w:color w:val="auto"/>
        </w:rPr>
        <w:t>. Employee agrees, to the fullest extent permited by law, in lieu of receiving documents in paper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format, to accept electronic delivery of any documents that the Company and its Subsidiaries or afliated companies may deliver in connecton with this grant and any other grants ofered by the Company, including prospectuses, grant notfcatons, account statements, annual or quarterly reports, and other communicatons. Electronic delivery of a document may be made via the Company’s email system or by reference to a locaton on the Company’s intranet or website or a website of the Company’s agent administering the PUP. By acceptng this grant, whether electronically or otherwise, Employee also hereby consents to partcipate in the PUP through such system, intranet, or website, including but not limited to the use of electronic signatures or click-through electronic acceptance of terms and conditons.</w:t>
      </w:r>
    </w:p>
    <w:p>
      <w:pPr>
        <w:spacing w:after="0" w:line="201" w:lineRule="exact"/>
        <w:rPr>
          <w:rFonts w:ascii="Calibri" w:cs="Calibri" w:eastAsia="Calibri" w:hAnsi="Calibri"/>
          <w:sz w:val="19"/>
          <w:szCs w:val="19"/>
          <w:color w:val="auto"/>
        </w:rPr>
      </w:pPr>
    </w:p>
    <w:p>
      <w:pPr>
        <w:jc w:val="both"/>
        <w:ind w:left="307" w:hanging="307"/>
        <w:spacing w:after="0" w:line="201" w:lineRule="auto"/>
        <w:tabs>
          <w:tab w:leader="none" w:pos="307" w:val="left"/>
        </w:tabs>
        <w:numPr>
          <w:ilvl w:val="0"/>
          <w:numId w:val="104"/>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English Language</w:t>
      </w:r>
      <w:r>
        <w:rPr>
          <w:rFonts w:ascii="Calibri" w:cs="Calibri" w:eastAsia="Calibri" w:hAnsi="Calibri"/>
          <w:sz w:val="19"/>
          <w:szCs w:val="19"/>
          <w:color w:val="auto"/>
        </w:rPr>
        <w:t>. Employee acknowledges and agrees that it is Employee’s express intent that this Agreement and the PUP and all</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other documents, notces and legal proceedings entered into, given or insttuted pursuant to the Performance Share Units be drawn up in English. Employee acknowledges that Employee is sufciently profcient in English, or has consulted with an advisor who is sufciently profcient in English, so as to allow Employee to understand the terms and conditons of this Agreement. To the extent Employee has been provided with a copy of this Agreement, the PUP, or any other documents relatng to this Award in a language other than English, the English language documents will prevail in case of any ambiguites or divergences as a result of translaton.</w:t>
      </w:r>
    </w:p>
    <w:p>
      <w:pPr>
        <w:spacing w:after="0" w:line="201" w:lineRule="exact"/>
        <w:rPr>
          <w:rFonts w:ascii="Calibri" w:cs="Calibri" w:eastAsia="Calibri" w:hAnsi="Calibri"/>
          <w:sz w:val="19"/>
          <w:szCs w:val="19"/>
          <w:color w:val="auto"/>
        </w:rPr>
      </w:pPr>
    </w:p>
    <w:p>
      <w:pPr>
        <w:jc w:val="both"/>
        <w:ind w:left="307" w:hanging="307"/>
        <w:spacing w:after="0" w:line="200" w:lineRule="auto"/>
        <w:tabs>
          <w:tab w:leader="none" w:pos="307" w:val="left"/>
        </w:tabs>
        <w:numPr>
          <w:ilvl w:val="0"/>
          <w:numId w:val="104"/>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Not a Public Ofering</w:t>
      </w:r>
      <w:r>
        <w:rPr>
          <w:rFonts w:ascii="Calibri" w:cs="Calibri" w:eastAsia="Calibri" w:hAnsi="Calibri"/>
          <w:sz w:val="19"/>
          <w:szCs w:val="19"/>
          <w:color w:val="auto"/>
        </w:rPr>
        <w:t>. The award of the Performance Share Units is not intended to be a public ofering of securites in Employee’s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 xml:space="preserve">country of employment (or country of residence, if diferent). The Company has not submited any registraton statement, prospectus or other flings with the local securites authorites (unless otherwise required under local law), and the award of the Performance Share Units is not subject to the supervision of the local securites authorites. </w:t>
      </w:r>
      <w:r>
        <w:rPr>
          <w:rFonts w:ascii="Calibri" w:cs="Calibri" w:eastAsia="Calibri" w:hAnsi="Calibri"/>
          <w:sz w:val="19"/>
          <w:szCs w:val="19"/>
          <w:i w:val="1"/>
          <w:iCs w:val="1"/>
          <w:color w:val="auto"/>
        </w:rPr>
        <w:t>No employee of the Company or any of its Subsidiaries or</w:t>
      </w:r>
      <w:r>
        <w:rPr>
          <w:rFonts w:ascii="Calibri" w:cs="Calibri" w:eastAsia="Calibri" w:hAnsi="Calibri"/>
          <w:sz w:val="19"/>
          <w:szCs w:val="19"/>
          <w:color w:val="auto"/>
        </w:rPr>
        <w:t xml:space="preserve"> </w:t>
      </w:r>
      <w:r>
        <w:rPr>
          <w:rFonts w:ascii="Calibri" w:cs="Calibri" w:eastAsia="Calibri" w:hAnsi="Calibri"/>
          <w:sz w:val="19"/>
          <w:szCs w:val="19"/>
          <w:i w:val="1"/>
          <w:iCs w:val="1"/>
          <w:color w:val="auto"/>
        </w:rPr>
        <w:t>afliated companies is permited to advise Employee on whether he/she should partcipate in the PUP. Acquiring shares of Stock involves a degree of risk. Before deciding to partcipate in the PUP, Employee should carefully consider all risk factors relevant to the acquisiton of shares of Stock under the PUP and carefully review all of the materials related to the Performance Share Units and the PUP. In additon, Employee should consult with his/her personal advisor for professional investment advice.</w:t>
      </w:r>
    </w:p>
    <w:p>
      <w:pPr>
        <w:spacing w:after="0" w:line="194" w:lineRule="exact"/>
        <w:rPr>
          <w:rFonts w:ascii="Calibri" w:cs="Calibri" w:eastAsia="Calibri" w:hAnsi="Calibri"/>
          <w:sz w:val="19"/>
          <w:szCs w:val="19"/>
          <w:color w:val="auto"/>
        </w:rPr>
      </w:pPr>
    </w:p>
    <w:p>
      <w:pPr>
        <w:jc w:val="both"/>
        <w:ind w:left="307" w:hanging="307"/>
        <w:spacing w:after="0" w:line="229" w:lineRule="auto"/>
        <w:tabs>
          <w:tab w:leader="none" w:pos="307" w:val="left"/>
        </w:tabs>
        <w:numPr>
          <w:ilvl w:val="0"/>
          <w:numId w:val="104"/>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Repatriaton; Compliance with Law</w:t>
      </w:r>
      <w:r>
        <w:rPr>
          <w:rFonts w:ascii="Calibri" w:cs="Calibri" w:eastAsia="Calibri" w:hAnsi="Calibri"/>
          <w:sz w:val="19"/>
          <w:szCs w:val="19"/>
          <w:color w:val="auto"/>
        </w:rPr>
        <w:t>. Employee agrees to repatriate all payments atributable to the shares of Stock and/or cash</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acquired under the PUP in accordance with applicable foreign exchange rules and regulatons in Employee’s country of employment (and country of residence, if diferent). In additon, Employee agrees to take any and all actons, and consent to any and all actons taken by the Company and any of its Subsidiaries and afliated companies, as may be required to allow the Company and any of its Subsidiaries and afliated companies to comply with local laws, rules and/or regulatons in Employee’s country of employment (and country of residence, if diferent). Finally, Employee agrees to take any and all actons as may be required to comply with Employee’s personal obligatons under local laws, rules and/or regulatons in Employee’s country of employment and country of residence, if diferent).</w:t>
      </w:r>
    </w:p>
    <w:p>
      <w:pPr>
        <w:spacing w:after="0" w:line="204" w:lineRule="exact"/>
        <w:rPr>
          <w:rFonts w:ascii="Calibri" w:cs="Calibri" w:eastAsia="Calibri" w:hAnsi="Calibri"/>
          <w:sz w:val="19"/>
          <w:szCs w:val="19"/>
          <w:color w:val="auto"/>
        </w:rPr>
      </w:pPr>
    </w:p>
    <w:p>
      <w:pPr>
        <w:jc w:val="both"/>
        <w:ind w:left="307" w:hanging="307"/>
        <w:spacing w:after="0" w:line="201" w:lineRule="auto"/>
        <w:tabs>
          <w:tab w:leader="none" w:pos="307" w:val="left"/>
        </w:tabs>
        <w:numPr>
          <w:ilvl w:val="0"/>
          <w:numId w:val="104"/>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Impositon of Other Requirements</w:t>
      </w:r>
      <w:r>
        <w:rPr>
          <w:rFonts w:ascii="Calibri" w:cs="Calibri" w:eastAsia="Calibri" w:hAnsi="Calibri"/>
          <w:sz w:val="19"/>
          <w:szCs w:val="19"/>
          <w:color w:val="auto"/>
        </w:rPr>
        <w:t>. The Company reserves the right to impose other requirements on Employee’s partcipaton in the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PUP, on the Performance Share Units, and on any shares of Stock acquired under the PUP, to the extent the Company determines it is necessary or advisable for legal or administratve reasons, and to require Employee to sign any additonal agreements or undertakings that may be necessary to accomplish the foregoing.</w:t>
      </w:r>
    </w:p>
    <w:p>
      <w:pPr>
        <w:spacing w:after="0" w:line="202" w:lineRule="exact"/>
        <w:rPr>
          <w:rFonts w:ascii="Calibri" w:cs="Calibri" w:eastAsia="Calibri" w:hAnsi="Calibri"/>
          <w:sz w:val="19"/>
          <w:szCs w:val="19"/>
          <w:color w:val="auto"/>
        </w:rPr>
      </w:pPr>
    </w:p>
    <w:p>
      <w:pPr>
        <w:jc w:val="both"/>
        <w:ind w:left="307" w:hanging="307"/>
        <w:spacing w:after="0" w:line="206" w:lineRule="auto"/>
        <w:tabs>
          <w:tab w:leader="none" w:pos="307" w:val="left"/>
        </w:tabs>
        <w:numPr>
          <w:ilvl w:val="0"/>
          <w:numId w:val="104"/>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Commitee’s Powers</w:t>
      </w:r>
      <w:r>
        <w:rPr>
          <w:rFonts w:ascii="Calibri" w:cs="Calibri" w:eastAsia="Calibri" w:hAnsi="Calibri"/>
          <w:sz w:val="19"/>
          <w:szCs w:val="19"/>
          <w:color w:val="auto"/>
        </w:rPr>
        <w:t>. No provision contained in this Agreement shall in any way terminate, modify or alter, or be construed or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interpreted as terminatng, modifying or altering any of the powers, rights or authority vested in the Commitee or, to the extent delegated, in its delegate, pursuant to the terms</w:t>
      </w:r>
    </w:p>
    <w:p>
      <w:pPr>
        <w:sectPr>
          <w:pgSz w:w="11900" w:h="16838" w:orient="portrait"/>
          <w:cols w:equalWidth="0" w:num="1">
            <w:col w:w="10927"/>
          </w:cols>
          <w:pgMar w:left="633" w:top="901" w:right="339" w:bottom="1440" w:gutter="0" w:footer="0" w:header="0"/>
        </w:sectPr>
      </w:pPr>
    </w:p>
    <w:bookmarkStart w:id="159" w:name="page160"/>
    <w:bookmarkEnd w:id="159"/>
    <w:p>
      <w:pPr>
        <w:ind w:left="307"/>
        <w:spacing w:after="0" w:line="216" w:lineRule="auto"/>
        <w:rPr>
          <w:sz w:val="20"/>
          <w:szCs w:val="20"/>
          <w:color w:val="auto"/>
        </w:rPr>
      </w:pPr>
      <w:r>
        <w:rPr>
          <w:rFonts w:ascii="Calibri" w:cs="Calibri" w:eastAsia="Calibri" w:hAnsi="Calibri"/>
          <w:sz w:val="19"/>
          <w:szCs w:val="19"/>
          <w:color w:val="auto"/>
        </w:rPr>
        <w:t>of the PUP or resolutons adopted in furtherance of the PUP, including, without limitaton, the right to make certain determinatons and electons with respect to the Performance Share Units.</w:t>
      </w:r>
    </w:p>
    <w:p>
      <w:pPr>
        <w:spacing w:after="0" w:line="188" w:lineRule="exact"/>
        <w:rPr>
          <w:sz w:val="20"/>
          <w:szCs w:val="20"/>
          <w:color w:val="auto"/>
        </w:rPr>
      </w:pPr>
    </w:p>
    <w:p>
      <w:pPr>
        <w:ind w:left="307" w:hanging="307"/>
        <w:spacing w:after="0" w:line="216" w:lineRule="auto"/>
        <w:tabs>
          <w:tab w:leader="none" w:pos="307" w:val="left"/>
        </w:tabs>
        <w:numPr>
          <w:ilvl w:val="0"/>
          <w:numId w:val="105"/>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Binding Efect</w:t>
      </w:r>
      <w:r>
        <w:rPr>
          <w:rFonts w:ascii="Calibri" w:cs="Calibri" w:eastAsia="Calibri" w:hAnsi="Calibri"/>
          <w:sz w:val="19"/>
          <w:szCs w:val="19"/>
          <w:color w:val="auto"/>
        </w:rPr>
        <w:t>. This Agreement shall be binding upon and inure to the beneft of any successors to the Company and all persons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lawfully claiming under Employee.</w:t>
      </w:r>
    </w:p>
    <w:p>
      <w:pPr>
        <w:spacing w:after="0" w:line="195" w:lineRule="exact"/>
        <w:rPr>
          <w:rFonts w:ascii="Calibri" w:cs="Calibri" w:eastAsia="Calibri" w:hAnsi="Calibri"/>
          <w:sz w:val="19"/>
          <w:szCs w:val="19"/>
          <w:color w:val="auto"/>
        </w:rPr>
      </w:pPr>
    </w:p>
    <w:p>
      <w:pPr>
        <w:ind w:left="307" w:hanging="307"/>
        <w:spacing w:after="0"/>
        <w:tabs>
          <w:tab w:leader="none" w:pos="307" w:val="left"/>
        </w:tabs>
        <w:numPr>
          <w:ilvl w:val="0"/>
          <w:numId w:val="105"/>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Governing Law and Forum</w:t>
      </w:r>
      <w:r>
        <w:rPr>
          <w:rFonts w:ascii="Calibri" w:cs="Calibri" w:eastAsia="Calibri" w:hAnsi="Calibri"/>
          <w:sz w:val="19"/>
          <w:szCs w:val="19"/>
          <w:color w:val="auto"/>
        </w:rPr>
        <w:t>.</w:t>
      </w:r>
    </w:p>
    <w:p>
      <w:pPr>
        <w:spacing w:after="0" w:line="186" w:lineRule="exact"/>
        <w:rPr>
          <w:rFonts w:ascii="Calibri" w:cs="Calibri" w:eastAsia="Calibri" w:hAnsi="Calibri"/>
          <w:sz w:val="19"/>
          <w:szCs w:val="19"/>
          <w:color w:val="auto"/>
        </w:rPr>
      </w:pPr>
    </w:p>
    <w:p>
      <w:pPr>
        <w:jc w:val="both"/>
        <w:ind w:left="927" w:hanging="309"/>
        <w:spacing w:after="0" w:line="206" w:lineRule="auto"/>
        <w:tabs>
          <w:tab w:leader="none" w:pos="931" w:val="left"/>
        </w:tabs>
        <w:numPr>
          <w:ilvl w:val="1"/>
          <w:numId w:val="105"/>
        </w:numPr>
        <w:rPr>
          <w:rFonts w:ascii="Calibri" w:cs="Calibri" w:eastAsia="Calibri" w:hAnsi="Calibri"/>
          <w:sz w:val="19"/>
          <w:szCs w:val="19"/>
          <w:color w:val="auto"/>
        </w:rPr>
      </w:pPr>
      <w:r>
        <w:rPr>
          <w:rFonts w:ascii="Calibri" w:cs="Calibri" w:eastAsia="Calibri" w:hAnsi="Calibri"/>
          <w:sz w:val="19"/>
          <w:szCs w:val="19"/>
          <w:color w:val="auto"/>
        </w:rPr>
        <w:t>Except as set forth in Paragraph 21(c), this Agreement shall be governed by, and construed in accordance with, the laws of the State of Texas without regard to principles of confict of laws, except to the extent that it implicates maters which are the subject of the General Corporaton Law of the State of Delaware, which maters shall be governed by the later law.</w:t>
      </w:r>
    </w:p>
    <w:p>
      <w:pPr>
        <w:spacing w:after="0" w:line="202" w:lineRule="exact"/>
        <w:rPr>
          <w:rFonts w:ascii="Calibri" w:cs="Calibri" w:eastAsia="Calibri" w:hAnsi="Calibri"/>
          <w:sz w:val="19"/>
          <w:szCs w:val="19"/>
          <w:color w:val="auto"/>
        </w:rPr>
      </w:pPr>
    </w:p>
    <w:p>
      <w:pPr>
        <w:jc w:val="both"/>
        <w:ind w:left="927" w:hanging="309"/>
        <w:spacing w:after="0" w:line="201" w:lineRule="auto"/>
        <w:tabs>
          <w:tab w:leader="none" w:pos="927" w:val="left"/>
        </w:tabs>
        <w:numPr>
          <w:ilvl w:val="1"/>
          <w:numId w:val="105"/>
        </w:numPr>
        <w:rPr>
          <w:rFonts w:ascii="Calibri" w:cs="Calibri" w:eastAsia="Calibri" w:hAnsi="Calibri"/>
          <w:sz w:val="19"/>
          <w:szCs w:val="19"/>
          <w:color w:val="auto"/>
        </w:rPr>
      </w:pPr>
      <w:r>
        <w:rPr>
          <w:rFonts w:ascii="Calibri" w:cs="Calibri" w:eastAsia="Calibri" w:hAnsi="Calibri"/>
          <w:sz w:val="19"/>
          <w:szCs w:val="19"/>
          <w:color w:val="auto"/>
        </w:rPr>
        <w:t>For purposes of resolving any dispute that may arise directly or indirectly from this Agreement, the partes hereby agree that any such dispute that cannot be resolved by the partes shall be submited for resoluton through the Halliburton Dispute Resoluton Program, pursuant to which the last step is fnal and binding arbitraton. Notwithstanding the foregoing, the partes agree that in additon to any other rights or remedies they may have, that either party shall be enttled, if it so elects, to insttute a proceeding in any court of competent jurisdicton to obtain a preliminary injuncton (with each waiving the other’s obligaton, if any, to post bond) in order to prevent actvites in violaton of the Agreement and to maintain the status quo pending resoluton of the partes’ dispute in accordance with the Halliburton Dispute Resoluton Program.</w:t>
      </w:r>
    </w:p>
    <w:p>
      <w:pPr>
        <w:spacing w:after="0" w:line="200" w:lineRule="exact"/>
        <w:rPr>
          <w:rFonts w:ascii="Calibri" w:cs="Calibri" w:eastAsia="Calibri" w:hAnsi="Calibri"/>
          <w:sz w:val="19"/>
          <w:szCs w:val="19"/>
          <w:color w:val="auto"/>
        </w:rPr>
      </w:pPr>
    </w:p>
    <w:p>
      <w:pPr>
        <w:jc w:val="both"/>
        <w:ind w:left="927" w:hanging="309"/>
        <w:spacing w:after="0" w:line="206" w:lineRule="auto"/>
        <w:tabs>
          <w:tab w:leader="none" w:pos="920" w:val="left"/>
        </w:tabs>
        <w:numPr>
          <w:ilvl w:val="1"/>
          <w:numId w:val="105"/>
        </w:numPr>
        <w:rPr>
          <w:rFonts w:ascii="Calibri" w:cs="Calibri" w:eastAsia="Calibri" w:hAnsi="Calibri"/>
          <w:sz w:val="19"/>
          <w:szCs w:val="19"/>
          <w:color w:val="auto"/>
        </w:rPr>
      </w:pPr>
      <w:r>
        <w:rPr>
          <w:rFonts w:ascii="Calibri" w:cs="Calibri" w:eastAsia="Calibri" w:hAnsi="Calibri"/>
          <w:sz w:val="19"/>
          <w:szCs w:val="19"/>
          <w:color w:val="auto"/>
        </w:rPr>
        <w:t>If Employee’s ongoing (not temporary or business travel) assignment is in California, Colorado, Louisiana or North Dakota, then Paragraph 5 shall be governed by, and construed in accordance with, the laws of California, Colorado, Louisiana or North Dakota, respectvely.</w:t>
      </w:r>
    </w:p>
    <w:p>
      <w:pPr>
        <w:spacing w:after="0" w:line="202" w:lineRule="exact"/>
        <w:rPr>
          <w:rFonts w:ascii="Calibri" w:cs="Calibri" w:eastAsia="Calibri" w:hAnsi="Calibri"/>
          <w:sz w:val="19"/>
          <w:szCs w:val="19"/>
          <w:color w:val="auto"/>
        </w:rPr>
      </w:pPr>
    </w:p>
    <w:p>
      <w:pPr>
        <w:jc w:val="both"/>
        <w:ind w:left="307" w:hanging="307"/>
        <w:spacing w:after="0" w:line="199" w:lineRule="auto"/>
        <w:tabs>
          <w:tab w:leader="none" w:pos="307" w:val="left"/>
        </w:tabs>
        <w:numPr>
          <w:ilvl w:val="0"/>
          <w:numId w:val="105"/>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U.S. Federal Defend Trade Secrets Act Notce</w:t>
      </w:r>
      <w:r>
        <w:rPr>
          <w:rFonts w:ascii="Calibri" w:cs="Calibri" w:eastAsia="Calibri" w:hAnsi="Calibri"/>
          <w:sz w:val="19"/>
          <w:szCs w:val="19"/>
          <w:color w:val="auto"/>
        </w:rPr>
        <w:t>. Employee is hereby notfed in accordance with the Defend Trade Secrets Act of 2016</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that Employee will not be held criminally or civilly liable under any U.S. federal or state trade secret law for the disclosure of a trade secret that is made in confdence to a U.S. federal, state, or local government ofcial, either directly or indirectly, or to an atorney solely for the purpose of reportng or investgatng a suspected violaton of law, or is made in a complaint or other document that is fled under seal in a lawsuit or other proceeding. If Employee fles a lawsuit for retaliaton against the Company for reportng a suspected violaton of law, Employee may disclose the Company’s trade secrets to Employee’s atorney and use the trade secret informaton in the court proceeding if Employee fles any document containing the trade secret under seal, and does not disclose the trade secret, except pursuant to court order.</w:t>
      </w:r>
    </w:p>
    <w:p>
      <w:pPr>
        <w:spacing w:after="0" w:line="201" w:lineRule="exact"/>
        <w:rPr>
          <w:rFonts w:ascii="Calibri" w:cs="Calibri" w:eastAsia="Calibri" w:hAnsi="Calibri"/>
          <w:sz w:val="19"/>
          <w:szCs w:val="19"/>
          <w:color w:val="auto"/>
        </w:rPr>
      </w:pPr>
    </w:p>
    <w:p>
      <w:pPr>
        <w:jc w:val="both"/>
        <w:ind w:left="307" w:hanging="307"/>
        <w:spacing w:after="0" w:line="201" w:lineRule="auto"/>
        <w:tabs>
          <w:tab w:leader="none" w:pos="307" w:val="left"/>
        </w:tabs>
        <w:numPr>
          <w:ilvl w:val="0"/>
          <w:numId w:val="105"/>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Severability</w:t>
      </w:r>
      <w:r>
        <w:rPr>
          <w:rFonts w:ascii="Calibri" w:cs="Calibri" w:eastAsia="Calibri" w:hAnsi="Calibri"/>
          <w:sz w:val="19"/>
          <w:szCs w:val="19"/>
          <w:color w:val="auto"/>
        </w:rPr>
        <w:t>. The provisions of this Agreement are severable and if any one or more of the provisions are determined to be illegal or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otherwise unenforceable, in whole or in part, the Agreement shall be reformed and construed so that it would be enforceable to the maximum extent legally possible, and if it cannot be so reformed and construed, as if such unenforceable provision, or part thereof, had never been contained herein. The covenant in Paragraph 5 of this Agreement shall be separate, independent and concurrently enforceable with other employee agreements that have been signed by Employee. In the event such provisions of an agreement is determined by an adjudicator as not to be enforceable, any other concurrently enforceable provisions may stll be enforced.</w:t>
      </w:r>
    </w:p>
    <w:p>
      <w:pPr>
        <w:spacing w:after="0" w:line="201" w:lineRule="exact"/>
        <w:rPr>
          <w:rFonts w:ascii="Calibri" w:cs="Calibri" w:eastAsia="Calibri" w:hAnsi="Calibri"/>
          <w:sz w:val="19"/>
          <w:szCs w:val="19"/>
          <w:color w:val="auto"/>
        </w:rPr>
      </w:pPr>
    </w:p>
    <w:p>
      <w:pPr>
        <w:jc w:val="both"/>
        <w:ind w:left="307" w:hanging="307"/>
        <w:spacing w:after="0" w:line="206" w:lineRule="auto"/>
        <w:tabs>
          <w:tab w:leader="none" w:pos="307" w:val="left"/>
        </w:tabs>
        <w:numPr>
          <w:ilvl w:val="0"/>
          <w:numId w:val="105"/>
        </w:numPr>
        <w:rPr>
          <w:rFonts w:ascii="Calibri" w:cs="Calibri" w:eastAsia="Calibri" w:hAnsi="Calibri"/>
          <w:sz w:val="19"/>
          <w:szCs w:val="19"/>
          <w:color w:val="auto"/>
        </w:rPr>
      </w:pPr>
      <w:r>
        <w:rPr>
          <w:rFonts w:ascii="Calibri" w:cs="Calibri" w:eastAsia="Calibri" w:hAnsi="Calibri"/>
          <w:sz w:val="19"/>
          <w:szCs w:val="19"/>
          <w:b w:val="1"/>
          <w:bCs w:val="1"/>
          <w:u w:val="single" w:color="auto"/>
          <w:color w:val="auto"/>
        </w:rPr>
        <w:t>Waiver</w:t>
      </w:r>
      <w:r>
        <w:rPr>
          <w:rFonts w:ascii="Calibri" w:cs="Calibri" w:eastAsia="Calibri" w:hAnsi="Calibri"/>
          <w:sz w:val="19"/>
          <w:szCs w:val="19"/>
          <w:color w:val="auto"/>
        </w:rPr>
        <w:t>. The waiver by the Company with respect to Employee’s (or any other partcipant’s) compliance with any provision of this</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Agreement shall not operate or be construed as a waiver of any other provision of this Agreement, or of any subsequent breach by such party of a provision of this Agreement.</w:t>
      </w:r>
    </w:p>
    <w:p>
      <w:pPr>
        <w:sectPr>
          <w:pgSz w:w="11900" w:h="16838" w:orient="portrait"/>
          <w:cols w:equalWidth="0" w:num="1">
            <w:col w:w="10927"/>
          </w:cols>
          <w:pgMar w:left="633" w:top="901" w:right="339" w:bottom="1440" w:gutter="0" w:footer="0" w:header="0"/>
        </w:sectPr>
      </w:pPr>
    </w:p>
    <w:bookmarkStart w:id="160" w:name="page161"/>
    <w:bookmarkEnd w:id="160"/>
    <w:p>
      <w:pPr>
        <w:spacing w:after="0" w:line="213" w:lineRule="auto"/>
        <w:rPr>
          <w:sz w:val="20"/>
          <w:szCs w:val="20"/>
          <w:color w:val="auto"/>
        </w:rPr>
      </w:pPr>
      <w:r>
        <w:rPr>
          <w:rFonts w:ascii="Calibri" w:cs="Calibri" w:eastAsia="Calibri" w:hAnsi="Calibri"/>
          <w:sz w:val="19"/>
          <w:szCs w:val="19"/>
          <w:b w:val="1"/>
          <w:bCs w:val="1"/>
          <w:color w:val="auto"/>
        </w:rPr>
        <w:t>IN WITNESS WHEREOF</w:t>
      </w:r>
      <w:r>
        <w:rPr>
          <w:rFonts w:ascii="Calibri" w:cs="Calibri" w:eastAsia="Calibri" w:hAnsi="Calibri"/>
          <w:sz w:val="19"/>
          <w:szCs w:val="19"/>
          <w:color w:val="auto"/>
        </w:rPr>
        <w:t>, the Company has caused this Agreement to be duly executed by an ofcer thereunto duly authorized as of the date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frst above writen.</w:t>
      </w:r>
    </w:p>
    <w:p>
      <w:pPr>
        <w:ind w:left="1220"/>
        <w:spacing w:after="0" w:line="194" w:lineRule="auto"/>
        <w:rPr>
          <w:sz w:val="20"/>
          <w:szCs w:val="20"/>
          <w:color w:val="auto"/>
        </w:rPr>
      </w:pPr>
      <w:r>
        <w:rPr>
          <w:rFonts w:ascii="Calibri" w:cs="Calibri" w:eastAsia="Calibri" w:hAnsi="Calibri"/>
          <w:sz w:val="19"/>
          <w:szCs w:val="19"/>
          <w:b w:val="1"/>
          <w:bCs w:val="1"/>
          <w:color w:val="auto"/>
        </w:rPr>
        <w:t>HALLIBURTON COMPANY</w:t>
      </w:r>
    </w:p>
    <w:p>
      <w:pPr>
        <w:spacing w:after="0" w:line="387" w:lineRule="exact"/>
        <w:rPr>
          <w:sz w:val="20"/>
          <w:szCs w:val="20"/>
          <w:color w:val="auto"/>
        </w:rPr>
      </w:pPr>
    </w:p>
    <w:p>
      <w:pPr>
        <w:ind w:left="1220"/>
        <w:spacing w:after="0"/>
        <w:rPr>
          <w:sz w:val="20"/>
          <w:szCs w:val="20"/>
          <w:color w:val="auto"/>
        </w:rPr>
      </w:pPr>
      <w:r>
        <w:rPr>
          <w:rFonts w:ascii="Calibri" w:cs="Calibri" w:eastAsia="Calibri" w:hAnsi="Calibri"/>
          <w:sz w:val="19"/>
          <w:szCs w:val="19"/>
          <w:color w:val="auto"/>
        </w:rPr>
        <w:t>By</w:t>
      </w:r>
    </w:p>
    <w:p>
      <w:pPr>
        <w:spacing w:after="0" w:line="200" w:lineRule="exact"/>
        <w:rPr>
          <w:sz w:val="20"/>
          <w:szCs w:val="20"/>
          <w:color w:val="auto"/>
        </w:rPr>
      </w:pPr>
    </w:p>
    <w:p>
      <w:pPr>
        <w:spacing w:after="0" w:line="399" w:lineRule="exact"/>
        <w:rPr>
          <w:sz w:val="20"/>
          <w:szCs w:val="20"/>
          <w:color w:val="auto"/>
        </w:rPr>
      </w:pPr>
    </w:p>
    <w:p>
      <w:pPr>
        <w:ind w:left="1220"/>
        <w:spacing w:after="0"/>
        <w:rPr>
          <w:sz w:val="20"/>
          <w:szCs w:val="20"/>
          <w:color w:val="auto"/>
        </w:rPr>
      </w:pPr>
      <w:r>
        <w:rPr>
          <w:rFonts w:ascii="Calibri" w:cs="Calibri" w:eastAsia="Calibri" w:hAnsi="Calibri"/>
          <w:sz w:val="19"/>
          <w:szCs w:val="19"/>
          <w:color w:val="auto"/>
        </w:rPr>
        <w:t>Jefrey A. Miller</w:t>
      </w:r>
    </w:p>
    <w:p>
      <w:pPr>
        <w:ind w:left="1220"/>
        <w:spacing w:after="0" w:line="194" w:lineRule="auto"/>
        <w:rPr>
          <w:sz w:val="20"/>
          <w:szCs w:val="20"/>
          <w:color w:val="auto"/>
        </w:rPr>
      </w:pPr>
      <w:r>
        <w:rPr>
          <w:rFonts w:ascii="Calibri" w:cs="Calibri" w:eastAsia="Calibri" w:hAnsi="Calibri"/>
          <w:sz w:val="19"/>
          <w:szCs w:val="19"/>
          <w:color w:val="auto"/>
        </w:rPr>
        <w:t>Chairman, President and Chief Executve Ofcer</w:t>
      </w:r>
    </w:p>
    <w:p>
      <w:pPr>
        <w:spacing w:after="0" w:line="194"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 xml:space="preserve">I HEREBY AGREE TO THE TERMS AND CONDITIONS SET FORTH IN THIS PERFORMANCE SHARE UNIT AGREEMENT DATED </w:t>
      </w:r>
      <w:r>
        <w:rPr>
          <w:rFonts w:ascii="Calibri" w:cs="Calibri" w:eastAsia="Calibri" w:hAnsi="Calibri"/>
          <w:sz w:val="19"/>
          <w:szCs w:val="19"/>
          <w:b w:val="1"/>
          <w:bCs w:val="1"/>
          <w:color w:val="auto"/>
          <w:highlight w:val="yellow"/>
        </w:rPr>
        <w:t>&lt;&lt;Grant Date&gt;&gt;.</w:t>
      </w:r>
    </w:p>
    <w:p>
      <w:pPr>
        <w:spacing w:after="0" w:line="193"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highlight w:val="yellow"/>
        </w:rPr>
        <w:t>&lt;&lt;Electronic Signature&gt;&gt;</w:t>
      </w:r>
    </w:p>
    <w:p>
      <w:pPr>
        <w:spacing w:after="0" w:line="14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highlight w:val="yellow"/>
        </w:rPr>
        <w:t>&lt;&lt;Acceptance Date&gt;&gt;</w:t>
      </w:r>
    </w:p>
    <w:p>
      <w:pPr>
        <w:sectPr>
          <w:pgSz w:w="11900" w:h="16838" w:orient="portrait"/>
          <w:cols w:equalWidth="0" w:num="1">
            <w:col w:w="11240"/>
          </w:cols>
          <w:pgMar w:left="320" w:top="901" w:right="3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27"/>
        </w:trPr>
        <w:tc>
          <w:tcPr>
            <w:tcW w:w="16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740" w:type="dxa"/>
            <w:vAlign w:val="bottom"/>
            <w:gridSpan w:val="3"/>
          </w:tcPr>
          <w:p>
            <w:pPr>
              <w:jc w:val="center"/>
              <w:ind w:right="1580"/>
              <w:spacing w:after="0"/>
              <w:rPr>
                <w:sz w:val="20"/>
                <w:szCs w:val="20"/>
                <w:color w:val="auto"/>
              </w:rPr>
            </w:pPr>
            <w:r>
              <w:rPr>
                <w:rFonts w:ascii="Times New Roman" w:cs="Times New Roman" w:eastAsia="Times New Roman" w:hAnsi="Times New Roman"/>
                <w:sz w:val="17"/>
                <w:szCs w:val="17"/>
                <w:b w:val="1"/>
                <w:bCs w:val="1"/>
                <w:color w:val="auto"/>
              </w:rPr>
              <w:t>Exhibit 21.1</w:t>
            </w:r>
          </w:p>
        </w:tc>
      </w:tr>
      <w:tr>
        <w:trPr>
          <w:trHeight w:val="241"/>
        </w:trPr>
        <w:tc>
          <w:tcPr>
            <w:tcW w:w="1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740" w:type="dxa"/>
            <w:vAlign w:val="bottom"/>
            <w:gridSpan w:val="3"/>
          </w:tcPr>
          <w:p>
            <w:pPr>
              <w:jc w:val="center"/>
              <w:ind w:right="1560"/>
              <w:spacing w:after="0"/>
              <w:rPr>
                <w:sz w:val="20"/>
                <w:szCs w:val="20"/>
                <w:color w:val="auto"/>
              </w:rPr>
            </w:pPr>
            <w:r>
              <w:rPr>
                <w:rFonts w:ascii="Times New Roman" w:cs="Times New Roman" w:eastAsia="Times New Roman" w:hAnsi="Times New Roman"/>
                <w:sz w:val="17"/>
                <w:szCs w:val="17"/>
                <w:color w:val="auto"/>
                <w:w w:val="99"/>
              </w:rPr>
              <w:t>HALLIBURTON COMPANY</w:t>
            </w:r>
          </w:p>
        </w:tc>
      </w:tr>
      <w:tr>
        <w:trPr>
          <w:trHeight w:val="219"/>
        </w:trPr>
        <w:tc>
          <w:tcPr>
            <w:tcW w:w="16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740" w:type="dxa"/>
            <w:vAlign w:val="bottom"/>
            <w:gridSpan w:val="3"/>
          </w:tcPr>
          <w:p>
            <w:pPr>
              <w:jc w:val="center"/>
              <w:ind w:right="1560"/>
              <w:spacing w:after="0"/>
              <w:rPr>
                <w:sz w:val="20"/>
                <w:szCs w:val="20"/>
                <w:color w:val="auto"/>
              </w:rPr>
            </w:pPr>
            <w:r>
              <w:rPr>
                <w:rFonts w:ascii="Times New Roman" w:cs="Times New Roman" w:eastAsia="Times New Roman" w:hAnsi="Times New Roman"/>
                <w:sz w:val="17"/>
                <w:szCs w:val="17"/>
                <w:color w:val="auto"/>
              </w:rPr>
              <w:t>Subsidiaries of the Registrant</w:t>
            </w:r>
          </w:p>
        </w:tc>
      </w:tr>
      <w:tr>
        <w:trPr>
          <w:trHeight w:val="223"/>
        </w:trPr>
        <w:tc>
          <w:tcPr>
            <w:tcW w:w="16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740" w:type="dxa"/>
            <w:vAlign w:val="bottom"/>
            <w:gridSpan w:val="3"/>
          </w:tcPr>
          <w:p>
            <w:pPr>
              <w:jc w:val="center"/>
              <w:ind w:right="1580"/>
              <w:spacing w:after="0"/>
              <w:rPr>
                <w:sz w:val="20"/>
                <w:szCs w:val="20"/>
                <w:color w:val="auto"/>
              </w:rPr>
            </w:pPr>
            <w:r>
              <w:rPr>
                <w:rFonts w:ascii="Times New Roman" w:cs="Times New Roman" w:eastAsia="Times New Roman" w:hAnsi="Times New Roman"/>
                <w:sz w:val="17"/>
                <w:szCs w:val="17"/>
                <w:color w:val="auto"/>
              </w:rPr>
              <w:t>December 31, 2023</w:t>
            </w:r>
          </w:p>
        </w:tc>
      </w:tr>
      <w:tr>
        <w:trPr>
          <w:trHeight w:val="421"/>
        </w:trPr>
        <w:tc>
          <w:tcPr>
            <w:tcW w:w="1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740" w:type="dxa"/>
            <w:vAlign w:val="bottom"/>
            <w:gridSpan w:val="3"/>
          </w:tcPr>
          <w:p>
            <w:pPr>
              <w:ind w:left="2060"/>
              <w:spacing w:after="0"/>
              <w:rPr>
                <w:sz w:val="20"/>
                <w:szCs w:val="20"/>
                <w:color w:val="auto"/>
              </w:rPr>
            </w:pPr>
            <w:r>
              <w:rPr>
                <w:rFonts w:ascii="Times New Roman" w:cs="Times New Roman" w:eastAsia="Times New Roman" w:hAnsi="Times New Roman"/>
                <w:sz w:val="17"/>
                <w:szCs w:val="17"/>
                <w:color w:val="auto"/>
                <w:w w:val="99"/>
              </w:rPr>
              <w:t>STATE OR COUNTRY</w:t>
            </w:r>
          </w:p>
        </w:tc>
      </w:tr>
      <w:tr>
        <w:trPr>
          <w:trHeight w:val="184"/>
        </w:trPr>
        <w:tc>
          <w:tcPr>
            <w:tcW w:w="1660" w:type="dxa"/>
            <w:vAlign w:val="bottom"/>
            <w:tcBorders>
              <w:bottom w:val="single" w:sz="8" w:color="auto"/>
            </w:tcBorders>
          </w:tcPr>
          <w:p>
            <w:pPr>
              <w:spacing w:after="0" w:line="184" w:lineRule="exact"/>
              <w:rPr>
                <w:sz w:val="20"/>
                <w:szCs w:val="20"/>
                <w:color w:val="auto"/>
              </w:rPr>
            </w:pPr>
            <w:r>
              <w:rPr>
                <w:rFonts w:ascii="Times New Roman" w:cs="Times New Roman" w:eastAsia="Times New Roman" w:hAnsi="Times New Roman"/>
                <w:sz w:val="17"/>
                <w:szCs w:val="17"/>
                <w:color w:val="auto"/>
                <w:w w:val="99"/>
              </w:rPr>
              <w:t>NAME OF COMPANY</w:t>
            </w:r>
          </w:p>
        </w:tc>
        <w:tc>
          <w:tcPr>
            <w:tcW w:w="17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60" w:type="dxa"/>
            <w:vAlign w:val="bottom"/>
            <w:tcBorders>
              <w:bottom w:val="single" w:sz="8" w:color="auto"/>
            </w:tcBorders>
          </w:tcPr>
          <w:p>
            <w:pPr>
              <w:spacing w:after="0" w:line="184" w:lineRule="exact"/>
              <w:rPr>
                <w:sz w:val="20"/>
                <w:szCs w:val="20"/>
                <w:color w:val="auto"/>
              </w:rPr>
            </w:pPr>
            <w:r>
              <w:rPr>
                <w:rFonts w:ascii="Times New Roman" w:cs="Times New Roman" w:eastAsia="Times New Roman" w:hAnsi="Times New Roman"/>
                <w:sz w:val="17"/>
                <w:szCs w:val="17"/>
                <w:color w:val="auto"/>
                <w:w w:val="99"/>
              </w:rPr>
              <w:t>OF INCORPORATION</w:t>
            </w:r>
          </w:p>
        </w:tc>
        <w:tc>
          <w:tcPr>
            <w:tcW w:w="20" w:type="dxa"/>
            <w:vAlign w:val="bottom"/>
          </w:tcPr>
          <w:p>
            <w:pPr>
              <w:spacing w:after="0"/>
              <w:rPr>
                <w:sz w:val="16"/>
                <w:szCs w:val="16"/>
                <w:color w:val="auto"/>
              </w:rPr>
            </w:pPr>
          </w:p>
        </w:tc>
      </w:tr>
      <w:tr>
        <w:trPr>
          <w:trHeight w:val="64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Halliburton B.V.</w:t>
            </w:r>
          </w:p>
        </w:tc>
        <w:tc>
          <w:tcPr>
            <w:tcW w:w="3740" w:type="dxa"/>
            <w:vAlign w:val="bottom"/>
            <w:gridSpan w:val="3"/>
          </w:tcPr>
          <w:p>
            <w:pPr>
              <w:ind w:left="2060"/>
              <w:spacing w:after="0"/>
              <w:rPr>
                <w:sz w:val="20"/>
                <w:szCs w:val="20"/>
                <w:color w:val="auto"/>
              </w:rPr>
            </w:pPr>
            <w:r>
              <w:rPr>
                <w:rFonts w:ascii="Times New Roman" w:cs="Times New Roman" w:eastAsia="Times New Roman" w:hAnsi="Times New Roman"/>
                <w:sz w:val="17"/>
                <w:szCs w:val="17"/>
                <w:color w:val="auto"/>
              </w:rPr>
              <w:t>Netherlands</w:t>
            </w:r>
          </w:p>
        </w:tc>
      </w:tr>
      <w:tr>
        <w:trPr>
          <w:trHeight w:val="219"/>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Halliburton Energy Services, Inc.</w:t>
            </w:r>
          </w:p>
        </w:tc>
        <w:tc>
          <w:tcPr>
            <w:tcW w:w="3740" w:type="dxa"/>
            <w:vAlign w:val="bottom"/>
            <w:gridSpan w:val="3"/>
          </w:tcPr>
          <w:p>
            <w:pPr>
              <w:ind w:left="2060"/>
              <w:spacing w:after="0"/>
              <w:rPr>
                <w:sz w:val="20"/>
                <w:szCs w:val="20"/>
                <w:color w:val="auto"/>
              </w:rPr>
            </w:pPr>
            <w:r>
              <w:rPr>
                <w:rFonts w:ascii="Times New Roman" w:cs="Times New Roman" w:eastAsia="Times New Roman" w:hAnsi="Times New Roman"/>
                <w:sz w:val="17"/>
                <w:szCs w:val="17"/>
                <w:color w:val="auto"/>
              </w:rPr>
              <w:t>United States, Delaware</w:t>
            </w:r>
          </w:p>
        </w:tc>
      </w:tr>
      <w:tr>
        <w:trPr>
          <w:trHeight w:val="219"/>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Halliburton Global Affiliates Holdings B.V.</w:t>
            </w:r>
          </w:p>
        </w:tc>
        <w:tc>
          <w:tcPr>
            <w:tcW w:w="3740" w:type="dxa"/>
            <w:vAlign w:val="bottom"/>
            <w:gridSpan w:val="3"/>
          </w:tcPr>
          <w:p>
            <w:pPr>
              <w:ind w:left="2060"/>
              <w:spacing w:after="0"/>
              <w:rPr>
                <w:sz w:val="20"/>
                <w:szCs w:val="20"/>
                <w:color w:val="auto"/>
              </w:rPr>
            </w:pPr>
            <w:r>
              <w:rPr>
                <w:rFonts w:ascii="Times New Roman" w:cs="Times New Roman" w:eastAsia="Times New Roman" w:hAnsi="Times New Roman"/>
                <w:sz w:val="17"/>
                <w:szCs w:val="17"/>
                <w:color w:val="auto"/>
              </w:rPr>
              <w:t>Netherlands</w:t>
            </w:r>
          </w:p>
        </w:tc>
      </w:tr>
      <w:tr>
        <w:trPr>
          <w:trHeight w:val="219"/>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Halliburton Global Holdings B.V.</w:t>
            </w:r>
          </w:p>
        </w:tc>
        <w:tc>
          <w:tcPr>
            <w:tcW w:w="3740" w:type="dxa"/>
            <w:vAlign w:val="bottom"/>
            <w:gridSpan w:val="3"/>
          </w:tcPr>
          <w:p>
            <w:pPr>
              <w:ind w:left="2060"/>
              <w:spacing w:after="0"/>
              <w:rPr>
                <w:sz w:val="20"/>
                <w:szCs w:val="20"/>
                <w:color w:val="auto"/>
              </w:rPr>
            </w:pPr>
            <w:r>
              <w:rPr>
                <w:rFonts w:ascii="Times New Roman" w:cs="Times New Roman" w:eastAsia="Times New Roman" w:hAnsi="Times New Roman"/>
                <w:sz w:val="17"/>
                <w:szCs w:val="17"/>
                <w:color w:val="auto"/>
              </w:rPr>
              <w:t>Curacao</w:t>
            </w:r>
          </w:p>
        </w:tc>
      </w:tr>
      <w:tr>
        <w:trPr>
          <w:trHeight w:val="219"/>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Halliburton Global Holdings, LLC</w:t>
            </w:r>
          </w:p>
        </w:tc>
        <w:tc>
          <w:tcPr>
            <w:tcW w:w="3740" w:type="dxa"/>
            <w:vAlign w:val="bottom"/>
            <w:gridSpan w:val="3"/>
          </w:tcPr>
          <w:p>
            <w:pPr>
              <w:ind w:left="2060"/>
              <w:spacing w:after="0"/>
              <w:rPr>
                <w:sz w:val="20"/>
                <w:szCs w:val="20"/>
                <w:color w:val="auto"/>
              </w:rPr>
            </w:pPr>
            <w:r>
              <w:rPr>
                <w:rFonts w:ascii="Times New Roman" w:cs="Times New Roman" w:eastAsia="Times New Roman" w:hAnsi="Times New Roman"/>
                <w:sz w:val="17"/>
                <w:szCs w:val="17"/>
                <w:color w:val="auto"/>
              </w:rPr>
              <w:t>United States, Delaware</w:t>
            </w:r>
          </w:p>
        </w:tc>
      </w:tr>
      <w:tr>
        <w:trPr>
          <w:trHeight w:val="219"/>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Halliburton Global Netherlands Cooperatief U.A.</w:t>
            </w:r>
          </w:p>
        </w:tc>
        <w:tc>
          <w:tcPr>
            <w:tcW w:w="3740" w:type="dxa"/>
            <w:vAlign w:val="bottom"/>
            <w:gridSpan w:val="3"/>
          </w:tcPr>
          <w:p>
            <w:pPr>
              <w:ind w:left="2060"/>
              <w:spacing w:after="0"/>
              <w:rPr>
                <w:sz w:val="20"/>
                <w:szCs w:val="20"/>
                <w:color w:val="auto"/>
              </w:rPr>
            </w:pPr>
            <w:r>
              <w:rPr>
                <w:rFonts w:ascii="Times New Roman" w:cs="Times New Roman" w:eastAsia="Times New Roman" w:hAnsi="Times New Roman"/>
                <w:sz w:val="17"/>
                <w:szCs w:val="17"/>
                <w:color w:val="auto"/>
              </w:rPr>
              <w:t>Netherlands</w:t>
            </w:r>
          </w:p>
        </w:tc>
      </w:tr>
      <w:tr>
        <w:trPr>
          <w:trHeight w:val="219"/>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Halliburton Holdings, LLC</w:t>
            </w:r>
          </w:p>
        </w:tc>
        <w:tc>
          <w:tcPr>
            <w:tcW w:w="3740" w:type="dxa"/>
            <w:vAlign w:val="bottom"/>
            <w:gridSpan w:val="3"/>
          </w:tcPr>
          <w:p>
            <w:pPr>
              <w:ind w:left="2060"/>
              <w:spacing w:after="0"/>
              <w:rPr>
                <w:sz w:val="20"/>
                <w:szCs w:val="20"/>
                <w:color w:val="auto"/>
              </w:rPr>
            </w:pPr>
            <w:r>
              <w:rPr>
                <w:rFonts w:ascii="Times New Roman" w:cs="Times New Roman" w:eastAsia="Times New Roman" w:hAnsi="Times New Roman"/>
                <w:sz w:val="17"/>
                <w:szCs w:val="17"/>
                <w:color w:val="auto"/>
              </w:rPr>
              <w:t>United States, Delaware</w:t>
            </w:r>
          </w:p>
        </w:tc>
      </w:tr>
      <w:tr>
        <w:trPr>
          <w:trHeight w:val="219"/>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Halliburton Netherlands Holdings B.V.</w:t>
            </w:r>
          </w:p>
        </w:tc>
        <w:tc>
          <w:tcPr>
            <w:tcW w:w="3740" w:type="dxa"/>
            <w:vAlign w:val="bottom"/>
            <w:gridSpan w:val="3"/>
          </w:tcPr>
          <w:p>
            <w:pPr>
              <w:ind w:left="2060"/>
              <w:spacing w:after="0"/>
              <w:rPr>
                <w:sz w:val="20"/>
                <w:szCs w:val="20"/>
                <w:color w:val="auto"/>
              </w:rPr>
            </w:pPr>
            <w:r>
              <w:rPr>
                <w:rFonts w:ascii="Times New Roman" w:cs="Times New Roman" w:eastAsia="Times New Roman" w:hAnsi="Times New Roman"/>
                <w:sz w:val="17"/>
                <w:szCs w:val="17"/>
                <w:color w:val="auto"/>
              </w:rPr>
              <w:t>Netherlands</w:t>
            </w:r>
          </w:p>
        </w:tc>
      </w:tr>
      <w:tr>
        <w:trPr>
          <w:trHeight w:val="219"/>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Halliburton Swiss Holdings GmbH</w:t>
            </w:r>
          </w:p>
        </w:tc>
        <w:tc>
          <w:tcPr>
            <w:tcW w:w="3740" w:type="dxa"/>
            <w:vAlign w:val="bottom"/>
            <w:gridSpan w:val="3"/>
          </w:tcPr>
          <w:p>
            <w:pPr>
              <w:ind w:left="2060"/>
              <w:spacing w:after="0"/>
              <w:rPr>
                <w:sz w:val="20"/>
                <w:szCs w:val="20"/>
                <w:color w:val="auto"/>
              </w:rPr>
            </w:pPr>
            <w:r>
              <w:rPr>
                <w:rFonts w:ascii="Times New Roman" w:cs="Times New Roman" w:eastAsia="Times New Roman" w:hAnsi="Times New Roman"/>
                <w:sz w:val="17"/>
                <w:szCs w:val="17"/>
                <w:color w:val="auto"/>
              </w:rPr>
              <w:t>Switzerland</w:t>
            </w:r>
          </w:p>
        </w:tc>
      </w:tr>
      <w:tr>
        <w:trPr>
          <w:trHeight w:val="219"/>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Halliburton Technology Partners LLC</w:t>
            </w:r>
          </w:p>
        </w:tc>
        <w:tc>
          <w:tcPr>
            <w:tcW w:w="3740" w:type="dxa"/>
            <w:vAlign w:val="bottom"/>
            <w:gridSpan w:val="3"/>
          </w:tcPr>
          <w:p>
            <w:pPr>
              <w:ind w:left="2060"/>
              <w:spacing w:after="0"/>
              <w:rPr>
                <w:sz w:val="20"/>
                <w:szCs w:val="20"/>
                <w:color w:val="auto"/>
              </w:rPr>
            </w:pPr>
            <w:r>
              <w:rPr>
                <w:rFonts w:ascii="Times New Roman" w:cs="Times New Roman" w:eastAsia="Times New Roman" w:hAnsi="Times New Roman"/>
                <w:sz w:val="17"/>
                <w:szCs w:val="17"/>
                <w:color w:val="auto"/>
              </w:rPr>
              <w:t>United States, Delaware</w:t>
            </w:r>
          </w:p>
        </w:tc>
      </w:tr>
      <w:tr>
        <w:trPr>
          <w:trHeight w:val="223"/>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Halliburton U.S. International Holdings, Inc.</w:t>
            </w:r>
          </w:p>
        </w:tc>
        <w:tc>
          <w:tcPr>
            <w:tcW w:w="3740" w:type="dxa"/>
            <w:vAlign w:val="bottom"/>
            <w:gridSpan w:val="3"/>
          </w:tcPr>
          <w:p>
            <w:pPr>
              <w:ind w:left="2060"/>
              <w:spacing w:after="0"/>
              <w:rPr>
                <w:sz w:val="20"/>
                <w:szCs w:val="20"/>
                <w:color w:val="auto"/>
              </w:rPr>
            </w:pPr>
            <w:r>
              <w:rPr>
                <w:rFonts w:ascii="Times New Roman" w:cs="Times New Roman" w:eastAsia="Times New Roman" w:hAnsi="Times New Roman"/>
                <w:sz w:val="17"/>
                <w:szCs w:val="17"/>
                <w:color w:val="auto"/>
              </w:rPr>
              <w:t>United States, Delaware</w:t>
            </w:r>
          </w:p>
        </w:tc>
      </w:tr>
    </w:tbl>
    <w:p>
      <w:pPr>
        <w:sectPr>
          <w:pgSz w:w="11900" w:h="16838" w:orient="portrait"/>
          <w:cols w:equalWidth="0" w:num="1">
            <w:col w:w="9039"/>
          </w:cols>
          <w:pgMar w:left="1420" w:top="1357" w:right="1440"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Halliburton Company:</w:t>
      </w:r>
    </w:p>
    <w:p>
      <w:pPr>
        <w:spacing w:after="0" w:line="200" w:lineRule="exact"/>
        <w:rPr>
          <w:sz w:val="20"/>
          <w:szCs w:val="20"/>
          <w:color w:val="auto"/>
        </w:rPr>
      </w:pPr>
    </w:p>
    <w:p>
      <w:pPr>
        <w:spacing w:after="0" w:line="2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(No. 333-269623) on Form S-3ASR, (No. 333-166656) on Form S-4 and (Nos. 333-188674, 333-205842, 333-218568, 333-225549, 333-231571, 333-240075, and 333-258123) on Form S-8 of our reports dated February 6, 2024, with respect to the consolidated financial statements of Halliburton Company and the effectiveness of internal control over financial reporting.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6, 2024</w:t>
      </w:r>
    </w:p>
    <w:p>
      <w:pPr>
        <w:sectPr>
          <w:pgSz w:w="11900" w:h="16838" w:orient="portrait"/>
          <w:cols w:equalWidth="0" w:num="1">
            <w:col w:w="11240"/>
          </w:cols>
          <w:pgMar w:left="320" w:top="854" w:right="339" w:bottom="1440" w:gutter="0" w:footer="0" w:header="0"/>
        </w:sectPr>
      </w:pPr>
    </w:p>
    <w:bookmarkStart w:id="163" w:name="page164"/>
    <w:bookmarkEnd w:id="16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Section 302 Certification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Jeffrey A. Miller, certify that:</w:t>
      </w:r>
    </w:p>
    <w:p>
      <w:pPr>
        <w:spacing w:after="0" w:line="217" w:lineRule="exact"/>
        <w:rPr>
          <w:sz w:val="20"/>
          <w:szCs w:val="20"/>
          <w:color w:val="auto"/>
        </w:rPr>
      </w:pPr>
    </w:p>
    <w:p>
      <w:pPr>
        <w:ind w:left="300" w:hanging="297"/>
        <w:spacing w:after="0"/>
        <w:tabs>
          <w:tab w:leader="none" w:pos="3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year ended December 31, 2023, of Halliburton Company;</w:t>
      </w:r>
    </w:p>
    <w:p>
      <w:pPr>
        <w:spacing w:after="0" w:line="242" w:lineRule="exact"/>
        <w:rPr>
          <w:rFonts w:ascii="Times New Roman" w:cs="Times New Roman" w:eastAsia="Times New Roman" w:hAnsi="Times New Roman"/>
          <w:sz w:val="17"/>
          <w:szCs w:val="17"/>
          <w:color w:val="auto"/>
        </w:rPr>
      </w:pPr>
    </w:p>
    <w:p>
      <w:pPr>
        <w:ind w:right="160" w:firstLine="3"/>
        <w:spacing w:after="0" w:line="287" w:lineRule="auto"/>
        <w:tabs>
          <w:tab w:leader="none" w:pos="301"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7"/>
          <w:szCs w:val="17"/>
          <w:color w:val="auto"/>
        </w:rPr>
      </w:pPr>
    </w:p>
    <w:p>
      <w:pPr>
        <w:ind w:right="240" w:firstLine="3"/>
        <w:spacing w:after="0" w:line="287" w:lineRule="auto"/>
        <w:tabs>
          <w:tab w:leader="none" w:pos="301"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right="60" w:firstLine="3"/>
        <w:spacing w:after="0" w:line="270" w:lineRule="auto"/>
        <w:tabs>
          <w:tab w:leader="none" w:pos="298"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jc w:val="both"/>
        <w:ind w:left="620" w:firstLine="2"/>
        <w:spacing w:after="0" w:line="270" w:lineRule="auto"/>
        <w:tabs>
          <w:tab w:leader="none" w:pos="982"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620" w:right="560" w:firstLine="2"/>
        <w:spacing w:after="0" w:line="270" w:lineRule="auto"/>
        <w:tabs>
          <w:tab w:leader="none" w:pos="1035"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ind w:left="620" w:right="40" w:firstLine="2"/>
        <w:spacing w:after="0" w:line="287" w:lineRule="auto"/>
        <w:tabs>
          <w:tab w:leader="none" w:pos="982"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620" w:right="60" w:firstLine="2"/>
        <w:spacing w:after="0" w:line="270" w:lineRule="auto"/>
        <w:tabs>
          <w:tab w:leader="none" w:pos="992"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7"/>
          <w:szCs w:val="17"/>
          <w:color w:val="auto"/>
        </w:rPr>
      </w:pPr>
    </w:p>
    <w:p>
      <w:pPr>
        <w:ind w:right="640" w:firstLine="3"/>
        <w:spacing w:after="0" w:line="287" w:lineRule="auto"/>
        <w:tabs>
          <w:tab w:leader="none" w:pos="298"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7"/>
          <w:szCs w:val="17"/>
          <w:color w:val="auto"/>
        </w:rPr>
      </w:pPr>
    </w:p>
    <w:p>
      <w:pPr>
        <w:ind w:left="620" w:right="400" w:firstLine="2"/>
        <w:spacing w:after="0" w:line="287" w:lineRule="auto"/>
        <w:tabs>
          <w:tab w:leader="none" w:pos="973"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620" w:firstLine="2"/>
        <w:spacing w:after="0" w:line="287" w:lineRule="auto"/>
        <w:tabs>
          <w:tab w:leader="none" w:pos="983"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6, 2024</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/s/ Jeffrey A. Miller</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Jeffrey A. Miller</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Chairman, President and Chief Executive Officer</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Halliburton Company</w:t>
      </w:r>
    </w:p>
    <w:p>
      <w:pPr>
        <w:sectPr>
          <w:pgSz w:w="11900" w:h="16838" w:orient="portrait"/>
          <w:cols w:equalWidth="0" w:num="1">
            <w:col w:w="11220"/>
          </w:cols>
          <w:pgMar w:left="320" w:top="854" w:right="359" w:bottom="1440" w:gutter="0" w:footer="0" w:header="0"/>
        </w:sectPr>
      </w:pPr>
    </w:p>
    <w:bookmarkStart w:id="164" w:name="page165"/>
    <w:bookmarkEnd w:id="16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Section 302 Certification</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Eric J. Carre, certify that:</w:t>
      </w:r>
    </w:p>
    <w:p>
      <w:pPr>
        <w:spacing w:after="0" w:line="243" w:lineRule="exact"/>
        <w:rPr>
          <w:sz w:val="20"/>
          <w:szCs w:val="20"/>
          <w:color w:val="auto"/>
        </w:rPr>
      </w:pPr>
    </w:p>
    <w:p>
      <w:pPr>
        <w:ind w:left="300" w:hanging="297"/>
        <w:spacing w:after="0"/>
        <w:tabs>
          <w:tab w:leader="none" w:pos="3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year ended December 31, 2023, of Halliburton Company;</w:t>
      </w:r>
    </w:p>
    <w:p>
      <w:pPr>
        <w:spacing w:after="0" w:line="242" w:lineRule="exact"/>
        <w:rPr>
          <w:rFonts w:ascii="Times New Roman" w:cs="Times New Roman" w:eastAsia="Times New Roman" w:hAnsi="Times New Roman"/>
          <w:sz w:val="17"/>
          <w:szCs w:val="17"/>
          <w:color w:val="auto"/>
        </w:rPr>
      </w:pPr>
    </w:p>
    <w:p>
      <w:pPr>
        <w:ind w:right="160" w:firstLine="3"/>
        <w:spacing w:after="0" w:line="287" w:lineRule="auto"/>
        <w:tabs>
          <w:tab w:leader="none" w:pos="301"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7"/>
          <w:szCs w:val="17"/>
          <w:color w:val="auto"/>
        </w:rPr>
      </w:pPr>
    </w:p>
    <w:p>
      <w:pPr>
        <w:ind w:right="240" w:firstLine="3"/>
        <w:spacing w:after="0" w:line="287" w:lineRule="auto"/>
        <w:tabs>
          <w:tab w:leader="none" w:pos="301"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right="60" w:firstLine="3"/>
        <w:spacing w:after="0" w:line="270" w:lineRule="auto"/>
        <w:tabs>
          <w:tab w:leader="none" w:pos="298"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jc w:val="both"/>
        <w:ind w:left="620" w:firstLine="2"/>
        <w:spacing w:after="0" w:line="270" w:lineRule="auto"/>
        <w:tabs>
          <w:tab w:leader="none" w:pos="982"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620" w:right="560" w:firstLine="2"/>
        <w:spacing w:after="0" w:line="270" w:lineRule="auto"/>
        <w:tabs>
          <w:tab w:leader="none" w:pos="1035"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ind w:left="620" w:right="40" w:firstLine="2"/>
        <w:spacing w:after="0" w:line="287" w:lineRule="auto"/>
        <w:tabs>
          <w:tab w:leader="none" w:pos="982"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620" w:right="60" w:firstLine="2"/>
        <w:spacing w:after="0" w:line="270" w:lineRule="auto"/>
        <w:tabs>
          <w:tab w:leader="none" w:pos="992"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7"/>
          <w:szCs w:val="17"/>
          <w:color w:val="auto"/>
        </w:rPr>
      </w:pPr>
    </w:p>
    <w:p>
      <w:pPr>
        <w:ind w:right="640" w:firstLine="3"/>
        <w:spacing w:after="0" w:line="287" w:lineRule="auto"/>
        <w:tabs>
          <w:tab w:leader="none" w:pos="298"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7"/>
          <w:szCs w:val="17"/>
          <w:color w:val="auto"/>
        </w:rPr>
      </w:pPr>
    </w:p>
    <w:p>
      <w:pPr>
        <w:ind w:left="620" w:right="400" w:firstLine="2"/>
        <w:spacing w:after="0" w:line="287" w:lineRule="auto"/>
        <w:tabs>
          <w:tab w:leader="none" w:pos="973"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620" w:firstLine="2"/>
        <w:spacing w:after="0" w:line="287" w:lineRule="auto"/>
        <w:tabs>
          <w:tab w:leader="none" w:pos="983"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6, 2024</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/s/ Eric J. Carre</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Eric J. Carre</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Halliburton Company</w:t>
      </w:r>
    </w:p>
    <w:p>
      <w:pPr>
        <w:sectPr>
          <w:pgSz w:w="11900" w:h="16838" w:orient="portrait"/>
          <w:cols w:equalWidth="0" w:num="1">
            <w:col w:w="11220"/>
          </w:cols>
          <w:pgMar w:left="320" w:top="854" w:right="35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certification is provided pursuant to § 906 of the Sarbanes-Oxley Act of 2002, 18 U.S.C. § 1350, and accompanies the Annual Report on Form 10-K for the period ended December 31, 2023, of Halliburton Company (the “Company”) as filed with the Securities and Exchange Commission on the date hereof (the “Report”).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Jeffrey A. Miller, Chairman, President and Chief Executive Officer of the Company, certify that:</w:t>
      </w:r>
    </w:p>
    <w:p>
      <w:pPr>
        <w:spacing w:after="0" w:line="243" w:lineRule="exact"/>
        <w:rPr>
          <w:sz w:val="20"/>
          <w:szCs w:val="20"/>
          <w:color w:val="auto"/>
        </w:rPr>
      </w:pPr>
    </w:p>
    <w:p>
      <w:pPr>
        <w:ind w:left="920" w:hanging="298"/>
        <w:spacing w:after="0"/>
        <w:tabs>
          <w:tab w:leader="none" w:pos="9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Jeffrey A. Miller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Jeffrey A. Miller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President and Chief Executive Officer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6, 2024</w:t>
      </w:r>
    </w:p>
    <w:p>
      <w:pPr>
        <w:sectPr>
          <w:pgSz w:w="11900" w:h="16838" w:orient="portrait"/>
          <w:cols w:equalWidth="0" w:num="1">
            <w:col w:w="11240"/>
          </w:cols>
          <w:pgMar w:left="320" w:top="854"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certification is provided pursuant to § 906 of the Sarbanes-Oxley Act of 2002, 18 U.S.C. § 1350, and accompanies the Annual Report on Form 10-K for the period ended December 31, 2023, of Halliburton Company (the “Company”) as filed with the Securities and Exchange Commission on the date hereof (the “Report”).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Eric J. Carre, Executive Vice President and Chief Financial Officer of the Company, certify that:</w:t>
      </w:r>
    </w:p>
    <w:p>
      <w:pPr>
        <w:spacing w:after="0" w:line="243" w:lineRule="exact"/>
        <w:rPr>
          <w:sz w:val="20"/>
          <w:szCs w:val="20"/>
          <w:color w:val="auto"/>
        </w:rPr>
      </w:pPr>
    </w:p>
    <w:p>
      <w:pPr>
        <w:ind w:left="920" w:hanging="298"/>
        <w:spacing w:after="0"/>
        <w:tabs>
          <w:tab w:leader="none" w:pos="9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/s/Eric J. Carre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Eric J. Carre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6, 2024</w:t>
      </w:r>
    </w:p>
    <w:p>
      <w:pPr>
        <w:sectPr>
          <w:pgSz w:w="11900" w:h="16838" w:orient="portrait"/>
          <w:cols w:equalWidth="0" w:num="1">
            <w:col w:w="11240"/>
          </w:cols>
          <w:pgMar w:left="320" w:top="854" w:right="339" w:bottom="1440" w:gutter="0" w:footer="0" w:header="0"/>
        </w:sectPr>
      </w:pPr>
    </w:p>
    <w:bookmarkStart w:id="167" w:name="page168"/>
    <w:bookmarkEnd w:id="16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95</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Mine Safety Disclosures</w:t>
      </w:r>
    </w:p>
    <w:p>
      <w:pPr>
        <w:spacing w:after="0" w:line="182" w:lineRule="exact"/>
        <w:rPr>
          <w:sz w:val="20"/>
          <w:szCs w:val="20"/>
          <w:color w:val="auto"/>
        </w:rPr>
      </w:pPr>
    </w:p>
    <w:p>
      <w:pPr>
        <w:ind w:right="140" w:firstLine="619"/>
        <w:spacing w:after="0" w:line="264" w:lineRule="auto"/>
        <w:rPr>
          <w:sz w:val="20"/>
          <w:szCs w:val="20"/>
          <w:color w:val="auto"/>
        </w:rPr>
      </w:pPr>
      <w:r>
        <w:rPr>
          <w:rFonts w:ascii="Times New Roman" w:cs="Times New Roman" w:eastAsia="Times New Roman" w:hAnsi="Times New Roman"/>
          <w:sz w:val="17"/>
          <w:szCs w:val="17"/>
          <w:color w:val="auto"/>
        </w:rPr>
        <w:t>Under the Dodd-Frank Wall Street Reform and Consumer Protection Act, each operator of a mine is required to include certain mine safety results in its periodic reports filed with the SEC. The operation of our mines is subject to regulation by the federal Mine Safety and Health Administration (MSHA) under the Federal Mine Safety and Health Act of 1977 (Mine Act). Below, we present the following items regarding certain mining safety and health matters for the year ended December 31, 2023:</w:t>
      </w:r>
    </w:p>
    <w:p>
      <w:pPr>
        <w:spacing w:after="0" w:line="68" w:lineRule="exact"/>
        <w:rPr>
          <w:sz w:val="20"/>
          <w:szCs w:val="20"/>
          <w:color w:val="auto"/>
        </w:rPr>
      </w:pPr>
    </w:p>
    <w:p>
      <w:pPr>
        <w:ind w:left="780" w:right="80" w:hanging="158"/>
        <w:spacing w:after="0" w:line="287" w:lineRule="auto"/>
        <w:tabs>
          <w:tab w:leader="none" w:pos="776"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number of violations of mandatory health or safety standards that could significantly and substantially contribute to the cause and effect of a mine safety or health hazard under section 104 of the Mine Act for which we have received a citation from MSHA;</w:t>
      </w:r>
    </w:p>
    <w:p>
      <w:pPr>
        <w:spacing w:after="0" w:line="48" w:lineRule="exact"/>
        <w:rPr>
          <w:rFonts w:ascii="Times New Roman" w:cs="Times New Roman" w:eastAsia="Times New Roman" w:hAnsi="Times New Roman"/>
          <w:sz w:val="17"/>
          <w:szCs w:val="17"/>
          <w:color w:val="auto"/>
        </w:rPr>
      </w:pPr>
    </w:p>
    <w:p>
      <w:pPr>
        <w:jc w:val="both"/>
        <w:ind w:left="780" w:right="220" w:hanging="158"/>
        <w:spacing w:after="0" w:line="270" w:lineRule="auto"/>
        <w:tabs>
          <w:tab w:leader="none" w:pos="776"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number of orders issued under section 104(b) of the Mine Act, which covers violations that had previously been cited under section 104(a) that, upon follow-up inspection by MSHA, are found not to have been totally abated within the prescribed time period, which results in the issuance of an order requiring the mine operator to immediately withdraw all persons (except certain authorized persons) from the mine;</w:t>
      </w:r>
    </w:p>
    <w:p>
      <w:pPr>
        <w:spacing w:after="0" w:line="62" w:lineRule="exact"/>
        <w:rPr>
          <w:rFonts w:ascii="Times New Roman" w:cs="Times New Roman" w:eastAsia="Times New Roman" w:hAnsi="Times New Roman"/>
          <w:sz w:val="17"/>
          <w:szCs w:val="17"/>
          <w:color w:val="auto"/>
        </w:rPr>
      </w:pPr>
    </w:p>
    <w:p>
      <w:pPr>
        <w:ind w:left="780" w:right="160" w:hanging="158"/>
        <w:spacing w:after="0" w:line="287" w:lineRule="auto"/>
        <w:tabs>
          <w:tab w:leader="none" w:pos="776"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number of citations and orders for unwarrantable failure of the mine operator to comply with mandatory health or safety standards under Section 104(d) of the Mine Act;</w:t>
      </w:r>
    </w:p>
    <w:p>
      <w:pPr>
        <w:spacing w:after="0" w:line="48" w:lineRule="exact"/>
        <w:rPr>
          <w:rFonts w:ascii="Times New Roman" w:cs="Times New Roman" w:eastAsia="Times New Roman" w:hAnsi="Times New Roman"/>
          <w:sz w:val="17"/>
          <w:szCs w:val="17"/>
          <w:color w:val="auto"/>
        </w:rPr>
      </w:pPr>
    </w:p>
    <w:p>
      <w:pPr>
        <w:ind w:left="780" w:right="100" w:hanging="158"/>
        <w:spacing w:after="0" w:line="270" w:lineRule="auto"/>
        <w:tabs>
          <w:tab w:leader="none" w:pos="776"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number of flagrant violations (i.e., reckless or repeated failure to make reasonable efforts to eliminate a known violation of a mandatory health or safety standard that substantially and proximately caused, or reasonably could have been expected to cause, death or serious bodily injury) under section 110(b)(2) of the Mine Act;</w:t>
      </w:r>
    </w:p>
    <w:p>
      <w:pPr>
        <w:spacing w:after="0" w:line="62" w:lineRule="exact"/>
        <w:rPr>
          <w:rFonts w:ascii="Times New Roman" w:cs="Times New Roman" w:eastAsia="Times New Roman" w:hAnsi="Times New Roman"/>
          <w:sz w:val="17"/>
          <w:szCs w:val="17"/>
          <w:color w:val="auto"/>
        </w:rPr>
      </w:pPr>
    </w:p>
    <w:p>
      <w:pPr>
        <w:ind w:left="780" w:right="60" w:hanging="158"/>
        <w:spacing w:after="0" w:line="287" w:lineRule="auto"/>
        <w:tabs>
          <w:tab w:leader="none" w:pos="776"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number of imminent danger orders (i.e., the existence of any condition or practice in a mine which could reasonably be expected to cause death or serious physical harm before such condition or practice can be abated) issued under section 107(a) of the Mine Act;</w:t>
      </w:r>
    </w:p>
    <w:p>
      <w:pPr>
        <w:spacing w:after="0" w:line="48" w:lineRule="exact"/>
        <w:rPr>
          <w:rFonts w:ascii="Times New Roman" w:cs="Times New Roman" w:eastAsia="Times New Roman" w:hAnsi="Times New Roman"/>
          <w:sz w:val="17"/>
          <w:szCs w:val="17"/>
          <w:color w:val="auto"/>
        </w:rPr>
      </w:pPr>
    </w:p>
    <w:p>
      <w:pPr>
        <w:ind w:left="780" w:hanging="158"/>
        <w:spacing w:after="0"/>
        <w:tabs>
          <w:tab w:leader="none" w:pos="7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dollar value of proposed assessments from MSHA under the Mine Act;</w:t>
      </w:r>
    </w:p>
    <w:p>
      <w:pPr>
        <w:spacing w:after="0" w:line="113" w:lineRule="exact"/>
        <w:rPr>
          <w:rFonts w:ascii="Times New Roman" w:cs="Times New Roman" w:eastAsia="Times New Roman" w:hAnsi="Times New Roman"/>
          <w:sz w:val="17"/>
          <w:szCs w:val="17"/>
          <w:color w:val="auto"/>
        </w:rPr>
      </w:pPr>
    </w:p>
    <w:p>
      <w:pPr>
        <w:ind w:left="780" w:hanging="158"/>
        <w:spacing w:after="0"/>
        <w:tabs>
          <w:tab w:leader="none" w:pos="7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number of mining-related fatalities; and</w:t>
      </w:r>
    </w:p>
    <w:p>
      <w:pPr>
        <w:spacing w:after="0" w:line="113" w:lineRule="exact"/>
        <w:rPr>
          <w:rFonts w:ascii="Times New Roman" w:cs="Times New Roman" w:eastAsia="Times New Roman" w:hAnsi="Times New Roman"/>
          <w:sz w:val="17"/>
          <w:szCs w:val="17"/>
          <w:color w:val="auto"/>
        </w:rPr>
      </w:pPr>
    </w:p>
    <w:p>
      <w:pPr>
        <w:ind w:left="780" w:hanging="158"/>
        <w:spacing w:after="0"/>
        <w:tabs>
          <w:tab w:leader="none" w:pos="7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number of pending legal actions before the Federal Mine Safety and Health Review Commission involving such mine.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HALLIBURTON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Mine Safety Disclosures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Year Ended December 31, 2023</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(Whole dollars)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80" w:type="dxa"/>
            <w:vAlign w:val="bottom"/>
          </w:tcPr>
          <w:p>
            <w:pPr>
              <w:spacing w:after="0"/>
              <w:rPr>
                <w:sz w:val="12"/>
                <w:szCs w:val="12"/>
                <w:color w:val="auto"/>
              </w:rPr>
            </w:pPr>
          </w:p>
        </w:tc>
        <w:tc>
          <w:tcPr>
            <w:tcW w:w="126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Section 104</w:t>
            </w:r>
          </w:p>
        </w:tc>
        <w:tc>
          <w:tcPr>
            <w:tcW w:w="108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Section 104(b)</w:t>
            </w:r>
          </w:p>
        </w:tc>
        <w:tc>
          <w:tcPr>
            <w:tcW w:w="10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104(d) Citations</w:t>
            </w:r>
          </w:p>
        </w:tc>
        <w:tc>
          <w:tcPr>
            <w:tcW w:w="1000" w:type="dxa"/>
            <w:vAlign w:val="bottom"/>
          </w:tcPr>
          <w:p>
            <w:pPr>
              <w:jc w:val="center"/>
              <w:ind w:left="40"/>
              <w:spacing w:after="0"/>
              <w:rPr>
                <w:sz w:val="20"/>
                <w:szCs w:val="20"/>
                <w:color w:val="auto"/>
              </w:rPr>
            </w:pPr>
            <w:r>
              <w:rPr>
                <w:rFonts w:ascii="Times New Roman" w:cs="Times New Roman" w:eastAsia="Times New Roman" w:hAnsi="Times New Roman"/>
                <w:sz w:val="12"/>
                <w:szCs w:val="12"/>
                <w:b w:val="1"/>
                <w:bCs w:val="1"/>
                <w:color w:val="auto"/>
                <w:w w:val="98"/>
              </w:rPr>
              <w:t>Section 110(b)(2)</w:t>
            </w:r>
          </w:p>
        </w:tc>
        <w:tc>
          <w:tcPr>
            <w:tcW w:w="110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w w:val="96"/>
              </w:rPr>
              <w:t>Section 107(a)</w:t>
            </w:r>
          </w:p>
        </w:tc>
        <w:tc>
          <w:tcPr>
            <w:tcW w:w="300" w:type="dxa"/>
            <w:vAlign w:val="bottom"/>
          </w:tcPr>
          <w:p>
            <w:pPr>
              <w:spacing w:after="0"/>
              <w:rPr>
                <w:sz w:val="12"/>
                <w:szCs w:val="12"/>
                <w:color w:val="auto"/>
              </w:rPr>
            </w:pPr>
          </w:p>
        </w:tc>
        <w:tc>
          <w:tcPr>
            <w:tcW w:w="104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8"/>
              </w:rPr>
              <w:t>Proposed MSHA</w:t>
            </w:r>
          </w:p>
        </w:tc>
        <w:tc>
          <w:tcPr>
            <w:tcW w:w="760" w:type="dxa"/>
            <w:vAlign w:val="bottom"/>
          </w:tcPr>
          <w:p>
            <w:pPr>
              <w:spacing w:after="0"/>
              <w:rPr>
                <w:sz w:val="12"/>
                <w:szCs w:val="12"/>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Pending Legal</w:t>
            </w:r>
          </w:p>
        </w:tc>
      </w:tr>
      <w:tr>
        <w:trPr>
          <w:trHeight w:val="180"/>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Operation/ MSHA Identification Number</w:t>
            </w:r>
            <w:r>
              <w:rPr>
                <w:rFonts w:ascii="Times New Roman" w:cs="Times New Roman" w:eastAsia="Times New Roman" w:hAnsi="Times New Roman"/>
                <w:sz w:val="15"/>
                <w:szCs w:val="15"/>
                <w:color w:val="auto"/>
                <w:vertAlign w:val="superscript"/>
              </w:rPr>
              <w:t>(1)</w:t>
            </w:r>
          </w:p>
        </w:tc>
        <w:tc>
          <w:tcPr>
            <w:tcW w:w="12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Citations</w:t>
            </w:r>
          </w:p>
        </w:tc>
        <w:tc>
          <w:tcPr>
            <w:tcW w:w="10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2"/>
                <w:szCs w:val="12"/>
                <w:b w:val="1"/>
                <w:bCs w:val="1"/>
                <w:color w:val="auto"/>
              </w:rPr>
              <w:t>Orders</w:t>
            </w: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and Orders</w:t>
            </w:r>
          </w:p>
        </w:tc>
        <w:tc>
          <w:tcPr>
            <w:tcW w:w="100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2"/>
                <w:szCs w:val="12"/>
                <w:b w:val="1"/>
                <w:bCs w:val="1"/>
                <w:color w:val="auto"/>
                <w:w w:val="96"/>
              </w:rPr>
              <w:t>Violations</w:t>
            </w:r>
          </w:p>
        </w:tc>
        <w:tc>
          <w:tcPr>
            <w:tcW w:w="11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2"/>
                <w:szCs w:val="12"/>
                <w:b w:val="1"/>
                <w:bCs w:val="1"/>
                <w:color w:val="auto"/>
              </w:rPr>
              <w:t>Orders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Assessments</w:t>
            </w:r>
            <w:r>
              <w:rPr>
                <w:rFonts w:ascii="Times New Roman" w:cs="Times New Roman" w:eastAsia="Times New Roman" w:hAnsi="Times New Roman"/>
                <w:sz w:val="15"/>
                <w:szCs w:val="15"/>
                <w:color w:val="auto"/>
                <w:vertAlign w:val="superscript"/>
              </w:rPr>
              <w:t>(2)</w:t>
            </w: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Fatalities</w:t>
            </w:r>
          </w:p>
        </w:tc>
        <w:tc>
          <w:tcPr>
            <w:tcW w:w="9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Actions</w:t>
            </w:r>
          </w:p>
        </w:tc>
      </w:tr>
      <w:tr>
        <w:trPr>
          <w:trHeight w:val="16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BPM Colony Mill/4800070</w:t>
            </w: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1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1,152</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BPM Colony Mine/4800889</w:t>
            </w: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BPM Lovell Mill/4801405</w:t>
            </w: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BPM Lovell Mine/4801016</w:t>
            </w: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BPM 76 Creek Mine/4801845</w:t>
            </w: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Corpus Christi Grinding Plant/4104010</w:t>
            </w: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Dunphy Mill/2600412</w:t>
            </w: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Lake Charles Grinding Plant/1601032</w:t>
            </w: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10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198</w:t>
            </w:r>
          </w:p>
        </w:tc>
        <w:tc>
          <w:tcPr>
            <w:tcW w:w="7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Larose Grinding Plant/1601504</w:t>
            </w: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1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731</w:t>
            </w: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Rossi Jig Plant/2602239</w:t>
            </w: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108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143</w:t>
            </w:r>
          </w:p>
        </w:tc>
        <w:tc>
          <w:tcPr>
            <w:tcW w:w="7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w:t>
            </w:r>
          </w:p>
        </w:tc>
      </w:tr>
      <w:tr>
        <w:trPr>
          <w:trHeight w:val="193"/>
        </w:trPr>
        <w:tc>
          <w:tcPr>
            <w:tcW w:w="2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w:t>
            </w:r>
          </w:p>
        </w:tc>
        <w:tc>
          <w:tcPr>
            <w:tcW w:w="108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2,224</w:t>
            </w:r>
          </w:p>
        </w:tc>
        <w:tc>
          <w:tcPr>
            <w:tcW w:w="7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26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640" w:right="580" w:hanging="394"/>
        <w:spacing w:after="0" w:line="235" w:lineRule="auto"/>
        <w:tabs>
          <w:tab w:leader="none" w:pos="64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definition of a mine under section 3 of the Mine Act includes the mine, as well as other items used in, or to be used in, or resulting from, the work of extracting minerals, such as land, structures, facilities, equipment, machines, tools and preparation facilities. Unless otherwise indicated, any of these other items associated with a single mine have been aggregated in the totals for that mine.</w:t>
      </w:r>
    </w:p>
    <w:p>
      <w:pPr>
        <w:spacing w:after="0" w:line="26" w:lineRule="exact"/>
        <w:rPr>
          <w:rFonts w:ascii="Times New Roman" w:cs="Times New Roman" w:eastAsia="Times New Roman" w:hAnsi="Times New Roman"/>
          <w:sz w:val="12"/>
          <w:szCs w:val="12"/>
          <w:color w:val="auto"/>
        </w:rPr>
      </w:pPr>
    </w:p>
    <w:p>
      <w:pPr>
        <w:ind w:left="640" w:right="480" w:hanging="394"/>
        <w:spacing w:after="0" w:line="235" w:lineRule="auto"/>
        <w:tabs>
          <w:tab w:leader="none" w:pos="64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included are the total dollar value of proposed or outstanding assessments received from MSHA on or before January 5, 2024 regardless of whether the assessment has been challenged or appealed, for citations and orders occurring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60" w:firstLine="619"/>
        <w:spacing w:after="0" w:line="287" w:lineRule="auto"/>
        <w:rPr>
          <w:sz w:val="20"/>
          <w:szCs w:val="20"/>
          <w:color w:val="auto"/>
        </w:rPr>
      </w:pPr>
      <w:r>
        <w:rPr>
          <w:rFonts w:ascii="Times New Roman" w:cs="Times New Roman" w:eastAsia="Times New Roman" w:hAnsi="Times New Roman"/>
          <w:sz w:val="17"/>
          <w:szCs w:val="17"/>
          <w:color w:val="auto"/>
        </w:rPr>
        <w:t>In addition, as required by the reporting requirements regarding mine safety included in §1503(a)(2) of the Dodd-Frank Act, the following is a list for the year ended December 31, 2023, of each mine of which we or a subsidiary of ours is an operator, that has received written notice from MSHA of:</w:t>
      </w:r>
    </w:p>
    <w:p>
      <w:pPr>
        <w:spacing w:after="0" w:line="177" w:lineRule="exact"/>
        <w:rPr>
          <w:sz w:val="20"/>
          <w:szCs w:val="20"/>
          <w:color w:val="auto"/>
        </w:rPr>
      </w:pPr>
    </w:p>
    <w:p>
      <w:pPr>
        <w:ind w:left="1240" w:firstLine="1"/>
        <w:spacing w:after="0" w:line="263" w:lineRule="auto"/>
        <w:tabs>
          <w:tab w:leader="none" w:pos="1473"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pattern of violations of mandatory health or safety standards that are of such nature as could have significantly and substantially contributed to the cause and effect of mine health or safety hazards under</w:t>
      </w:r>
    </w:p>
    <w:p>
      <w:pPr>
        <w:ind w:left="1860" w:right="8260" w:hanging="61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§104(e) of the Mine Act: None; or</w:t>
      </w:r>
    </w:p>
    <w:p>
      <w:pPr>
        <w:ind w:left="1480" w:hanging="239"/>
        <w:spacing w:after="0"/>
        <w:tabs>
          <w:tab w:leader="none" w:pos="148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to have such a pattern:</w:t>
      </w:r>
    </w:p>
    <w:p>
      <w:pPr>
        <w:spacing w:after="0" w:line="1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None.</w:t>
      </w:r>
    </w:p>
    <w:p>
      <w:pPr>
        <w:spacing w:after="0" w:line="226" w:lineRule="exact"/>
        <w:rPr>
          <w:sz w:val="20"/>
          <w:szCs w:val="20"/>
          <w:color w:val="auto"/>
        </w:rPr>
      </w:pPr>
    </w:p>
    <w:p>
      <w:pPr>
        <w:ind w:right="580" w:firstLine="619"/>
        <w:spacing w:after="0" w:line="287" w:lineRule="auto"/>
        <w:rPr>
          <w:sz w:val="20"/>
          <w:szCs w:val="20"/>
          <w:color w:val="auto"/>
        </w:rPr>
      </w:pPr>
      <w:r>
        <w:rPr>
          <w:rFonts w:ascii="Times New Roman" w:cs="Times New Roman" w:eastAsia="Times New Roman" w:hAnsi="Times New Roman"/>
          <w:sz w:val="17"/>
          <w:szCs w:val="17"/>
          <w:color w:val="auto"/>
        </w:rPr>
        <w:t>Citations and orders can be contested and appealed, and as part of that process, are sometimes reduced in severity and amount, and are sometimes dismissed. The number of citations, orders and proposed assessments vary by inspector and also vary depending on the size and type of the operation.</w:t>
      </w:r>
    </w:p>
    <w:p>
      <w:pPr>
        <w:sectPr>
          <w:pgSz w:w="11900" w:h="16838" w:orient="portrait"/>
          <w:cols w:equalWidth="0" w:num="1">
            <w:col w:w="11220"/>
          </w:cols>
          <w:pgMar w:left="320" w:top="1253" w:right="359" w:bottom="1440" w:gutter="0" w:footer="0" w:header="0"/>
        </w:sectPr>
      </w:pPr>
    </w:p>
    <w:bookmarkStart w:id="168" w:name="page169"/>
    <w:bookmarkEnd w:id="168"/>
    <w:p>
      <w:pPr>
        <w:spacing w:after="0"/>
        <w:rPr>
          <w:sz w:val="20"/>
          <w:szCs w:val="20"/>
          <w:color w:val="auto"/>
        </w:rPr>
      </w:pPr>
      <w:r>
        <w:rPr>
          <w:rFonts w:ascii="Verdana" w:cs="Verdana" w:eastAsia="Verdana" w:hAnsi="Verdana"/>
          <w:sz w:val="22"/>
          <w:szCs w:val="22"/>
          <w:b w:val="1"/>
          <w:bCs w:val="1"/>
          <w:color w:val="C00000"/>
        </w:rPr>
        <w:t>Company Policy</w:t>
      </w:r>
    </w:p>
    <w:p>
      <w:pPr>
        <w:spacing w:after="0" w:line="193" w:lineRule="exact"/>
        <w:rPr>
          <w:sz w:val="20"/>
          <w:szCs w:val="20"/>
          <w:color w:val="auto"/>
        </w:rPr>
      </w:pPr>
    </w:p>
    <w:p>
      <w:pPr>
        <w:jc w:val="center"/>
        <w:spacing w:after="0"/>
        <w:rPr>
          <w:sz w:val="20"/>
          <w:szCs w:val="20"/>
          <w:color w:val="auto"/>
        </w:rPr>
      </w:pPr>
      <w:r>
        <w:rPr>
          <w:rFonts w:ascii="Verdana" w:cs="Verdana" w:eastAsia="Verdana" w:hAnsi="Verdana"/>
          <w:sz w:val="19"/>
          <w:szCs w:val="19"/>
          <w:b w:val="1"/>
          <w:bCs w:val="1"/>
          <w:color w:val="C00000"/>
        </w:rPr>
        <w:t>Recoupment of Incentive Compensation Following a Restatement</w:t>
      </w:r>
    </w:p>
    <w:p>
      <w:pPr>
        <w:spacing w:after="0" w:line="250" w:lineRule="exact"/>
        <w:rPr>
          <w:sz w:val="20"/>
          <w:szCs w:val="20"/>
          <w:color w:val="auto"/>
        </w:rPr>
      </w:pPr>
    </w:p>
    <w:p>
      <w:pPr>
        <w:ind w:left="300"/>
        <w:spacing w:after="0"/>
        <w:tabs>
          <w:tab w:leader="none" w:pos="7200" w:val="left"/>
        </w:tabs>
        <w:rPr>
          <w:sz w:val="20"/>
          <w:szCs w:val="20"/>
          <w:color w:val="auto"/>
        </w:rPr>
      </w:pPr>
      <w:r>
        <w:rPr>
          <w:rFonts w:ascii="Calibri" w:cs="Calibri" w:eastAsia="Calibri" w:hAnsi="Calibri"/>
          <w:sz w:val="19"/>
          <w:szCs w:val="19"/>
          <w:color w:val="auto"/>
        </w:rPr>
        <w:t>Date Approved: September 12, 2023</w:t>
      </w:r>
      <w:r>
        <w:rPr>
          <w:sz w:val="20"/>
          <w:szCs w:val="20"/>
          <w:color w:val="auto"/>
        </w:rPr>
        <w:tab/>
      </w:r>
      <w:r>
        <w:rPr>
          <w:rFonts w:ascii="Calibri" w:cs="Calibri" w:eastAsia="Calibri" w:hAnsi="Calibri"/>
          <w:sz w:val="19"/>
          <w:szCs w:val="19"/>
          <w:color w:val="auto"/>
        </w:rPr>
        <w:t>Reference No.: 3-90070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44450</wp:posOffset>
            </wp:positionV>
            <wp:extent cx="67779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0">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Verdana" w:cs="Verdana" w:eastAsia="Verdana" w:hAnsi="Verdana"/>
          <w:sz w:val="15"/>
          <w:szCs w:val="15"/>
          <w:b w:val="1"/>
          <w:bCs w:val="1"/>
          <w:color w:val="008080"/>
        </w:rPr>
        <w:t>PURPOSE</w:t>
      </w:r>
    </w:p>
    <w:p>
      <w:pPr>
        <w:spacing w:after="0" w:line="204" w:lineRule="exact"/>
        <w:rPr>
          <w:sz w:val="20"/>
          <w:szCs w:val="20"/>
          <w:color w:val="auto"/>
        </w:rPr>
      </w:pPr>
    </w:p>
    <w:p>
      <w:pPr>
        <w:ind w:right="20"/>
        <w:spacing w:after="0" w:line="219" w:lineRule="auto"/>
        <w:rPr>
          <w:sz w:val="20"/>
          <w:szCs w:val="20"/>
          <w:color w:val="auto"/>
        </w:rPr>
      </w:pPr>
      <w:r>
        <w:rPr>
          <w:rFonts w:ascii="Verdana" w:cs="Verdana" w:eastAsia="Verdana" w:hAnsi="Verdana"/>
          <w:sz w:val="15"/>
          <w:szCs w:val="15"/>
          <w:color w:val="auto"/>
        </w:rPr>
        <w:t>The purpose of this policy is to describe circumstances in which the Company will recover Recoverable Compensation and the process for that recovery. This policy is intended to comply with (1) Section 954 of the Dodd-Frank Wall Street Reform and Consumer Protection Act of 2010, as codified in Section 10D of the Securities Exchange Act of 1934, and implemented by Rule 10D-1 thereunder adopted by the Securities and Exchange Commission (SEC) and (2) Section 303A.14 of the NYSE Listed Company Manual.</w:t>
      </w:r>
    </w:p>
    <w:p>
      <w:pPr>
        <w:spacing w:after="0" w:line="185" w:lineRule="exact"/>
        <w:rPr>
          <w:sz w:val="20"/>
          <w:szCs w:val="20"/>
          <w:color w:val="auto"/>
        </w:rPr>
      </w:pPr>
    </w:p>
    <w:p>
      <w:pPr>
        <w:ind w:right="280"/>
        <w:spacing w:after="0" w:line="234" w:lineRule="auto"/>
        <w:rPr>
          <w:sz w:val="20"/>
          <w:szCs w:val="20"/>
          <w:color w:val="auto"/>
        </w:rPr>
      </w:pPr>
      <w:r>
        <w:rPr>
          <w:rFonts w:ascii="Verdana" w:cs="Verdana" w:eastAsia="Verdana" w:hAnsi="Verdana"/>
          <w:sz w:val="15"/>
          <w:szCs w:val="15"/>
          <w:color w:val="auto"/>
        </w:rPr>
        <w:t>This policy shall be administered by the Compensation Committee of the Board of Directors (Compensation Committee). Any determinations made by the Compensation Committee shall be final and binding on all affected individuals.</w:t>
      </w:r>
    </w:p>
    <w:p>
      <w:pPr>
        <w:spacing w:after="0" w:line="186" w:lineRule="exact"/>
        <w:rPr>
          <w:sz w:val="20"/>
          <w:szCs w:val="20"/>
          <w:color w:val="auto"/>
        </w:rPr>
      </w:pPr>
    </w:p>
    <w:p>
      <w:pPr>
        <w:spacing w:after="0"/>
        <w:rPr>
          <w:sz w:val="20"/>
          <w:szCs w:val="20"/>
          <w:color w:val="auto"/>
        </w:rPr>
      </w:pPr>
      <w:r>
        <w:rPr>
          <w:rFonts w:ascii="Verdana" w:cs="Verdana" w:eastAsia="Verdana" w:hAnsi="Verdana"/>
          <w:sz w:val="15"/>
          <w:szCs w:val="15"/>
          <w:b w:val="1"/>
          <w:bCs w:val="1"/>
          <w:color w:val="008080"/>
        </w:rPr>
        <w:t>SCOPE</w:t>
      </w:r>
    </w:p>
    <w:p>
      <w:pPr>
        <w:spacing w:after="0" w:line="204" w:lineRule="exact"/>
        <w:rPr>
          <w:sz w:val="20"/>
          <w:szCs w:val="20"/>
          <w:color w:val="auto"/>
        </w:rPr>
      </w:pPr>
    </w:p>
    <w:p>
      <w:pPr>
        <w:spacing w:after="0"/>
        <w:rPr>
          <w:sz w:val="20"/>
          <w:szCs w:val="20"/>
          <w:color w:val="auto"/>
        </w:rPr>
      </w:pPr>
      <w:r>
        <w:rPr>
          <w:rFonts w:ascii="Verdana" w:cs="Verdana" w:eastAsia="Verdana" w:hAnsi="Verdana"/>
          <w:sz w:val="15"/>
          <w:szCs w:val="15"/>
          <w:color w:val="auto"/>
        </w:rPr>
        <w:t>This policy applies to Company operations worldwide.</w:t>
      </w:r>
    </w:p>
    <w:p>
      <w:pPr>
        <w:spacing w:after="0" w:line="204" w:lineRule="exact"/>
        <w:rPr>
          <w:sz w:val="20"/>
          <w:szCs w:val="20"/>
          <w:color w:val="auto"/>
        </w:rPr>
      </w:pPr>
    </w:p>
    <w:p>
      <w:pPr>
        <w:spacing w:after="0"/>
        <w:rPr>
          <w:sz w:val="20"/>
          <w:szCs w:val="20"/>
          <w:color w:val="auto"/>
        </w:rPr>
      </w:pPr>
      <w:r>
        <w:rPr>
          <w:rFonts w:ascii="Verdana" w:cs="Verdana" w:eastAsia="Verdana" w:hAnsi="Verdana"/>
          <w:sz w:val="15"/>
          <w:szCs w:val="15"/>
          <w:b w:val="1"/>
          <w:bCs w:val="1"/>
          <w:color w:val="008080"/>
        </w:rPr>
        <w:t>POLICY</w:t>
      </w:r>
    </w:p>
    <w:p>
      <w:pPr>
        <w:spacing w:after="0" w:line="204" w:lineRule="exact"/>
        <w:rPr>
          <w:sz w:val="20"/>
          <w:szCs w:val="20"/>
          <w:color w:val="auto"/>
        </w:rPr>
      </w:pPr>
    </w:p>
    <w:p>
      <w:pPr>
        <w:spacing w:after="0"/>
        <w:rPr>
          <w:sz w:val="20"/>
          <w:szCs w:val="20"/>
          <w:color w:val="auto"/>
        </w:rPr>
      </w:pPr>
      <w:r>
        <w:rPr>
          <w:rFonts w:ascii="Verdana" w:cs="Verdana" w:eastAsia="Verdana" w:hAnsi="Verdana"/>
          <w:sz w:val="15"/>
          <w:szCs w:val="15"/>
          <w:b w:val="1"/>
          <w:bCs w:val="1"/>
          <w:color w:val="auto"/>
        </w:rPr>
        <w:t>Recovery of Recoverable Compensation</w:t>
      </w:r>
    </w:p>
    <w:p>
      <w:pPr>
        <w:spacing w:after="0" w:line="204" w:lineRule="exact"/>
        <w:rPr>
          <w:sz w:val="20"/>
          <w:szCs w:val="20"/>
          <w:color w:val="auto"/>
        </w:rPr>
      </w:pPr>
    </w:p>
    <w:p>
      <w:pPr>
        <w:ind w:right="360"/>
        <w:spacing w:after="0" w:line="234" w:lineRule="auto"/>
        <w:rPr>
          <w:sz w:val="20"/>
          <w:szCs w:val="20"/>
          <w:color w:val="auto"/>
        </w:rPr>
      </w:pPr>
      <w:r>
        <w:rPr>
          <w:rFonts w:ascii="Verdana" w:cs="Verdana" w:eastAsia="Verdana" w:hAnsi="Verdana"/>
          <w:sz w:val="15"/>
          <w:szCs w:val="15"/>
          <w:color w:val="auto"/>
        </w:rPr>
        <w:t>The Executive Vice President and Chief Financial Officer (CFO) of the Company shall promptly report to the Board any instance in which the Company is required to prepare a Restatement.</w:t>
      </w:r>
    </w:p>
    <w:p>
      <w:pPr>
        <w:spacing w:after="0" w:line="186" w:lineRule="exact"/>
        <w:rPr>
          <w:sz w:val="20"/>
          <w:szCs w:val="20"/>
          <w:color w:val="auto"/>
        </w:rPr>
      </w:pPr>
    </w:p>
    <w:p>
      <w:pPr>
        <w:spacing w:after="0"/>
        <w:rPr>
          <w:sz w:val="20"/>
          <w:szCs w:val="20"/>
          <w:color w:val="auto"/>
        </w:rPr>
      </w:pPr>
      <w:r>
        <w:rPr>
          <w:rFonts w:ascii="Verdana" w:cs="Verdana" w:eastAsia="Verdana" w:hAnsi="Verdana"/>
          <w:sz w:val="15"/>
          <w:szCs w:val="15"/>
          <w:color w:val="auto"/>
        </w:rPr>
        <w:t>Upon learning of a required Restatement, the Board shall determine the Restatement Date.</w:t>
      </w:r>
    </w:p>
    <w:p>
      <w:pPr>
        <w:spacing w:after="0" w:line="204" w:lineRule="exact"/>
        <w:rPr>
          <w:sz w:val="20"/>
          <w:szCs w:val="20"/>
          <w:color w:val="auto"/>
        </w:rPr>
      </w:pPr>
    </w:p>
    <w:p>
      <w:pPr>
        <w:ind w:right="320"/>
        <w:spacing w:after="0" w:line="224" w:lineRule="auto"/>
        <w:rPr>
          <w:sz w:val="20"/>
          <w:szCs w:val="20"/>
          <w:color w:val="auto"/>
        </w:rPr>
      </w:pPr>
      <w:r>
        <w:rPr>
          <w:rFonts w:ascii="Verdana" w:cs="Verdana" w:eastAsia="Verdana" w:hAnsi="Verdana"/>
          <w:sz w:val="15"/>
          <w:szCs w:val="15"/>
          <w:color w:val="auto"/>
        </w:rPr>
        <w:t>The CFO (or other appropriate officer or third party designated by the Compensation Committee) shall promptly (but in any event within 90 days following the Restatement) calculate the Recoverable Compensation for each affected individual, which calculation shall be subject to approval by the Compensation Committee.</w:t>
      </w:r>
    </w:p>
    <w:p>
      <w:pPr>
        <w:spacing w:after="0" w:line="186" w:lineRule="exact"/>
        <w:rPr>
          <w:sz w:val="20"/>
          <w:szCs w:val="20"/>
          <w:color w:val="auto"/>
        </w:rPr>
      </w:pPr>
    </w:p>
    <w:p>
      <w:pPr>
        <w:spacing w:after="0"/>
        <w:rPr>
          <w:sz w:val="20"/>
          <w:szCs w:val="20"/>
          <w:color w:val="auto"/>
        </w:rPr>
      </w:pPr>
      <w:r>
        <w:rPr>
          <w:rFonts w:ascii="Verdana" w:cs="Verdana" w:eastAsia="Verdana" w:hAnsi="Verdana"/>
          <w:sz w:val="15"/>
          <w:szCs w:val="15"/>
          <w:color w:val="auto"/>
        </w:rPr>
        <w:t>For purposes of calculating Recoverable Compensation:</w:t>
      </w:r>
    </w:p>
    <w:p>
      <w:pPr>
        <w:spacing w:after="0" w:line="204" w:lineRule="exact"/>
        <w:rPr>
          <w:sz w:val="20"/>
          <w:szCs w:val="20"/>
          <w:color w:val="auto"/>
        </w:rPr>
      </w:pPr>
    </w:p>
    <w:p>
      <w:pPr>
        <w:ind w:left="620" w:right="180" w:hanging="307"/>
        <w:spacing w:after="0" w:line="224" w:lineRule="auto"/>
        <w:tabs>
          <w:tab w:leader="none" w:pos="620" w:val="left"/>
        </w:tabs>
        <w:numPr>
          <w:ilvl w:val="0"/>
          <w:numId w:val="113"/>
        </w:numPr>
        <w:rPr>
          <w:rFonts w:ascii="Verdana" w:cs="Verdana" w:eastAsia="Verdana" w:hAnsi="Verdana"/>
          <w:sz w:val="15"/>
          <w:szCs w:val="15"/>
          <w:color w:val="auto"/>
        </w:rPr>
      </w:pPr>
      <w:r>
        <w:rPr>
          <w:rFonts w:ascii="Verdana" w:cs="Verdana" w:eastAsia="Verdana" w:hAnsi="Verdana"/>
          <w:sz w:val="15"/>
          <w:szCs w:val="15"/>
          <w:color w:val="auto"/>
        </w:rPr>
        <w:t>Incentive-based Compensation shall be deemed received in the Company’s fiscal period during which the Financial Reporting Measure specified in the Incentive-based Compensation award is attained, even if the payment or grant of the Incentive-based Compensation occurs after the end of that period (but shall not include grants or payments made prior to the Effective Date).</w:t>
      </w:r>
    </w:p>
    <w:p>
      <w:pPr>
        <w:spacing w:after="0" w:line="185" w:lineRule="exact"/>
        <w:rPr>
          <w:rFonts w:ascii="Verdana" w:cs="Verdana" w:eastAsia="Verdana" w:hAnsi="Verdana"/>
          <w:sz w:val="15"/>
          <w:szCs w:val="15"/>
          <w:color w:val="auto"/>
        </w:rPr>
      </w:pPr>
    </w:p>
    <w:p>
      <w:pPr>
        <w:ind w:left="620" w:hanging="307"/>
        <w:spacing w:after="0" w:line="215" w:lineRule="auto"/>
        <w:tabs>
          <w:tab w:leader="none" w:pos="620" w:val="left"/>
        </w:tabs>
        <w:numPr>
          <w:ilvl w:val="0"/>
          <w:numId w:val="113"/>
        </w:numPr>
        <w:rPr>
          <w:rFonts w:ascii="Verdana" w:cs="Verdana" w:eastAsia="Verdana" w:hAnsi="Verdana"/>
          <w:sz w:val="15"/>
          <w:szCs w:val="15"/>
          <w:color w:val="auto"/>
        </w:rPr>
      </w:pPr>
      <w:r>
        <w:rPr>
          <w:rFonts w:ascii="Verdana" w:cs="Verdana" w:eastAsia="Verdana" w:hAnsi="Verdana"/>
          <w:sz w:val="15"/>
          <w:szCs w:val="15"/>
          <w:color w:val="auto"/>
        </w:rPr>
        <w:t>For Incentive-based Compensation based on (or derived from) stock price or total shareholder return, where the amount of Recoverable Compensation is not subject to mathematical recalculation directly from the information in a Restatement, it shall be based on a reasonable estimate of the effect of the Restatement on the stock price or total shareholder return upon which the Incentive-based Compensation was received. The Company shall maintain documentation of the determination of that reasonable estimate and provide such documentation to the New York Stock Exchange (NYSE).</w:t>
      </w:r>
    </w:p>
    <w:p>
      <w:pPr>
        <w:spacing w:after="0" w:line="189" w:lineRule="exact"/>
        <w:rPr>
          <w:sz w:val="20"/>
          <w:szCs w:val="20"/>
          <w:color w:val="auto"/>
        </w:rPr>
      </w:pPr>
    </w:p>
    <w:p>
      <w:pPr>
        <w:ind w:right="160"/>
        <w:spacing w:after="0" w:line="224" w:lineRule="auto"/>
        <w:rPr>
          <w:sz w:val="20"/>
          <w:szCs w:val="20"/>
          <w:color w:val="auto"/>
        </w:rPr>
      </w:pPr>
      <w:r>
        <w:rPr>
          <w:rFonts w:ascii="Verdana" w:cs="Verdana" w:eastAsia="Verdana" w:hAnsi="Verdana"/>
          <w:sz w:val="15"/>
          <w:szCs w:val="15"/>
          <w:color w:val="auto"/>
        </w:rPr>
        <w:t>Promptly following the Compensation Committee’s approval of the Recoverable Compensation, the Compensation Committee shall notify in writing each individual who received Recoverable Compensation and shall cause the Company to demand payment or return, as applicable, of such Recoverable Compensation.</w:t>
      </w:r>
    </w:p>
    <w:p>
      <w:pPr>
        <w:spacing w:after="0" w:line="158" w:lineRule="exact"/>
        <w:rPr>
          <w:sz w:val="20"/>
          <w:szCs w:val="20"/>
          <w:color w:val="auto"/>
        </w:rPr>
      </w:pPr>
    </w:p>
    <w:p>
      <w:pPr>
        <w:spacing w:after="0"/>
        <w:rPr>
          <w:sz w:val="20"/>
          <w:szCs w:val="20"/>
          <w:color w:val="auto"/>
        </w:rPr>
      </w:pPr>
      <w:r>
        <w:rPr>
          <w:rFonts w:ascii="Verdana" w:cs="Verdana" w:eastAsia="Verdana" w:hAnsi="Verdana"/>
          <w:sz w:val="15"/>
          <w:szCs w:val="15"/>
          <w:color w:val="auto"/>
        </w:rPr>
        <w:t>The Company shall demand recovery and recover Recoverable Compensation in compliance with this policy except to the extent that the</w:t>
      </w:r>
    </w:p>
    <w:p>
      <w:pPr>
        <w:spacing w:after="0"/>
        <w:rPr>
          <w:sz w:val="20"/>
          <w:szCs w:val="20"/>
          <w:color w:val="auto"/>
        </w:rPr>
      </w:pPr>
      <w:r>
        <w:rPr>
          <w:rFonts w:ascii="Verdana" w:cs="Verdana" w:eastAsia="Verdana" w:hAnsi="Verdana"/>
          <w:sz w:val="15"/>
          <w:szCs w:val="15"/>
          <w:color w:val="auto"/>
        </w:rPr>
        <w:t>Compensation Committee determines that recovery would be impracticable, and one of the following conditions applies:</w:t>
      </w:r>
    </w:p>
    <w:p>
      <w:pPr>
        <w:spacing w:after="0" w:line="200" w:lineRule="exact"/>
        <w:rPr>
          <w:sz w:val="20"/>
          <w:szCs w:val="20"/>
          <w:color w:val="auto"/>
        </w:rPr>
      </w:pPr>
    </w:p>
    <w:p>
      <w:pPr>
        <w:spacing w:after="0" w:line="237" w:lineRule="exact"/>
        <w:rPr>
          <w:sz w:val="20"/>
          <w:szCs w:val="20"/>
          <w:color w:val="auto"/>
        </w:rPr>
      </w:pPr>
    </w:p>
    <w:p>
      <w:pPr>
        <w:ind w:left="620" w:right="100" w:hanging="307"/>
        <w:spacing w:after="0" w:line="219" w:lineRule="auto"/>
        <w:tabs>
          <w:tab w:leader="none" w:pos="620" w:val="left"/>
        </w:tabs>
        <w:numPr>
          <w:ilvl w:val="0"/>
          <w:numId w:val="114"/>
        </w:numPr>
        <w:rPr>
          <w:rFonts w:ascii="Verdana" w:cs="Verdana" w:eastAsia="Verdana" w:hAnsi="Verdana"/>
          <w:sz w:val="15"/>
          <w:szCs w:val="15"/>
          <w:color w:val="auto"/>
        </w:rPr>
      </w:pPr>
      <w:r>
        <w:rPr>
          <w:rFonts w:ascii="Verdana" w:cs="Verdana" w:eastAsia="Verdana" w:hAnsi="Verdana"/>
          <w:sz w:val="15"/>
          <w:szCs w:val="15"/>
          <w:color w:val="auto"/>
        </w:rPr>
        <w:t>the direct expense paid to a third party to assist in enforcing this policy would exceed the amount to be recovered; provided, however, that before concluding that it would be impracticable to recover any amount of Recoverable Compensation based on expense of enforcement, the Company must make a reasonable attempt to recover such Recoverable Compensation, document such reasonable attempt(s) to recover, and provide that documentation to the NYSE;</w:t>
      </w:r>
    </w:p>
    <w:p>
      <w:pPr>
        <w:spacing w:after="0" w:line="185" w:lineRule="exact"/>
        <w:rPr>
          <w:rFonts w:ascii="Verdana" w:cs="Verdana" w:eastAsia="Verdana" w:hAnsi="Verdana"/>
          <w:sz w:val="15"/>
          <w:szCs w:val="15"/>
          <w:color w:val="auto"/>
        </w:rPr>
      </w:pPr>
    </w:p>
    <w:p>
      <w:pPr>
        <w:ind w:left="620" w:right="60" w:hanging="307"/>
        <w:spacing w:after="0" w:line="224" w:lineRule="auto"/>
        <w:tabs>
          <w:tab w:leader="none" w:pos="620" w:val="left"/>
        </w:tabs>
        <w:numPr>
          <w:ilvl w:val="0"/>
          <w:numId w:val="114"/>
        </w:numPr>
        <w:rPr>
          <w:rFonts w:ascii="Verdana" w:cs="Verdana" w:eastAsia="Verdana" w:hAnsi="Verdana"/>
          <w:sz w:val="15"/>
          <w:szCs w:val="15"/>
          <w:color w:val="auto"/>
        </w:rPr>
      </w:pPr>
      <w:r>
        <w:rPr>
          <w:rFonts w:ascii="Verdana" w:cs="Verdana" w:eastAsia="Verdana" w:hAnsi="Verdana"/>
          <w:sz w:val="15"/>
          <w:szCs w:val="15"/>
          <w:color w:val="auto"/>
        </w:rPr>
        <w:t>recovery would violate home country law where that law was adopted prior to November 28, 2022; provided, however, that before concluding that it would be impracticable to recover any amount of Recoverable Compensation based on violation of home country law, the Company</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Verdana" w:cs="Verdana" w:eastAsia="Verdana" w:hAnsi="Verdana"/>
          <w:sz w:val="13"/>
          <w:szCs w:val="13"/>
          <w:color w:val="auto"/>
        </w:rPr>
        <w:t xml:space="preserve">Page </w:t>
      </w:r>
      <w:r>
        <w:rPr>
          <w:rFonts w:ascii="Verdana" w:cs="Verdana" w:eastAsia="Verdana" w:hAnsi="Verdana"/>
          <w:sz w:val="13"/>
          <w:szCs w:val="13"/>
          <w:b w:val="1"/>
          <w:bCs w:val="1"/>
          <w:color w:val="auto"/>
        </w:rPr>
        <w:t>1</w:t>
      </w:r>
      <w:r>
        <w:rPr>
          <w:rFonts w:ascii="Verdana" w:cs="Verdana" w:eastAsia="Verdana" w:hAnsi="Verdana"/>
          <w:sz w:val="13"/>
          <w:szCs w:val="13"/>
          <w:color w:val="auto"/>
        </w:rPr>
        <w:t xml:space="preserve"> of </w:t>
      </w:r>
      <w:r>
        <w:rPr>
          <w:rFonts w:ascii="Verdana" w:cs="Verdana" w:eastAsia="Verdana" w:hAnsi="Verdana"/>
          <w:sz w:val="13"/>
          <w:szCs w:val="13"/>
          <w:b w:val="1"/>
          <w:bCs w:val="1"/>
          <w:color w:val="auto"/>
        </w:rPr>
        <w:t>4</w:t>
      </w:r>
    </w:p>
    <w:p>
      <w:pPr>
        <w:sectPr>
          <w:pgSz w:w="11900" w:h="16838" w:orient="portrait"/>
          <w:cols w:equalWidth="0" w:num="1">
            <w:col w:w="11240"/>
          </w:cols>
          <w:pgMar w:left="320" w:top="108" w:right="339" w:bottom="1440" w:gutter="0" w:footer="0" w:header="0"/>
          <w:type w:val="continuous"/>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20" w:right="440"/>
        <w:spacing w:after="0" w:line="234" w:lineRule="auto"/>
        <w:rPr>
          <w:sz w:val="20"/>
          <w:szCs w:val="20"/>
          <w:color w:val="auto"/>
        </w:rPr>
      </w:pPr>
      <w:r>
        <w:rPr>
          <w:rFonts w:ascii="Verdana" w:cs="Verdana" w:eastAsia="Verdana" w:hAnsi="Verdana"/>
          <w:sz w:val="15"/>
          <w:szCs w:val="15"/>
          <w:color w:val="auto"/>
        </w:rPr>
        <w:t>must obtain an opinion of home country counsel, acceptable to the NYSE, that recovery would result in such a violation, and must provide such opinion to the NYSE; or</w:t>
      </w:r>
    </w:p>
    <w:p>
      <w:pPr>
        <w:spacing w:after="0" w:line="186" w:lineRule="exact"/>
        <w:rPr>
          <w:sz w:val="20"/>
          <w:szCs w:val="20"/>
          <w:color w:val="auto"/>
        </w:rPr>
      </w:pPr>
    </w:p>
    <w:p>
      <w:pPr>
        <w:ind w:left="620" w:right="120" w:hanging="307"/>
        <w:spacing w:after="0" w:line="224" w:lineRule="auto"/>
        <w:tabs>
          <w:tab w:leader="none" w:pos="620" w:val="left"/>
        </w:tabs>
        <w:numPr>
          <w:ilvl w:val="0"/>
          <w:numId w:val="115"/>
        </w:numPr>
        <w:rPr>
          <w:rFonts w:ascii="Verdana" w:cs="Verdana" w:eastAsia="Verdana" w:hAnsi="Verdana"/>
          <w:sz w:val="15"/>
          <w:szCs w:val="15"/>
          <w:color w:val="auto"/>
        </w:rPr>
      </w:pPr>
      <w:r>
        <w:rPr>
          <w:rFonts w:ascii="Verdana" w:cs="Verdana" w:eastAsia="Verdana" w:hAnsi="Verdana"/>
          <w:sz w:val="15"/>
          <w:szCs w:val="15"/>
          <w:color w:val="auto"/>
        </w:rPr>
        <w:t>recovery would likely cause an otherwise tax-qualified retirement plan, under which benefits are broadly available to employees of the Company, to fail to meet the requirements of Sections 401(a)(13) or 411(a) of the Internal Revenue Code of 1986, as amended, and regulations thereunder.</w:t>
      </w:r>
    </w:p>
    <w:p>
      <w:pPr>
        <w:spacing w:after="0" w:line="186" w:lineRule="exact"/>
        <w:rPr>
          <w:sz w:val="20"/>
          <w:szCs w:val="20"/>
          <w:color w:val="auto"/>
        </w:rPr>
      </w:pPr>
    </w:p>
    <w:p>
      <w:pPr>
        <w:ind w:right="20"/>
        <w:spacing w:after="0" w:line="234" w:lineRule="auto"/>
        <w:rPr>
          <w:sz w:val="20"/>
          <w:szCs w:val="20"/>
          <w:color w:val="auto"/>
        </w:rPr>
      </w:pPr>
      <w:r>
        <w:rPr>
          <w:rFonts w:ascii="Verdana" w:cs="Verdana" w:eastAsia="Verdana" w:hAnsi="Verdana"/>
          <w:sz w:val="15"/>
          <w:szCs w:val="15"/>
          <w:color w:val="auto"/>
        </w:rPr>
        <w:t>Except as provided above, in no event may the Company accept final repayment from the affected individual of less than the full amount of the Recoverable Compensation received by such individual.</w:t>
      </w:r>
    </w:p>
    <w:p>
      <w:pPr>
        <w:spacing w:after="0" w:line="186" w:lineRule="exact"/>
        <w:rPr>
          <w:sz w:val="20"/>
          <w:szCs w:val="20"/>
          <w:color w:val="auto"/>
        </w:rPr>
      </w:pPr>
    </w:p>
    <w:p>
      <w:pPr>
        <w:spacing w:after="0" w:line="212" w:lineRule="auto"/>
        <w:rPr>
          <w:sz w:val="20"/>
          <w:szCs w:val="20"/>
          <w:color w:val="auto"/>
        </w:rPr>
      </w:pPr>
      <w:r>
        <w:rPr>
          <w:rFonts w:ascii="Verdana" w:cs="Verdana" w:eastAsia="Verdana" w:hAnsi="Verdana"/>
          <w:sz w:val="15"/>
          <w:szCs w:val="15"/>
          <w:color w:val="auto"/>
        </w:rPr>
        <w:t>The Compensation Committee shall determine, in its sole discretion, the method of recovering any Recoverable Compensation pursuant to this policy, taking into account all facts and circumstances (including the time value of money and the cost to shareholders of delayed recovery), so long as such method complies with the terms of Section 303A.14 of the NYSE Listed Company Manual. If the Compensation Committee determines that an appropriate method of recovery is one other than the prompt repayment by the affected individual in cash or property, the Company may offer to enter into a repayment agreement with the affected individual (in a form and with terms reasonably acceptable to the Compensation Committee). The Company may offset, or cause to be offset, any amounts that the affected individual is required to repay to the Company pursuant to this policy against any amounts otherwise owed by the Company or any of its subsidiaries to the affected individual.</w:t>
      </w:r>
    </w:p>
    <w:p>
      <w:pPr>
        <w:spacing w:after="0" w:line="188" w:lineRule="exact"/>
        <w:rPr>
          <w:sz w:val="20"/>
          <w:szCs w:val="20"/>
          <w:color w:val="auto"/>
        </w:rPr>
      </w:pPr>
    </w:p>
    <w:p>
      <w:pPr>
        <w:ind w:right="20"/>
        <w:spacing w:after="0" w:line="224" w:lineRule="auto"/>
        <w:rPr>
          <w:sz w:val="20"/>
          <w:szCs w:val="20"/>
          <w:color w:val="auto"/>
        </w:rPr>
      </w:pPr>
      <w:r>
        <w:rPr>
          <w:rFonts w:ascii="Verdana" w:cs="Verdana" w:eastAsia="Verdana" w:hAnsi="Verdana"/>
          <w:sz w:val="15"/>
          <w:szCs w:val="15"/>
          <w:color w:val="auto"/>
        </w:rPr>
        <w:t>If the affected individual fails to repay to the Company when due the full amount of the Recoverable Compensation received by such affected individual, the Company shall take all actions reasonable and appropriate to recover the full amount of the Recoverable Compensation from the affected individual.</w:t>
      </w:r>
    </w:p>
    <w:p>
      <w:pPr>
        <w:spacing w:after="0" w:line="186" w:lineRule="exact"/>
        <w:rPr>
          <w:sz w:val="20"/>
          <w:szCs w:val="20"/>
          <w:color w:val="auto"/>
        </w:rPr>
      </w:pPr>
    </w:p>
    <w:p>
      <w:pPr>
        <w:spacing w:after="0"/>
        <w:rPr>
          <w:sz w:val="20"/>
          <w:szCs w:val="20"/>
          <w:color w:val="auto"/>
        </w:rPr>
      </w:pPr>
      <w:r>
        <w:rPr>
          <w:rFonts w:ascii="Verdana" w:cs="Verdana" w:eastAsia="Verdana" w:hAnsi="Verdana"/>
          <w:sz w:val="15"/>
          <w:szCs w:val="15"/>
          <w:b w:val="1"/>
          <w:bCs w:val="1"/>
          <w:color w:val="auto"/>
        </w:rPr>
        <w:t>Disclosure</w:t>
      </w:r>
    </w:p>
    <w:p>
      <w:pPr>
        <w:spacing w:after="0" w:line="204" w:lineRule="exact"/>
        <w:rPr>
          <w:sz w:val="20"/>
          <w:szCs w:val="20"/>
          <w:color w:val="auto"/>
        </w:rPr>
      </w:pPr>
    </w:p>
    <w:p>
      <w:pPr>
        <w:ind w:right="560"/>
        <w:spacing w:after="0" w:line="234" w:lineRule="auto"/>
        <w:rPr>
          <w:sz w:val="20"/>
          <w:szCs w:val="20"/>
          <w:color w:val="auto"/>
        </w:rPr>
      </w:pPr>
      <w:r>
        <w:rPr>
          <w:rFonts w:ascii="Verdana" w:cs="Verdana" w:eastAsia="Verdana" w:hAnsi="Verdana"/>
          <w:sz w:val="15"/>
          <w:szCs w:val="15"/>
          <w:color w:val="auto"/>
        </w:rPr>
        <w:t>The Company shall file all disclosures with respect to this policy in accordance with the requirements of the securities laws, including the disclosure required by the applicable SEC filings.</w:t>
      </w:r>
    </w:p>
    <w:p>
      <w:pPr>
        <w:spacing w:after="0" w:line="186" w:lineRule="exact"/>
        <w:rPr>
          <w:sz w:val="20"/>
          <w:szCs w:val="20"/>
          <w:color w:val="auto"/>
        </w:rPr>
      </w:pPr>
    </w:p>
    <w:p>
      <w:pPr>
        <w:spacing w:after="0"/>
        <w:rPr>
          <w:sz w:val="20"/>
          <w:szCs w:val="20"/>
          <w:color w:val="auto"/>
        </w:rPr>
      </w:pPr>
      <w:r>
        <w:rPr>
          <w:rFonts w:ascii="Verdana" w:cs="Verdana" w:eastAsia="Verdana" w:hAnsi="Verdana"/>
          <w:sz w:val="15"/>
          <w:szCs w:val="15"/>
          <w:b w:val="1"/>
          <w:bCs w:val="1"/>
          <w:color w:val="auto"/>
        </w:rPr>
        <w:t>Indemnification</w:t>
      </w:r>
    </w:p>
    <w:p>
      <w:pPr>
        <w:spacing w:after="0" w:line="204" w:lineRule="exact"/>
        <w:rPr>
          <w:sz w:val="20"/>
          <w:szCs w:val="20"/>
          <w:color w:val="auto"/>
        </w:rPr>
      </w:pPr>
    </w:p>
    <w:p>
      <w:pPr>
        <w:jc w:val="both"/>
        <w:ind w:right="260"/>
        <w:spacing w:after="0" w:line="224" w:lineRule="auto"/>
        <w:rPr>
          <w:sz w:val="20"/>
          <w:szCs w:val="20"/>
          <w:color w:val="auto"/>
        </w:rPr>
      </w:pPr>
      <w:r>
        <w:rPr>
          <w:rFonts w:ascii="Verdana" w:cs="Verdana" w:eastAsia="Verdana" w:hAnsi="Verdana"/>
          <w:sz w:val="15"/>
          <w:szCs w:val="15"/>
          <w:color w:val="auto"/>
        </w:rPr>
        <w:t>The Company shall not indemnify any current or former Executive Officer against the loss of Recoverable Compensation and shall not pay or reimburse any current or former Executive Officers for premiums for any insurance policy to fund such Executive Officer’s potential recovery obligations.</w:t>
      </w:r>
    </w:p>
    <w:p>
      <w:pPr>
        <w:spacing w:after="0" w:line="186" w:lineRule="exact"/>
        <w:rPr>
          <w:sz w:val="20"/>
          <w:szCs w:val="20"/>
          <w:color w:val="auto"/>
        </w:rPr>
      </w:pPr>
    </w:p>
    <w:p>
      <w:pPr>
        <w:spacing w:after="0"/>
        <w:rPr>
          <w:sz w:val="20"/>
          <w:szCs w:val="20"/>
          <w:color w:val="auto"/>
        </w:rPr>
      </w:pPr>
      <w:r>
        <w:rPr>
          <w:rFonts w:ascii="Verdana" w:cs="Verdana" w:eastAsia="Verdana" w:hAnsi="Verdana"/>
          <w:sz w:val="15"/>
          <w:szCs w:val="15"/>
          <w:b w:val="1"/>
          <w:bCs w:val="1"/>
          <w:color w:val="auto"/>
        </w:rPr>
        <w:t>Other Recoupment Rights</w:t>
      </w:r>
    </w:p>
    <w:p>
      <w:pPr>
        <w:spacing w:after="0" w:line="204" w:lineRule="exact"/>
        <w:rPr>
          <w:sz w:val="20"/>
          <w:szCs w:val="20"/>
          <w:color w:val="auto"/>
        </w:rPr>
      </w:pPr>
    </w:p>
    <w:p>
      <w:pPr>
        <w:jc w:val="both"/>
        <w:ind w:right="420"/>
        <w:spacing w:after="0" w:line="203" w:lineRule="auto"/>
        <w:rPr>
          <w:sz w:val="20"/>
          <w:szCs w:val="20"/>
          <w:color w:val="auto"/>
        </w:rPr>
      </w:pPr>
      <w:r>
        <w:rPr>
          <w:rFonts w:ascii="Verdana" w:cs="Verdana" w:eastAsia="Verdana" w:hAnsi="Verdana"/>
          <w:sz w:val="15"/>
          <w:szCs w:val="15"/>
          <w:color w:val="auto"/>
        </w:rPr>
        <w:t>The Board intends that this policy will be applied to the fullest extent of the law. Any employment agreement, equity award agreement, or similar agreement entered into on or after the Effective Date may, as a condition to the grant of any benefit thereunder, require the party thereto to agree to abide by the terms of this policy or implement arrangements designed to facilitate the administration hereof.</w:t>
      </w:r>
    </w:p>
    <w:p>
      <w:pPr>
        <w:spacing w:after="0" w:line="2" w:lineRule="exact"/>
        <w:rPr>
          <w:sz w:val="20"/>
          <w:szCs w:val="20"/>
          <w:color w:val="auto"/>
        </w:rPr>
      </w:pPr>
    </w:p>
    <w:p>
      <w:pPr>
        <w:ind w:right="20"/>
        <w:spacing w:after="0" w:line="215" w:lineRule="auto"/>
        <w:rPr>
          <w:sz w:val="20"/>
          <w:szCs w:val="20"/>
          <w:color w:val="auto"/>
        </w:rPr>
      </w:pPr>
      <w:r>
        <w:rPr>
          <w:rFonts w:ascii="Verdana" w:cs="Verdana" w:eastAsia="Verdana" w:hAnsi="Verdana"/>
          <w:sz w:val="15"/>
          <w:szCs w:val="15"/>
          <w:color w:val="auto"/>
        </w:rPr>
        <w:t>Although not a prerequisite to enforcement of this policy, each Executive Officer shall be required to sign and return to the Company the Acknowledgment Form attached below as Exhibit A pursuant to which such Executive Officer will agree to be bound by the terms and comply with this policy. Any right of recovery under this policy is in addition to, and not in lieu of, any other remedies or rights of recovery that may be available to the Company pursuant to the terms of any employment agreement, equity award agreement, or similar agreement and any other legal remedies available to the Company.</w:t>
      </w:r>
    </w:p>
    <w:p>
      <w:pPr>
        <w:spacing w:after="0" w:line="189" w:lineRule="exact"/>
        <w:rPr>
          <w:sz w:val="20"/>
          <w:szCs w:val="20"/>
          <w:color w:val="auto"/>
        </w:rPr>
      </w:pPr>
    </w:p>
    <w:p>
      <w:pPr>
        <w:spacing w:after="0"/>
        <w:rPr>
          <w:sz w:val="20"/>
          <w:szCs w:val="20"/>
          <w:color w:val="auto"/>
        </w:rPr>
      </w:pPr>
      <w:r>
        <w:rPr>
          <w:rFonts w:ascii="Verdana" w:cs="Verdana" w:eastAsia="Verdana" w:hAnsi="Verdana"/>
          <w:sz w:val="15"/>
          <w:szCs w:val="15"/>
          <w:b w:val="1"/>
          <w:bCs w:val="1"/>
          <w:color w:val="auto"/>
        </w:rPr>
        <w:t>Amendment and Interpretation</w:t>
      </w:r>
    </w:p>
    <w:p>
      <w:pPr>
        <w:spacing w:after="0" w:line="204" w:lineRule="exact"/>
        <w:rPr>
          <w:sz w:val="20"/>
          <w:szCs w:val="20"/>
          <w:color w:val="auto"/>
        </w:rPr>
      </w:pPr>
    </w:p>
    <w:p>
      <w:pPr>
        <w:spacing w:after="0" w:line="212" w:lineRule="auto"/>
        <w:rPr>
          <w:sz w:val="20"/>
          <w:szCs w:val="20"/>
          <w:color w:val="auto"/>
        </w:rPr>
      </w:pPr>
      <w:r>
        <w:rPr>
          <w:rFonts w:ascii="Verdana" w:cs="Verdana" w:eastAsia="Verdana" w:hAnsi="Verdana"/>
          <w:sz w:val="15"/>
          <w:szCs w:val="15"/>
          <w:color w:val="auto"/>
        </w:rPr>
        <w:t>The Board may amend this policy from time to time in its discretion and shall amend this policy as it deems necessary or advisable to reflect the regulations adopted by the SEC and to comply with any rules or standards adopted by the NYSE. The Board may at any time in its sole discretion supplement, amend, or terminate any provision of this policy in any respect as the Board determines to be necessary or appropriate. The Compensation Committee shall interpret and construe this policy and make all determinations necessary or advisable for the administration of this policy. It is intended that this policy be interpreted in a manner that is consistent with the requirements of Section 10D of the Securities Exchange Act of 1934, as amended, and Rule 10D-1 thereunder and Section 303A.14 of the NYSE Listed Company Manual and any other applicable rules adopted by the SEC.</w:t>
      </w:r>
    </w:p>
    <w:p>
      <w:pPr>
        <w:spacing w:after="0" w:line="188" w:lineRule="exact"/>
        <w:rPr>
          <w:sz w:val="20"/>
          <w:szCs w:val="20"/>
          <w:color w:val="auto"/>
        </w:rPr>
      </w:pPr>
    </w:p>
    <w:p>
      <w:pPr>
        <w:spacing w:after="0"/>
        <w:rPr>
          <w:sz w:val="20"/>
          <w:szCs w:val="20"/>
          <w:color w:val="auto"/>
        </w:rPr>
      </w:pPr>
      <w:r>
        <w:rPr>
          <w:rFonts w:ascii="Verdana" w:cs="Verdana" w:eastAsia="Verdana" w:hAnsi="Verdana"/>
          <w:sz w:val="15"/>
          <w:szCs w:val="15"/>
          <w:b w:val="1"/>
          <w:bCs w:val="1"/>
          <w:color w:val="auto"/>
        </w:rPr>
        <w:t>Successors</w:t>
      </w:r>
    </w:p>
    <w:p>
      <w:pPr>
        <w:spacing w:after="0" w:line="204" w:lineRule="exact"/>
        <w:rPr>
          <w:sz w:val="20"/>
          <w:szCs w:val="20"/>
          <w:color w:val="auto"/>
        </w:rPr>
      </w:pPr>
    </w:p>
    <w:p>
      <w:pPr>
        <w:ind w:right="800"/>
        <w:spacing w:after="0" w:line="234" w:lineRule="auto"/>
        <w:rPr>
          <w:sz w:val="20"/>
          <w:szCs w:val="20"/>
          <w:color w:val="auto"/>
        </w:rPr>
      </w:pPr>
      <w:r>
        <w:rPr>
          <w:rFonts w:ascii="Verdana" w:cs="Verdana" w:eastAsia="Verdana" w:hAnsi="Verdana"/>
          <w:sz w:val="15"/>
          <w:szCs w:val="15"/>
          <w:color w:val="auto"/>
        </w:rPr>
        <w:t>This policy shall be binding and enforceable against all current and former Executive Officers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Verdana" w:cs="Verdana" w:eastAsia="Verdana" w:hAnsi="Verdana"/>
          <w:sz w:val="14"/>
          <w:szCs w:val="14"/>
          <w:color w:val="auto"/>
        </w:rPr>
        <w:t xml:space="preserve">Page </w:t>
      </w:r>
      <w:r>
        <w:rPr>
          <w:rFonts w:ascii="Verdana" w:cs="Verdana" w:eastAsia="Verdana" w:hAnsi="Verdana"/>
          <w:sz w:val="14"/>
          <w:szCs w:val="14"/>
          <w:b w:val="1"/>
          <w:bCs w:val="1"/>
          <w:color w:val="auto"/>
        </w:rPr>
        <w:t>2</w:t>
      </w:r>
      <w:r>
        <w:rPr>
          <w:rFonts w:ascii="Verdana" w:cs="Verdana" w:eastAsia="Verdana" w:hAnsi="Verdana"/>
          <w:sz w:val="14"/>
          <w:szCs w:val="14"/>
          <w:color w:val="auto"/>
        </w:rPr>
        <w:t xml:space="preserve"> of </w:t>
      </w:r>
      <w:r>
        <w:rPr>
          <w:rFonts w:ascii="Verdana" w:cs="Verdana" w:eastAsia="Verdana" w:hAnsi="Verdana"/>
          <w:sz w:val="14"/>
          <w:szCs w:val="14"/>
          <w:b w:val="1"/>
          <w:bCs w:val="1"/>
          <w:color w:val="auto"/>
        </w:rPr>
        <w:t>4</w:t>
      </w:r>
    </w:p>
    <w:p>
      <w:pPr>
        <w:sectPr>
          <w:pgSz w:w="11900" w:h="16838" w:orient="portrait"/>
          <w:cols w:equalWidth="0" w:num="1">
            <w:col w:w="11220"/>
          </w:cols>
          <w:pgMar w:left="320" w:top="1440" w:right="359" w:bottom="1440" w:gutter="0" w:footer="0" w:header="0"/>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Verdana" w:cs="Verdana" w:eastAsia="Verdana" w:hAnsi="Verdana"/>
          <w:sz w:val="15"/>
          <w:szCs w:val="15"/>
          <w:b w:val="1"/>
          <w:bCs w:val="1"/>
          <w:color w:val="008080"/>
        </w:rPr>
        <w:t>DEFINITIONS</w:t>
      </w:r>
    </w:p>
    <w:p>
      <w:pPr>
        <w:spacing w:after="0" w:line="204" w:lineRule="exact"/>
        <w:rPr>
          <w:sz w:val="20"/>
          <w:szCs w:val="20"/>
          <w:color w:val="auto"/>
        </w:rPr>
      </w:pPr>
    </w:p>
    <w:p>
      <w:pPr>
        <w:spacing w:after="0"/>
        <w:rPr>
          <w:sz w:val="20"/>
          <w:szCs w:val="20"/>
          <w:color w:val="auto"/>
        </w:rPr>
      </w:pPr>
      <w:r>
        <w:rPr>
          <w:rFonts w:ascii="Verdana" w:cs="Verdana" w:eastAsia="Verdana" w:hAnsi="Verdana"/>
          <w:sz w:val="15"/>
          <w:szCs w:val="15"/>
          <w:b w:val="1"/>
          <w:bCs w:val="1"/>
          <w:color w:val="auto"/>
        </w:rPr>
        <w:t xml:space="preserve">Board </w:t>
      </w:r>
      <w:r>
        <w:rPr>
          <w:rFonts w:ascii="Verdana" w:cs="Verdana" w:eastAsia="Verdana" w:hAnsi="Verdana"/>
          <w:sz w:val="15"/>
          <w:szCs w:val="15"/>
          <w:color w:val="auto"/>
        </w:rPr>
        <w:t>means the Board of Directors of Halliburton Company.</w:t>
      </w:r>
    </w:p>
    <w:p>
      <w:pPr>
        <w:spacing w:after="0" w:line="204" w:lineRule="exact"/>
        <w:rPr>
          <w:sz w:val="20"/>
          <w:szCs w:val="20"/>
          <w:color w:val="auto"/>
        </w:rPr>
      </w:pPr>
    </w:p>
    <w:p>
      <w:pPr>
        <w:spacing w:after="0"/>
        <w:rPr>
          <w:sz w:val="20"/>
          <w:szCs w:val="20"/>
          <w:color w:val="auto"/>
        </w:rPr>
      </w:pPr>
      <w:r>
        <w:rPr>
          <w:rFonts w:ascii="Verdana" w:cs="Verdana" w:eastAsia="Verdana" w:hAnsi="Verdana"/>
          <w:sz w:val="15"/>
          <w:szCs w:val="15"/>
          <w:b w:val="1"/>
          <w:bCs w:val="1"/>
          <w:color w:val="auto"/>
        </w:rPr>
        <w:t xml:space="preserve">Company </w:t>
      </w:r>
      <w:r>
        <w:rPr>
          <w:rFonts w:ascii="Verdana" w:cs="Verdana" w:eastAsia="Verdana" w:hAnsi="Verdana"/>
          <w:sz w:val="15"/>
          <w:szCs w:val="15"/>
          <w:color w:val="auto"/>
        </w:rPr>
        <w:t>means Halliburton Company, a Delaware corporation, its successors and subsidiaries and their divisions.</w:t>
      </w:r>
    </w:p>
    <w:p>
      <w:pPr>
        <w:spacing w:after="0" w:line="204" w:lineRule="exact"/>
        <w:rPr>
          <w:sz w:val="20"/>
          <w:szCs w:val="20"/>
          <w:color w:val="auto"/>
        </w:rPr>
      </w:pPr>
    </w:p>
    <w:p>
      <w:pPr>
        <w:spacing w:after="0"/>
        <w:rPr>
          <w:sz w:val="20"/>
          <w:szCs w:val="20"/>
          <w:color w:val="auto"/>
        </w:rPr>
      </w:pPr>
      <w:r>
        <w:rPr>
          <w:rFonts w:ascii="Verdana" w:cs="Verdana" w:eastAsia="Verdana" w:hAnsi="Verdana"/>
          <w:sz w:val="15"/>
          <w:szCs w:val="15"/>
          <w:b w:val="1"/>
          <w:bCs w:val="1"/>
          <w:color w:val="auto"/>
        </w:rPr>
        <w:t xml:space="preserve">Compensation Eligible for Recovery </w:t>
      </w:r>
      <w:r>
        <w:rPr>
          <w:rFonts w:ascii="Verdana" w:cs="Verdana" w:eastAsia="Verdana" w:hAnsi="Verdana"/>
          <w:sz w:val="15"/>
          <w:szCs w:val="15"/>
          <w:color w:val="auto"/>
        </w:rPr>
        <w:t>means Incentive-based Compensation received on or after the Effective Date by an individual:</w:t>
      </w:r>
    </w:p>
    <w:p>
      <w:pPr>
        <w:spacing w:after="0" w:line="204" w:lineRule="exact"/>
        <w:rPr>
          <w:sz w:val="20"/>
          <w:szCs w:val="20"/>
          <w:color w:val="auto"/>
        </w:rPr>
      </w:pPr>
    </w:p>
    <w:p>
      <w:pPr>
        <w:ind w:left="620" w:hanging="307"/>
        <w:spacing w:after="0"/>
        <w:tabs>
          <w:tab w:leader="none" w:pos="620" w:val="left"/>
        </w:tabs>
        <w:numPr>
          <w:ilvl w:val="0"/>
          <w:numId w:val="116"/>
        </w:numPr>
        <w:rPr>
          <w:rFonts w:ascii="Verdana" w:cs="Verdana" w:eastAsia="Verdana" w:hAnsi="Verdana"/>
          <w:sz w:val="15"/>
          <w:szCs w:val="15"/>
          <w:color w:val="auto"/>
        </w:rPr>
      </w:pPr>
      <w:r>
        <w:rPr>
          <w:rFonts w:ascii="Verdana" w:cs="Verdana" w:eastAsia="Verdana" w:hAnsi="Verdana"/>
          <w:sz w:val="15"/>
          <w:szCs w:val="15"/>
          <w:color w:val="auto"/>
        </w:rPr>
        <w:t>after beginning service as an Executive Officer;</w:t>
      </w:r>
    </w:p>
    <w:p>
      <w:pPr>
        <w:spacing w:after="0" w:line="204" w:lineRule="exact"/>
        <w:rPr>
          <w:rFonts w:ascii="Verdana" w:cs="Verdana" w:eastAsia="Verdana" w:hAnsi="Verdana"/>
          <w:sz w:val="15"/>
          <w:szCs w:val="15"/>
          <w:color w:val="auto"/>
        </w:rPr>
      </w:pPr>
    </w:p>
    <w:p>
      <w:pPr>
        <w:ind w:left="620" w:right="300" w:hanging="307"/>
        <w:spacing w:after="0" w:line="224" w:lineRule="auto"/>
        <w:tabs>
          <w:tab w:leader="none" w:pos="620" w:val="left"/>
        </w:tabs>
        <w:numPr>
          <w:ilvl w:val="0"/>
          <w:numId w:val="116"/>
        </w:numPr>
        <w:rPr>
          <w:rFonts w:ascii="Verdana" w:cs="Verdana" w:eastAsia="Verdana" w:hAnsi="Verdana"/>
          <w:sz w:val="15"/>
          <w:szCs w:val="15"/>
          <w:color w:val="auto"/>
        </w:rPr>
      </w:pPr>
      <w:r>
        <w:rPr>
          <w:rFonts w:ascii="Verdana" w:cs="Verdana" w:eastAsia="Verdana" w:hAnsi="Verdana"/>
          <w:sz w:val="15"/>
          <w:szCs w:val="15"/>
          <w:color w:val="auto"/>
        </w:rPr>
        <w:t>who served as an Executive Officer at any time during the performance period for the applicable Incentive-based Compensation (regardless of whether such individual is serving as an Executive Officer at the time the Recoverable Compensation is required to be repaid to the Company);</w:t>
      </w:r>
    </w:p>
    <w:p>
      <w:pPr>
        <w:spacing w:after="0" w:line="185" w:lineRule="exact"/>
        <w:rPr>
          <w:rFonts w:ascii="Verdana" w:cs="Verdana" w:eastAsia="Verdana" w:hAnsi="Verdana"/>
          <w:sz w:val="15"/>
          <w:szCs w:val="15"/>
          <w:color w:val="auto"/>
        </w:rPr>
      </w:pPr>
    </w:p>
    <w:p>
      <w:pPr>
        <w:ind w:left="620" w:hanging="307"/>
        <w:spacing w:after="0"/>
        <w:tabs>
          <w:tab w:leader="none" w:pos="620" w:val="left"/>
        </w:tabs>
        <w:numPr>
          <w:ilvl w:val="0"/>
          <w:numId w:val="116"/>
        </w:numPr>
        <w:rPr>
          <w:rFonts w:ascii="Verdana" w:cs="Verdana" w:eastAsia="Verdana" w:hAnsi="Verdana"/>
          <w:sz w:val="15"/>
          <w:szCs w:val="15"/>
          <w:color w:val="auto"/>
        </w:rPr>
      </w:pPr>
      <w:r>
        <w:rPr>
          <w:rFonts w:ascii="Verdana" w:cs="Verdana" w:eastAsia="Verdana" w:hAnsi="Verdana"/>
          <w:sz w:val="15"/>
          <w:szCs w:val="15"/>
          <w:color w:val="auto"/>
        </w:rPr>
        <w:t>while the Company had a class of securities listed on a national securities exchange or a national securities association; and</w:t>
      </w:r>
    </w:p>
    <w:p>
      <w:pPr>
        <w:spacing w:after="0" w:line="204" w:lineRule="exact"/>
        <w:rPr>
          <w:rFonts w:ascii="Verdana" w:cs="Verdana" w:eastAsia="Verdana" w:hAnsi="Verdana"/>
          <w:sz w:val="15"/>
          <w:szCs w:val="15"/>
          <w:color w:val="auto"/>
        </w:rPr>
      </w:pPr>
    </w:p>
    <w:p>
      <w:pPr>
        <w:ind w:left="620" w:hanging="307"/>
        <w:spacing w:after="0"/>
        <w:tabs>
          <w:tab w:leader="none" w:pos="620" w:val="left"/>
        </w:tabs>
        <w:numPr>
          <w:ilvl w:val="0"/>
          <w:numId w:val="116"/>
        </w:numPr>
        <w:rPr>
          <w:rFonts w:ascii="Verdana" w:cs="Verdana" w:eastAsia="Verdana" w:hAnsi="Verdana"/>
          <w:sz w:val="15"/>
          <w:szCs w:val="15"/>
          <w:color w:val="auto"/>
        </w:rPr>
      </w:pPr>
      <w:r>
        <w:rPr>
          <w:rFonts w:ascii="Verdana" w:cs="Verdana" w:eastAsia="Verdana" w:hAnsi="Verdana"/>
          <w:sz w:val="15"/>
          <w:szCs w:val="15"/>
          <w:color w:val="auto"/>
        </w:rPr>
        <w:t>during the applicable Recovery Period.</w:t>
      </w:r>
    </w:p>
    <w:p>
      <w:pPr>
        <w:spacing w:after="0" w:line="204" w:lineRule="exact"/>
        <w:rPr>
          <w:sz w:val="20"/>
          <w:szCs w:val="20"/>
          <w:color w:val="auto"/>
        </w:rPr>
      </w:pPr>
    </w:p>
    <w:p>
      <w:pPr>
        <w:spacing w:after="0"/>
        <w:rPr>
          <w:sz w:val="20"/>
          <w:szCs w:val="20"/>
          <w:color w:val="auto"/>
        </w:rPr>
      </w:pPr>
      <w:r>
        <w:rPr>
          <w:rFonts w:ascii="Verdana" w:cs="Verdana" w:eastAsia="Verdana" w:hAnsi="Verdana"/>
          <w:sz w:val="15"/>
          <w:szCs w:val="15"/>
          <w:b w:val="1"/>
          <w:bCs w:val="1"/>
          <w:color w:val="auto"/>
        </w:rPr>
        <w:t xml:space="preserve">Effective Date </w:t>
      </w:r>
      <w:r>
        <w:rPr>
          <w:rFonts w:ascii="Verdana" w:cs="Verdana" w:eastAsia="Verdana" w:hAnsi="Verdana"/>
          <w:sz w:val="15"/>
          <w:szCs w:val="15"/>
          <w:color w:val="auto"/>
        </w:rPr>
        <w:t>means October 2, 2023.</w:t>
      </w:r>
    </w:p>
    <w:p>
      <w:pPr>
        <w:spacing w:after="0" w:line="204" w:lineRule="exact"/>
        <w:rPr>
          <w:sz w:val="20"/>
          <w:szCs w:val="20"/>
          <w:color w:val="auto"/>
        </w:rPr>
      </w:pPr>
    </w:p>
    <w:p>
      <w:pPr>
        <w:spacing w:after="0"/>
        <w:rPr>
          <w:sz w:val="20"/>
          <w:szCs w:val="20"/>
          <w:color w:val="auto"/>
        </w:rPr>
      </w:pPr>
      <w:r>
        <w:rPr>
          <w:rFonts w:ascii="Verdana" w:cs="Verdana" w:eastAsia="Verdana" w:hAnsi="Verdana"/>
          <w:sz w:val="15"/>
          <w:szCs w:val="15"/>
          <w:b w:val="1"/>
          <w:bCs w:val="1"/>
          <w:color w:val="auto"/>
        </w:rPr>
        <w:t xml:space="preserve">Executive Officer </w:t>
      </w:r>
      <w:r>
        <w:rPr>
          <w:rFonts w:ascii="Verdana" w:cs="Verdana" w:eastAsia="Verdana" w:hAnsi="Verdana"/>
          <w:sz w:val="15"/>
          <w:szCs w:val="15"/>
          <w:color w:val="auto"/>
        </w:rPr>
        <w:t>means the Company’s president; principal financial officer; principal accounting officer (or if there is no such accounting</w:t>
      </w:r>
      <w:r>
        <w:rPr>
          <w:rFonts w:ascii="Verdana" w:cs="Verdana" w:eastAsia="Verdana" w:hAnsi="Verdana"/>
          <w:sz w:val="15"/>
          <w:szCs w:val="15"/>
          <w:b w:val="1"/>
          <w:bCs w:val="1"/>
          <w:color w:val="auto"/>
        </w:rPr>
        <w:t xml:space="preserve"> </w:t>
      </w:r>
      <w:r>
        <w:rPr>
          <w:rFonts w:ascii="Verdana" w:cs="Verdana" w:eastAsia="Verdana" w:hAnsi="Verdana"/>
          <w:sz w:val="15"/>
          <w:szCs w:val="15"/>
          <w:color w:val="auto"/>
        </w:rPr>
        <w:t>officer, the controller); any vice president of the Company in charge of a principal business unit, division, or function (such as sales, administration, or finance); and any other officers who perform significant policy-making functions for the Company. For purposes of this policy, Executive Officers will include, at a minimum, executive officers identified pursuant to Item 401(b) of Regulation S-K in the Company’s annual report on Form 10-K.</w:t>
      </w:r>
    </w:p>
    <w:p>
      <w:pPr>
        <w:spacing w:after="0" w:line="276" w:lineRule="exact"/>
        <w:rPr>
          <w:sz w:val="20"/>
          <w:szCs w:val="20"/>
          <w:color w:val="auto"/>
        </w:rPr>
      </w:pPr>
    </w:p>
    <w:p>
      <w:pPr>
        <w:ind w:right="260"/>
        <w:spacing w:after="0" w:line="219" w:lineRule="auto"/>
        <w:rPr>
          <w:sz w:val="20"/>
          <w:szCs w:val="20"/>
          <w:color w:val="auto"/>
        </w:rPr>
      </w:pPr>
      <w:r>
        <w:rPr>
          <w:rFonts w:ascii="Verdana" w:cs="Verdana" w:eastAsia="Verdana" w:hAnsi="Verdana"/>
          <w:sz w:val="15"/>
          <w:szCs w:val="15"/>
          <w:b w:val="1"/>
          <w:bCs w:val="1"/>
          <w:color w:val="auto"/>
        </w:rPr>
        <w:t xml:space="preserve">Financial Reporting Measure </w:t>
      </w:r>
      <w:r>
        <w:rPr>
          <w:rFonts w:ascii="Verdana" w:cs="Verdana" w:eastAsia="Verdana" w:hAnsi="Verdana"/>
          <w:sz w:val="15"/>
          <w:szCs w:val="15"/>
          <w:color w:val="auto"/>
        </w:rPr>
        <w:t>means measures that are determined and presented in accordance with the accounting principles used in</w:t>
      </w:r>
      <w:r>
        <w:rPr>
          <w:rFonts w:ascii="Verdana" w:cs="Verdana" w:eastAsia="Verdana" w:hAnsi="Verdana"/>
          <w:sz w:val="15"/>
          <w:szCs w:val="15"/>
          <w:b w:val="1"/>
          <w:bCs w:val="1"/>
          <w:color w:val="auto"/>
        </w:rPr>
        <w:t xml:space="preserve"> </w:t>
      </w:r>
      <w:r>
        <w:rPr>
          <w:rFonts w:ascii="Verdana" w:cs="Verdana" w:eastAsia="Verdana" w:hAnsi="Verdana"/>
          <w:sz w:val="15"/>
          <w:szCs w:val="15"/>
          <w:color w:val="auto"/>
        </w:rPr>
        <w:t>preparing Halliburton Company’s financial statements and any measures that are derived wholly or in part from such measures. Stock price and total shareholder return will also be considered Financial Reporting Measures. For the avoidance of doubt, a Financial Reporting Measure need not be presented within the financial statements or included in a filing with the SEC.</w:t>
      </w:r>
    </w:p>
    <w:p>
      <w:pPr>
        <w:spacing w:after="0" w:line="185" w:lineRule="exact"/>
        <w:rPr>
          <w:sz w:val="20"/>
          <w:szCs w:val="20"/>
          <w:color w:val="auto"/>
        </w:rPr>
      </w:pPr>
    </w:p>
    <w:p>
      <w:pPr>
        <w:ind w:right="120"/>
        <w:spacing w:after="0" w:line="234" w:lineRule="auto"/>
        <w:rPr>
          <w:sz w:val="20"/>
          <w:szCs w:val="20"/>
          <w:color w:val="auto"/>
        </w:rPr>
      </w:pPr>
      <w:r>
        <w:rPr>
          <w:rFonts w:ascii="Verdana" w:cs="Verdana" w:eastAsia="Verdana" w:hAnsi="Verdana"/>
          <w:sz w:val="15"/>
          <w:szCs w:val="15"/>
          <w:b w:val="1"/>
          <w:bCs w:val="1"/>
          <w:color w:val="auto"/>
        </w:rPr>
        <w:t xml:space="preserve">Incentive-based Compensation </w:t>
      </w:r>
      <w:r>
        <w:rPr>
          <w:rFonts w:ascii="Verdana" w:cs="Verdana" w:eastAsia="Verdana" w:hAnsi="Verdana"/>
          <w:sz w:val="15"/>
          <w:szCs w:val="15"/>
          <w:color w:val="auto"/>
        </w:rPr>
        <w:t>means any compensation that is granted, earned, or vested based wholly or in part upon the attainment of</w:t>
      </w:r>
      <w:r>
        <w:rPr>
          <w:rFonts w:ascii="Verdana" w:cs="Verdana" w:eastAsia="Verdana" w:hAnsi="Verdana"/>
          <w:sz w:val="15"/>
          <w:szCs w:val="15"/>
          <w:b w:val="1"/>
          <w:bCs w:val="1"/>
          <w:color w:val="auto"/>
        </w:rPr>
        <w:t xml:space="preserve"> </w:t>
      </w:r>
      <w:r>
        <w:rPr>
          <w:rFonts w:ascii="Verdana" w:cs="Verdana" w:eastAsia="Verdana" w:hAnsi="Verdana"/>
          <w:sz w:val="15"/>
          <w:szCs w:val="15"/>
          <w:color w:val="auto"/>
        </w:rPr>
        <w:t>a Financial Reporting Measure.</w:t>
      </w:r>
    </w:p>
    <w:p>
      <w:pPr>
        <w:spacing w:after="0" w:line="186" w:lineRule="exact"/>
        <w:rPr>
          <w:sz w:val="20"/>
          <w:szCs w:val="20"/>
          <w:color w:val="auto"/>
        </w:rPr>
      </w:pPr>
    </w:p>
    <w:p>
      <w:pPr>
        <w:ind w:right="400"/>
        <w:spacing w:after="0" w:line="234" w:lineRule="auto"/>
        <w:rPr>
          <w:sz w:val="20"/>
          <w:szCs w:val="20"/>
          <w:color w:val="auto"/>
        </w:rPr>
      </w:pPr>
      <w:r>
        <w:rPr>
          <w:rFonts w:ascii="Verdana" w:cs="Verdana" w:eastAsia="Verdana" w:hAnsi="Verdana"/>
          <w:sz w:val="15"/>
          <w:szCs w:val="15"/>
          <w:b w:val="1"/>
          <w:bCs w:val="1"/>
          <w:color w:val="auto"/>
        </w:rPr>
        <w:t xml:space="preserve">Recoverable Compensation </w:t>
      </w:r>
      <w:r>
        <w:rPr>
          <w:rFonts w:ascii="Verdana" w:cs="Verdana" w:eastAsia="Verdana" w:hAnsi="Verdana"/>
          <w:sz w:val="15"/>
          <w:szCs w:val="15"/>
          <w:color w:val="auto"/>
        </w:rPr>
        <w:t>means the Compensation Eligible for Recovery less the amount of such compensation as it would have been</w:t>
      </w:r>
      <w:r>
        <w:rPr>
          <w:rFonts w:ascii="Verdana" w:cs="Verdana" w:eastAsia="Verdana" w:hAnsi="Verdana"/>
          <w:sz w:val="15"/>
          <w:szCs w:val="15"/>
          <w:b w:val="1"/>
          <w:bCs w:val="1"/>
          <w:color w:val="auto"/>
        </w:rPr>
        <w:t xml:space="preserve"> </w:t>
      </w:r>
      <w:r>
        <w:rPr>
          <w:rFonts w:ascii="Verdana" w:cs="Verdana" w:eastAsia="Verdana" w:hAnsi="Verdana"/>
          <w:sz w:val="15"/>
          <w:szCs w:val="15"/>
          <w:color w:val="auto"/>
        </w:rPr>
        <w:t>determined based on the restated amounts, computed without regard to any taxes paid.</w:t>
      </w:r>
    </w:p>
    <w:p>
      <w:pPr>
        <w:spacing w:after="0" w:line="186" w:lineRule="exact"/>
        <w:rPr>
          <w:sz w:val="20"/>
          <w:szCs w:val="20"/>
          <w:color w:val="auto"/>
        </w:rPr>
      </w:pPr>
    </w:p>
    <w:p>
      <w:pPr>
        <w:ind w:right="100"/>
        <w:spacing w:after="0"/>
        <w:rPr>
          <w:sz w:val="20"/>
          <w:szCs w:val="20"/>
          <w:color w:val="auto"/>
        </w:rPr>
      </w:pPr>
      <w:r>
        <w:rPr>
          <w:rFonts w:ascii="Verdana" w:cs="Verdana" w:eastAsia="Verdana" w:hAnsi="Verdana"/>
          <w:sz w:val="15"/>
          <w:szCs w:val="15"/>
          <w:b w:val="1"/>
          <w:bCs w:val="1"/>
          <w:color w:val="auto"/>
        </w:rPr>
        <w:t xml:space="preserve">Recovery Period </w:t>
      </w:r>
      <w:r>
        <w:rPr>
          <w:rFonts w:ascii="Verdana" w:cs="Verdana" w:eastAsia="Verdana" w:hAnsi="Verdana"/>
          <w:sz w:val="15"/>
          <w:szCs w:val="15"/>
          <w:color w:val="auto"/>
        </w:rPr>
        <w:t>means the three completed fiscal years immediately preceding the Restatement Date and any transition period (that results</w:t>
      </w:r>
      <w:r>
        <w:rPr>
          <w:rFonts w:ascii="Verdana" w:cs="Verdana" w:eastAsia="Verdana" w:hAnsi="Verdana"/>
          <w:sz w:val="15"/>
          <w:szCs w:val="15"/>
          <w:b w:val="1"/>
          <w:bCs w:val="1"/>
          <w:color w:val="auto"/>
        </w:rPr>
        <w:t xml:space="preserve"> </w:t>
      </w:r>
      <w:r>
        <w:rPr>
          <w:rFonts w:ascii="Verdana" w:cs="Verdana" w:eastAsia="Verdana" w:hAnsi="Verdana"/>
          <w:sz w:val="15"/>
          <w:szCs w:val="15"/>
          <w:color w:val="auto"/>
        </w:rPr>
        <w:t>from a change in Halliburton Company’s fiscal year) of less than nine months within or immediately following those three completed fiscal years.</w:t>
      </w:r>
    </w:p>
    <w:p>
      <w:pPr>
        <w:spacing w:after="0" w:line="332" w:lineRule="exact"/>
        <w:rPr>
          <w:sz w:val="20"/>
          <w:szCs w:val="20"/>
          <w:color w:val="auto"/>
        </w:rPr>
      </w:pPr>
    </w:p>
    <w:p>
      <w:pPr>
        <w:ind w:right="180"/>
        <w:spacing w:after="0" w:line="219" w:lineRule="auto"/>
        <w:rPr>
          <w:sz w:val="20"/>
          <w:szCs w:val="20"/>
          <w:color w:val="auto"/>
        </w:rPr>
      </w:pPr>
      <w:r>
        <w:rPr>
          <w:rFonts w:ascii="Verdana" w:cs="Verdana" w:eastAsia="Verdana" w:hAnsi="Verdana"/>
          <w:sz w:val="15"/>
          <w:szCs w:val="15"/>
          <w:b w:val="1"/>
          <w:bCs w:val="1"/>
          <w:color w:val="auto"/>
        </w:rPr>
        <w:t xml:space="preserve">Restatement </w:t>
      </w:r>
      <w:r>
        <w:rPr>
          <w:rFonts w:ascii="Verdana" w:cs="Verdana" w:eastAsia="Verdana" w:hAnsi="Verdana"/>
          <w:sz w:val="15"/>
          <w:szCs w:val="15"/>
          <w:color w:val="auto"/>
        </w:rPr>
        <w:t>means an accounting restatement (1) due to material noncompliance of Halliburton Company with any financial reporting</w:t>
      </w:r>
      <w:r>
        <w:rPr>
          <w:rFonts w:ascii="Verdana" w:cs="Verdana" w:eastAsia="Verdana" w:hAnsi="Verdana"/>
          <w:sz w:val="15"/>
          <w:szCs w:val="15"/>
          <w:b w:val="1"/>
          <w:bCs w:val="1"/>
          <w:color w:val="auto"/>
        </w:rPr>
        <w:t xml:space="preserve"> </w:t>
      </w:r>
      <w:r>
        <w:rPr>
          <w:rFonts w:ascii="Verdana" w:cs="Verdana" w:eastAsia="Verdana" w:hAnsi="Verdana"/>
          <w:sz w:val="15"/>
          <w:szCs w:val="15"/>
          <w:color w:val="auto"/>
        </w:rPr>
        <w:t>requirement under the securities laws, including any required accounting restatement to correct an error in previously issued financial statements that is material to the previously issued financial statements, or (2) that would result in a material misstatement if the error were corrected in the current period or left uncorrected in the current period.</w:t>
      </w:r>
    </w:p>
    <w:p>
      <w:pPr>
        <w:spacing w:after="0" w:line="185" w:lineRule="exact"/>
        <w:rPr>
          <w:sz w:val="20"/>
          <w:szCs w:val="20"/>
          <w:color w:val="auto"/>
        </w:rPr>
      </w:pPr>
    </w:p>
    <w:p>
      <w:pPr>
        <w:ind w:right="40"/>
        <w:spacing w:after="0" w:line="224" w:lineRule="auto"/>
        <w:rPr>
          <w:sz w:val="20"/>
          <w:szCs w:val="20"/>
          <w:color w:val="auto"/>
        </w:rPr>
      </w:pPr>
      <w:r>
        <w:rPr>
          <w:rFonts w:ascii="Verdana" w:cs="Verdana" w:eastAsia="Verdana" w:hAnsi="Verdana"/>
          <w:sz w:val="15"/>
          <w:szCs w:val="15"/>
          <w:b w:val="1"/>
          <w:bCs w:val="1"/>
          <w:color w:val="auto"/>
        </w:rPr>
        <w:t xml:space="preserve">Restatement Date </w:t>
      </w:r>
      <w:r>
        <w:rPr>
          <w:rFonts w:ascii="Verdana" w:cs="Verdana" w:eastAsia="Verdana" w:hAnsi="Verdana"/>
          <w:sz w:val="15"/>
          <w:szCs w:val="15"/>
          <w:color w:val="auto"/>
        </w:rPr>
        <w:t>means the earlier of (1) the date the Audit Committee concludes, or reasonably should have concluded, that Halliburton</w:t>
      </w:r>
      <w:r>
        <w:rPr>
          <w:rFonts w:ascii="Verdana" w:cs="Verdana" w:eastAsia="Verdana" w:hAnsi="Verdana"/>
          <w:sz w:val="15"/>
          <w:szCs w:val="15"/>
          <w:b w:val="1"/>
          <w:bCs w:val="1"/>
          <w:color w:val="auto"/>
        </w:rPr>
        <w:t xml:space="preserve"> </w:t>
      </w:r>
      <w:r>
        <w:rPr>
          <w:rFonts w:ascii="Verdana" w:cs="Verdana" w:eastAsia="Verdana" w:hAnsi="Verdana"/>
          <w:sz w:val="15"/>
          <w:szCs w:val="15"/>
          <w:color w:val="auto"/>
        </w:rPr>
        <w:t>Company is required to prepare a Restatement, or (2) the date a court, regulator, or other legally authorized body directs Halliburton Company to prepare a Restatement.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Verdana" w:cs="Verdana" w:eastAsia="Verdana" w:hAnsi="Verdana"/>
          <w:sz w:val="15"/>
          <w:szCs w:val="15"/>
          <w:b w:val="1"/>
          <w:bCs w:val="1"/>
          <w:color w:val="auto"/>
        </w:rPr>
        <w:t xml:space="preserve">APPROVED BY: </w:t>
      </w:r>
      <w:r>
        <w:rPr>
          <w:rFonts w:ascii="Verdana" w:cs="Verdana" w:eastAsia="Verdana" w:hAnsi="Verdana"/>
          <w:sz w:val="15"/>
          <w:szCs w:val="15"/>
          <w:color w:val="auto"/>
        </w:rPr>
        <w:t>Board of Directors</w:t>
      </w:r>
    </w:p>
    <w:p>
      <w:pPr>
        <w:spacing w:after="0" w:line="204" w:lineRule="exact"/>
        <w:rPr>
          <w:sz w:val="20"/>
          <w:szCs w:val="20"/>
          <w:color w:val="auto"/>
        </w:rPr>
      </w:pPr>
    </w:p>
    <w:p>
      <w:pPr>
        <w:spacing w:after="0"/>
        <w:rPr>
          <w:sz w:val="20"/>
          <w:szCs w:val="20"/>
          <w:color w:val="auto"/>
        </w:rPr>
      </w:pPr>
      <w:r>
        <w:rPr>
          <w:rFonts w:ascii="Verdana" w:cs="Verdana" w:eastAsia="Verdana" w:hAnsi="Verdana"/>
          <w:sz w:val="15"/>
          <w:szCs w:val="15"/>
          <w:color w:val="auto"/>
        </w:rPr>
        <w:t>For further assistance: FHOUPOLICY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Verdana" w:cs="Verdana" w:eastAsia="Verdana" w:hAnsi="Verdana"/>
          <w:sz w:val="13"/>
          <w:szCs w:val="13"/>
          <w:color w:val="auto"/>
        </w:rPr>
        <w:t xml:space="preserve">Page </w:t>
      </w:r>
      <w:r>
        <w:rPr>
          <w:rFonts w:ascii="Verdana" w:cs="Verdana" w:eastAsia="Verdana" w:hAnsi="Verdana"/>
          <w:sz w:val="13"/>
          <w:szCs w:val="13"/>
          <w:b w:val="1"/>
          <w:bCs w:val="1"/>
          <w:color w:val="auto"/>
        </w:rPr>
        <w:t>3</w:t>
      </w:r>
      <w:r>
        <w:rPr>
          <w:rFonts w:ascii="Verdana" w:cs="Verdana" w:eastAsia="Verdana" w:hAnsi="Verdana"/>
          <w:sz w:val="13"/>
          <w:szCs w:val="13"/>
          <w:color w:val="auto"/>
        </w:rPr>
        <w:t xml:space="preserve"> of </w:t>
      </w:r>
      <w:r>
        <w:rPr>
          <w:rFonts w:ascii="Verdana" w:cs="Verdana" w:eastAsia="Verdana" w:hAnsi="Verdana"/>
          <w:sz w:val="13"/>
          <w:szCs w:val="13"/>
          <w:b w:val="1"/>
          <w:bCs w:val="1"/>
          <w:color w:val="auto"/>
        </w:rPr>
        <w:t>4</w:t>
      </w:r>
    </w:p>
    <w:p>
      <w:pPr>
        <w:sectPr>
          <w:pgSz w:w="11900" w:h="16838" w:orient="portrait"/>
          <w:cols w:equalWidth="0" w:num="1">
            <w:col w:w="11240"/>
          </w:cols>
          <w:pgMar w:left="320" w:top="1440" w:right="339" w:bottom="1440" w:gutter="0" w:footer="0" w:header="0"/>
          <w:type w:val="continuous"/>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Verdana" w:cs="Verdana" w:eastAsia="Verdana" w:hAnsi="Verdana"/>
          <w:sz w:val="15"/>
          <w:szCs w:val="15"/>
          <w:b w:val="1"/>
          <w:bCs w:val="1"/>
          <w:color w:val="auto"/>
        </w:rPr>
        <w:t>EXHIBIT A</w:t>
      </w:r>
    </w:p>
    <w:p>
      <w:pPr>
        <w:spacing w:after="0" w:line="204" w:lineRule="exact"/>
        <w:rPr>
          <w:sz w:val="20"/>
          <w:szCs w:val="20"/>
          <w:color w:val="auto"/>
        </w:rPr>
      </w:pPr>
    </w:p>
    <w:p>
      <w:pPr>
        <w:jc w:val="center"/>
        <w:ind w:right="-19"/>
        <w:spacing w:after="0"/>
        <w:rPr>
          <w:sz w:val="20"/>
          <w:szCs w:val="20"/>
          <w:color w:val="auto"/>
        </w:rPr>
      </w:pPr>
      <w:r>
        <w:rPr>
          <w:rFonts w:ascii="Verdana" w:cs="Verdana" w:eastAsia="Verdana" w:hAnsi="Verdana"/>
          <w:sz w:val="15"/>
          <w:szCs w:val="15"/>
          <w:b w:val="1"/>
          <w:bCs w:val="1"/>
          <w:color w:val="auto"/>
        </w:rPr>
        <w:t>HALLIBURTON COMPANY POLICY FOR THE RECOUPMENT OF INCENTIVE COMPENSATION FOLLOWING A RESTATEMENT</w:t>
      </w:r>
    </w:p>
    <w:p>
      <w:pPr>
        <w:spacing w:after="0" w:line="204" w:lineRule="exact"/>
        <w:rPr>
          <w:sz w:val="20"/>
          <w:szCs w:val="20"/>
          <w:color w:val="auto"/>
        </w:rPr>
      </w:pPr>
    </w:p>
    <w:p>
      <w:pPr>
        <w:jc w:val="center"/>
        <w:ind w:right="-19"/>
        <w:spacing w:after="0"/>
        <w:rPr>
          <w:sz w:val="20"/>
          <w:szCs w:val="20"/>
          <w:color w:val="auto"/>
        </w:rPr>
      </w:pPr>
      <w:r>
        <w:rPr>
          <w:rFonts w:ascii="Verdana" w:cs="Verdana" w:eastAsia="Verdana" w:hAnsi="Verdana"/>
          <w:sz w:val="15"/>
          <w:szCs w:val="15"/>
          <w:b w:val="1"/>
          <w:bCs w:val="1"/>
          <w:color w:val="auto"/>
        </w:rPr>
        <w:t>ACKNOWLEDGEMENT FORM</w:t>
      </w:r>
    </w:p>
    <w:p>
      <w:pPr>
        <w:spacing w:after="0" w:line="204" w:lineRule="exact"/>
        <w:rPr>
          <w:sz w:val="20"/>
          <w:szCs w:val="20"/>
          <w:color w:val="auto"/>
        </w:rPr>
      </w:pPr>
    </w:p>
    <w:p>
      <w:pPr>
        <w:spacing w:after="0" w:line="224" w:lineRule="auto"/>
        <w:rPr>
          <w:sz w:val="20"/>
          <w:szCs w:val="20"/>
          <w:color w:val="auto"/>
        </w:rPr>
      </w:pPr>
      <w:r>
        <w:rPr>
          <w:rFonts w:ascii="Verdana" w:cs="Verdana" w:eastAsia="Verdana" w:hAnsi="Verdana"/>
          <w:sz w:val="15"/>
          <w:szCs w:val="15"/>
          <w:color w:val="auto"/>
        </w:rPr>
        <w:t>By signing below, the undersigned acknowledges and confirms the undersigned has received and reviewed a copy of the Halliburton Company policy for the Recoupment of Incentive Compensation Following a Restatement (the policy). Capitalized terms used but not otherwise defined in this Acknowledgement Form shall have the meanings ascribed to such terms in the policy.</w:t>
      </w:r>
    </w:p>
    <w:p>
      <w:pPr>
        <w:spacing w:after="0" w:line="186" w:lineRule="exact"/>
        <w:rPr>
          <w:sz w:val="20"/>
          <w:szCs w:val="20"/>
          <w:color w:val="auto"/>
        </w:rPr>
      </w:pPr>
    </w:p>
    <w:p>
      <w:pPr>
        <w:spacing w:after="0" w:line="213" w:lineRule="auto"/>
        <w:rPr>
          <w:sz w:val="20"/>
          <w:szCs w:val="20"/>
          <w:color w:val="auto"/>
        </w:rPr>
      </w:pPr>
      <w:r>
        <w:rPr>
          <w:rFonts w:ascii="Verdana" w:cs="Verdana" w:eastAsia="Verdana" w:hAnsi="Verdana"/>
          <w:sz w:val="15"/>
          <w:szCs w:val="15"/>
          <w:color w:val="auto"/>
        </w:rPr>
        <w:t>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Recoverable Compensation (as defined in the policy) to the Company to the extent required by, and in a manner permitted by, the policy. For the avoidance of doubt, any recovery affected under the policy shall not, in itself, constitute grounds to terminate the undersigned’s employment for “Good Reason” (or any term of similar meaning) under any employment or compensation arrangements, agreements, plans, or programs.</w:t>
      </w:r>
    </w:p>
    <w:p>
      <w:pPr>
        <w:spacing w:after="0" w:line="200" w:lineRule="exact"/>
        <w:rPr>
          <w:sz w:val="20"/>
          <w:szCs w:val="20"/>
          <w:color w:val="auto"/>
        </w:rPr>
      </w:pPr>
    </w:p>
    <w:p>
      <w:pPr>
        <w:spacing w:after="0" w:line="299" w:lineRule="exact"/>
        <w:rPr>
          <w:sz w:val="20"/>
          <w:szCs w:val="20"/>
          <w:color w:val="auto"/>
        </w:rPr>
      </w:pPr>
    </w:p>
    <w:p>
      <w:pPr>
        <w:ind w:left="3540"/>
        <w:spacing w:after="0"/>
        <w:rPr>
          <w:sz w:val="20"/>
          <w:szCs w:val="20"/>
          <w:color w:val="auto"/>
        </w:rPr>
      </w:pPr>
      <w:r>
        <w:rPr>
          <w:rFonts w:ascii="Verdana" w:cs="Verdana" w:eastAsia="Verdana" w:hAnsi="Verdana"/>
          <w:sz w:val="15"/>
          <w:szCs w:val="15"/>
          <w:color w:val="auto"/>
        </w:rPr>
        <w:t>____________________________________</w:t>
      </w:r>
    </w:p>
    <w:p>
      <w:pPr>
        <w:spacing w:after="0" w:line="76" w:lineRule="exact"/>
        <w:rPr>
          <w:sz w:val="20"/>
          <w:szCs w:val="20"/>
          <w:color w:val="auto"/>
        </w:rPr>
      </w:pPr>
    </w:p>
    <w:p>
      <w:pPr>
        <w:ind w:left="3540"/>
        <w:spacing w:after="0"/>
        <w:rPr>
          <w:sz w:val="20"/>
          <w:szCs w:val="20"/>
          <w:color w:val="auto"/>
        </w:rPr>
      </w:pPr>
      <w:r>
        <w:rPr>
          <w:rFonts w:ascii="Verdana" w:cs="Verdana" w:eastAsia="Verdana" w:hAnsi="Verdana"/>
          <w:sz w:val="15"/>
          <w:szCs w:val="15"/>
          <w:color w:val="auto"/>
        </w:rPr>
        <w:t>Signed</w:t>
      </w:r>
    </w:p>
    <w:p>
      <w:pPr>
        <w:spacing w:after="0" w:line="243" w:lineRule="exact"/>
        <w:rPr>
          <w:sz w:val="20"/>
          <w:szCs w:val="20"/>
          <w:color w:val="auto"/>
        </w:rPr>
      </w:pPr>
    </w:p>
    <w:p>
      <w:pPr>
        <w:ind w:left="3540"/>
        <w:spacing w:after="0"/>
        <w:rPr>
          <w:sz w:val="20"/>
          <w:szCs w:val="20"/>
          <w:color w:val="auto"/>
        </w:rPr>
      </w:pPr>
      <w:r>
        <w:rPr>
          <w:rFonts w:ascii="Verdana" w:cs="Verdana" w:eastAsia="Verdana" w:hAnsi="Verdana"/>
          <w:sz w:val="15"/>
          <w:szCs w:val="15"/>
          <w:color w:val="auto"/>
        </w:rPr>
        <w:t>____________________________________</w:t>
      </w:r>
    </w:p>
    <w:p>
      <w:pPr>
        <w:spacing w:after="0" w:line="76" w:lineRule="exact"/>
        <w:rPr>
          <w:sz w:val="20"/>
          <w:szCs w:val="20"/>
          <w:color w:val="auto"/>
        </w:rPr>
      </w:pPr>
    </w:p>
    <w:p>
      <w:pPr>
        <w:ind w:left="3540"/>
        <w:spacing w:after="0"/>
        <w:rPr>
          <w:sz w:val="20"/>
          <w:szCs w:val="20"/>
          <w:color w:val="auto"/>
        </w:rPr>
      </w:pPr>
      <w:r>
        <w:rPr>
          <w:rFonts w:ascii="Verdana" w:cs="Verdana" w:eastAsia="Verdana" w:hAnsi="Verdana"/>
          <w:sz w:val="15"/>
          <w:szCs w:val="15"/>
          <w:color w:val="auto"/>
        </w:rPr>
        <w:t>Name (Printed)</w:t>
      </w:r>
    </w:p>
    <w:p>
      <w:pPr>
        <w:spacing w:after="0" w:line="243" w:lineRule="exact"/>
        <w:rPr>
          <w:sz w:val="20"/>
          <w:szCs w:val="20"/>
          <w:color w:val="auto"/>
        </w:rPr>
      </w:pPr>
    </w:p>
    <w:p>
      <w:pPr>
        <w:ind w:left="3540"/>
        <w:spacing w:after="0"/>
        <w:rPr>
          <w:sz w:val="20"/>
          <w:szCs w:val="20"/>
          <w:color w:val="auto"/>
        </w:rPr>
      </w:pPr>
      <w:r>
        <w:rPr>
          <w:rFonts w:ascii="Verdana" w:cs="Verdana" w:eastAsia="Verdana" w:hAnsi="Verdana"/>
          <w:sz w:val="15"/>
          <w:szCs w:val="15"/>
          <w:color w:val="auto"/>
        </w:rPr>
        <w:t>____________________________________</w:t>
      </w:r>
    </w:p>
    <w:p>
      <w:pPr>
        <w:spacing w:after="0" w:line="76" w:lineRule="exact"/>
        <w:rPr>
          <w:sz w:val="20"/>
          <w:szCs w:val="20"/>
          <w:color w:val="auto"/>
        </w:rPr>
      </w:pPr>
    </w:p>
    <w:p>
      <w:pPr>
        <w:ind w:left="3540"/>
        <w:spacing w:after="0"/>
        <w:rPr>
          <w:sz w:val="20"/>
          <w:szCs w:val="20"/>
          <w:color w:val="auto"/>
        </w:rPr>
      </w:pPr>
      <w:r>
        <w:rPr>
          <w:rFonts w:ascii="Verdana" w:cs="Verdana" w:eastAsia="Verdana" w:hAnsi="Verdana"/>
          <w:sz w:val="15"/>
          <w:szCs w:val="15"/>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Verdana" w:cs="Verdana" w:eastAsia="Verdana" w:hAnsi="Verdana"/>
          <w:sz w:val="14"/>
          <w:szCs w:val="14"/>
          <w:color w:val="auto"/>
        </w:rPr>
        <w:t xml:space="preserve">Page </w:t>
      </w:r>
      <w:r>
        <w:rPr>
          <w:rFonts w:ascii="Verdana" w:cs="Verdana" w:eastAsia="Verdana" w:hAnsi="Verdana"/>
          <w:sz w:val="14"/>
          <w:szCs w:val="14"/>
          <w:b w:val="1"/>
          <w:bCs w:val="1"/>
          <w:color w:val="auto"/>
        </w:rPr>
        <w:t>4</w:t>
      </w:r>
      <w:r>
        <w:rPr>
          <w:rFonts w:ascii="Verdana" w:cs="Verdana" w:eastAsia="Verdana" w:hAnsi="Verdana"/>
          <w:sz w:val="14"/>
          <w:szCs w:val="14"/>
          <w:color w:val="auto"/>
        </w:rPr>
        <w:t xml:space="preserve"> of </w:t>
      </w:r>
      <w:r>
        <w:rPr>
          <w:rFonts w:ascii="Verdana" w:cs="Verdana" w:eastAsia="Verdana" w:hAnsi="Verdana"/>
          <w:sz w:val="14"/>
          <w:szCs w:val="14"/>
          <w:b w:val="1"/>
          <w:bCs w:val="1"/>
          <w:color w:val="auto"/>
        </w:rPr>
        <w:t>4</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lvl w:ilvl="1">
      <w:lvlJc w:val="left"/>
      <w:lvlText w:val="•"/>
      <w:numFmt w:val="bullet"/>
      <w:start w:val="1"/>
    </w:lvl>
  </w:abstractNum>
  <w:abstractNum w:abstractNumId="3">
    <w:nsid w:val="741226BB"/>
    <w:multiLevelType w:val="hybridMultilevel"/>
    <w:lvl w:ilvl="0">
      <w:lvlJc w:val="left"/>
      <w:lvlText w:val="-"/>
      <w:numFmt w:val="bullet"/>
      <w:start w:val="1"/>
    </w:lvl>
    <w:lvl w:ilvl="1">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lvl w:ilvl="1">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endash "/>
      <w:numFmt w:val="bullet"/>
      <w:start w:val="1"/>
    </w:lvl>
  </w:abstractNum>
  <w:abstractNum w:abstractNumId="17">
    <w:nsid w:val="1F48EAA1"/>
    <w:multiLevelType w:val="hybridMultilevel"/>
    <w:lvl w:ilvl="0">
      <w:lvlJc w:val="left"/>
      <w:lvlText w:val="(%1)"/>
      <w:numFmt w:val="lowerLetter"/>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1)"/>
      <w:numFmt w:val="decimal"/>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1)"/>
      <w:numFmt w:val="lowerLetter"/>
      <w:start w:val="1"/>
    </w:lvl>
  </w:abstractNum>
  <w:abstractNum w:abstractNumId="27">
    <w:nsid w:val="42C296BD"/>
    <w:multiLevelType w:val="hybridMultilevel"/>
    <w:lvl w:ilvl="0">
      <w:lvlJc w:val="left"/>
      <w:lvlText w:val="(%1)"/>
      <w:numFmt w:val="lowerLetter"/>
      <w:start w:val="3"/>
    </w:lvl>
  </w:abstractNum>
  <w:abstractNum w:abstractNumId="28">
    <w:nsid w:val="168E121F"/>
    <w:multiLevelType w:val="hybridMultilevel"/>
    <w:lvl w:ilvl="0">
      <w:lvlJc w:val="left"/>
      <w:lvlText w:val="(%1)"/>
      <w:numFmt w:val="lowerLetter"/>
      <w:start w:val="1"/>
    </w:lvl>
  </w:abstractNum>
  <w:abstractNum w:abstractNumId="29">
    <w:nsid w:val="1EBA5D23"/>
    <w:multiLevelType w:val="hybridMultilevel"/>
    <w:lvl w:ilvl="0">
      <w:lvlJc w:val="left"/>
      <w:lvlText w:val="(%1)"/>
      <w:numFmt w:val="lowerLetter"/>
      <w:start w:val="1"/>
    </w:lvl>
  </w:abstractNum>
  <w:abstractNum w:abstractNumId="30">
    <w:nsid w:val="661E3F1E"/>
    <w:multiLevelType w:val="hybridMultilevel"/>
    <w:lvl w:ilvl="0">
      <w:lvlJc w:val="left"/>
      <w:lvlText w:val="(%1)"/>
      <w:numFmt w:val="lowerLetter"/>
      <w:start w:val="1"/>
    </w:lvl>
  </w:abstractNum>
  <w:abstractNum w:abstractNumId="31">
    <w:nsid w:val="5DC79EA8"/>
    <w:multiLevelType w:val="hybridMultilevel"/>
    <w:lvl w:ilvl="0">
      <w:lvlJc w:val="left"/>
      <w:lvlText w:val="(%1)"/>
      <w:numFmt w:val="lowerLetter"/>
      <w:start w:val="1"/>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1)"/>
      <w:numFmt w:val="lowerLetter"/>
      <w:start w:val="1"/>
    </w:lvl>
  </w:abstractNum>
  <w:abstractNum w:abstractNumId="35">
    <w:nsid w:val="613EFDC5"/>
    <w:multiLevelType w:val="hybridMultilevel"/>
    <w:lvl w:ilvl="0">
      <w:lvlJc w:val="left"/>
      <w:lvlText w:val="%1."/>
      <w:numFmt w:val="decimal"/>
      <w:start w:val="1"/>
    </w:lvl>
  </w:abstractNum>
  <w:abstractNum w:abstractNumId="36">
    <w:nsid w:val="BF72B14"/>
    <w:multiLevelType w:val="hybridMultilevel"/>
    <w:lvl w:ilvl="0">
      <w:lvlJc w:val="left"/>
      <w:lvlText w:val="•"/>
      <w:numFmt w:val="bullet"/>
      <w:start w:val="1"/>
    </w:lvl>
  </w:abstractNum>
  <w:abstractNum w:abstractNumId="37">
    <w:nsid w:val="11447B73"/>
    <w:multiLevelType w:val="hybridMultilevel"/>
    <w:lvl w:ilvl="0">
      <w:lvlJc w:val="left"/>
      <w:lvlText w:val="•"/>
      <w:numFmt w:val="bullet"/>
      <w:start w:val="1"/>
    </w:lvl>
  </w:abstractNum>
  <w:abstractNum w:abstractNumId="38">
    <w:nsid w:val="42963E5A"/>
    <w:multiLevelType w:val="hybridMultilevel"/>
    <w:lvl w:ilvl="0">
      <w:lvlJc w:val="left"/>
      <w:lvlText w:val="•"/>
      <w:numFmt w:val="bullet"/>
      <w:start w:val="1"/>
    </w:lvl>
  </w:abstractNum>
  <w:abstractNum w:abstractNumId="39">
    <w:nsid w:val="A0382C5"/>
    <w:multiLevelType w:val="hybridMultilevel"/>
    <w:lvl w:ilvl="0">
      <w:lvlJc w:val="left"/>
      <w:lvlText w:val="•"/>
      <w:numFmt w:val="bullet"/>
      <w:start w:val="1"/>
    </w:lvl>
  </w:abstractNum>
  <w:abstractNum w:abstractNumId="40">
    <w:nsid w:val="8F2B15E"/>
    <w:multiLevelType w:val="hybridMultilevel"/>
    <w:lvl w:ilvl="0">
      <w:lvlJc w:val="left"/>
      <w:lvlText w:val="•"/>
      <w:numFmt w:val="bullet"/>
      <w:start w:val="1"/>
    </w:lvl>
  </w:abstractNum>
  <w:abstractNum w:abstractNumId="41">
    <w:nsid w:val="1A32234B"/>
    <w:multiLevelType w:val="hybridMultilevel"/>
    <w:lvl w:ilvl="0">
      <w:lvlJc w:val="left"/>
      <w:lvlText w:val="%1."/>
      <w:numFmt w:val="decimal"/>
      <w:start w:val="1"/>
    </w:lvl>
    <w:lvl w:ilvl="1">
      <w:lvlJc w:val="left"/>
      <w:lvlText w:val="(%2)"/>
      <w:numFmt w:val="lowerLetter"/>
      <w:start w:val="1"/>
    </w:lvl>
  </w:abstractNum>
  <w:abstractNum w:abstractNumId="42">
    <w:nsid w:val="3B0FD37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43">
    <w:nsid w:val="68EB2F63"/>
    <w:multiLevelType w:val="hybridMultilevel"/>
    <w:lvl w:ilvl="0">
      <w:lvlJc w:val="left"/>
      <w:lvlText w:val="%1"/>
      <w:numFmt w:val="lowerLetter"/>
      <w:start w:val="1"/>
    </w:lvl>
    <w:lvl w:ilvl="1">
      <w:lvlJc w:val="left"/>
      <w:lvlText w:val="(%2)"/>
      <w:numFmt w:val="lowerLetter"/>
      <w:start w:val="3"/>
    </w:lvl>
  </w:abstractNum>
  <w:abstractNum w:abstractNumId="44">
    <w:nsid w:val="4962813B"/>
    <w:multiLevelType w:val="hybridMultilevel"/>
    <w:lvl w:ilvl="0">
      <w:lvlJc w:val="left"/>
      <w:lvlText w:val="(%1)"/>
      <w:numFmt w:val="lowerLetter"/>
      <w:start w:val="35"/>
    </w:lvl>
    <w:lvl w:ilvl="1">
      <w:lvlJc w:val="left"/>
      <w:lvlText w:val="%2"/>
      <w:numFmt w:val="lowerLetter"/>
      <w:start w:val="1"/>
    </w:lvl>
  </w:abstractNum>
  <w:abstractNum w:abstractNumId="45">
    <w:nsid w:val="60B6DF70"/>
    <w:multiLevelType w:val="hybridMultilevel"/>
    <w:lvl w:ilvl="0">
      <w:lvlJc w:val="left"/>
      <w:lvlText w:val="(%1)"/>
      <w:numFmt w:val="lowerRoman"/>
      <w:start w:val="3"/>
    </w:lvl>
  </w:abstractNum>
  <w:abstractNum w:abstractNumId="46">
    <w:nsid w:val="6A5EE64"/>
    <w:multiLevelType w:val="hybridMultilevel"/>
    <w:lvl w:ilvl="0">
      <w:lvlJc w:val="left"/>
      <w:lvlText w:val="(%1)"/>
      <w:numFmt w:val="lowerLetter"/>
      <w:start w:val="3"/>
    </w:lvl>
    <w:lvl w:ilvl="1">
      <w:lvlJc w:val="left"/>
      <w:lvlText w:val="(%2)"/>
      <w:numFmt w:val="lowerLetter"/>
      <w:start w:val="9"/>
    </w:lvl>
  </w:abstractNum>
  <w:abstractNum w:abstractNumId="47">
    <w:nsid w:val="1433062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8">
    <w:nsid w:val="7FFFCA1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9">
    <w:nsid w:val="1A27709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0">
    <w:nsid w:val="71EA1109"/>
    <w:multiLevelType w:val="hybridMultilevel"/>
    <w:lvl w:ilvl="0">
      <w:lvlJc w:val="left"/>
      <w:lvlText w:val="%1."/>
      <w:numFmt w:val="decimal"/>
      <w:start w:val="7"/>
    </w:lvl>
  </w:abstractNum>
  <w:abstractNum w:abstractNumId="51">
    <w:nsid w:val="100F59DC"/>
    <w:multiLevelType w:val="hybridMultilevel"/>
    <w:lvl w:ilvl="0">
      <w:lvlJc w:val="left"/>
      <w:lvlText w:val="%1."/>
      <w:numFmt w:val="decimal"/>
      <w:start w:val="9"/>
    </w:lvl>
  </w:abstractNum>
  <w:abstractNum w:abstractNumId="52">
    <w:nsid w:val="7FB7E0AA"/>
    <w:multiLevelType w:val="hybridMultilevel"/>
    <w:lvl w:ilvl="0">
      <w:lvlJc w:val="left"/>
      <w:lvlText w:val="%1."/>
      <w:numFmt w:val="decimal"/>
      <w:start w:val="12"/>
    </w:lvl>
    <w:lvl w:ilvl="1">
      <w:lvlJc w:val="left"/>
      <w:lvlText w:val="%2."/>
      <w:numFmt w:val="lowerLetter"/>
      <w:start w:val="1"/>
    </w:lvl>
  </w:abstractNum>
  <w:abstractNum w:abstractNumId="53">
    <w:nsid w:val="6EB5BD4"/>
    <w:multiLevelType w:val="hybridMultilevel"/>
    <w:lvl w:ilvl="0">
      <w:lvlJc w:val="left"/>
      <w:lvlText w:val="%1"/>
      <w:numFmt w:val="decimal"/>
      <w:start w:val="1"/>
    </w:lvl>
    <w:lvl w:ilvl="1">
      <w:lvlJc w:val="left"/>
      <w:lvlText w:val="%2."/>
      <w:numFmt w:val="lowerLetter"/>
      <w:start w:val="3"/>
    </w:lvl>
  </w:abstractNum>
  <w:abstractNum w:abstractNumId="54">
    <w:nsid w:val="6F6DD9AC"/>
    <w:multiLevelType w:val="hybridMultilevel"/>
    <w:lvl w:ilvl="0">
      <w:lvlJc w:val="left"/>
      <w:lvlText w:val="%1."/>
      <w:numFmt w:val="decimal"/>
      <w:start w:val="19"/>
    </w:lvl>
    <w:lvl w:ilvl="1">
      <w:lvlJc w:val="left"/>
      <w:lvlText w:val="%2"/>
      <w:numFmt w:val="lowerLetter"/>
      <w:start w:val="1"/>
    </w:lvl>
  </w:abstractNum>
  <w:abstractNum w:abstractNumId="55">
    <w:nsid w:val="94211F2"/>
    <w:multiLevelType w:val="hybridMultilevel"/>
    <w:lvl w:ilvl="0">
      <w:lvlJc w:val="left"/>
      <w:lvlText w:val="%1."/>
      <w:numFmt w:val="decimal"/>
      <w:start w:val="1"/>
    </w:lvl>
    <w:lvl w:ilvl="1">
      <w:lvlJc w:val="left"/>
      <w:lvlText w:val="(%2)"/>
      <w:numFmt w:val="lowerLetter"/>
      <w:start w:val="1"/>
    </w:lvl>
  </w:abstractNum>
  <w:abstractNum w:abstractNumId="56">
    <w:nsid w:val="885E1B"/>
    <w:multiLevelType w:val="hybridMultilevel"/>
    <w:lvl w:ilvl="0">
      <w:lvlJc w:val="left"/>
      <w:lvlText w:val="%1."/>
      <w:numFmt w:val="decimal"/>
      <w:start w:val="4"/>
    </w:lvl>
    <w:lvl w:ilvl="1">
      <w:lvlJc w:val="left"/>
      <w:lvlText w:val="(%2)"/>
      <w:numFmt w:val="lowerLetter"/>
      <w:start w:val="1"/>
    </w:lvl>
  </w:abstractNum>
  <w:abstractNum w:abstractNumId="57">
    <w:nsid w:val="76272110"/>
    <w:multiLevelType w:val="hybridMultilevel"/>
    <w:lvl w:ilvl="0">
      <w:lvlJc w:val="left"/>
      <w:lvlText w:val="%1."/>
      <w:numFmt w:val="decimal"/>
      <w:start w:val="5"/>
    </w:lvl>
  </w:abstractNum>
  <w:abstractNum w:abstractNumId="58">
    <w:nsid w:val="4C04A8AF"/>
    <w:multiLevelType w:val="hybridMultilevel"/>
    <w:lvl w:ilvl="0">
      <w:lvlJc w:val="left"/>
      <w:lvlText w:val="%1."/>
      <w:numFmt w:val="decimal"/>
      <w:start w:val="8"/>
    </w:lvl>
    <w:lvl w:ilvl="1">
      <w:lvlJc w:val="left"/>
      <w:lvlText w:val="(%2)"/>
      <w:numFmt w:val="lowerLetter"/>
      <w:start w:val="1"/>
    </w:lvl>
  </w:abstractNum>
  <w:abstractNum w:abstractNumId="59">
    <w:nsid w:val="1716703B"/>
    <w:multiLevelType w:val="hybridMultilevel"/>
    <w:lvl w:ilvl="0">
      <w:lvlJc w:val="left"/>
      <w:lvlText w:val="%1"/>
      <w:numFmt w:val="decimal"/>
      <w:start w:val="1"/>
    </w:lvl>
    <w:lvl w:ilvl="1">
      <w:lvlJc w:val="left"/>
      <w:lvlText w:val="(%2)"/>
      <w:numFmt w:val="lowerLetter"/>
      <w:start w:val="4"/>
    </w:lvl>
  </w:abstractNum>
  <w:abstractNum w:abstractNumId="60">
    <w:nsid w:val="14E17E33"/>
    <w:multiLevelType w:val="hybridMultilevel"/>
    <w:lvl w:ilvl="0">
      <w:lvlJc w:val="left"/>
      <w:lvlText w:val="%1."/>
      <w:numFmt w:val="decimal"/>
      <w:start w:val="10"/>
    </w:lvl>
    <w:lvl w:ilvl="1">
      <w:lvlJc w:val="left"/>
      <w:lvlText w:val="%2"/>
      <w:numFmt w:val="lowerLetter"/>
      <w:start w:val="1"/>
    </w:lvl>
  </w:abstractNum>
  <w:abstractNum w:abstractNumId="61">
    <w:nsid w:val="3222E7CD"/>
    <w:multiLevelType w:val="hybridMultilevel"/>
    <w:lvl w:ilvl="0">
      <w:lvlJc w:val="left"/>
      <w:lvlText w:val="%1."/>
      <w:numFmt w:val="decimal"/>
      <w:start w:val="11"/>
    </w:lvl>
  </w:abstractNum>
  <w:abstractNum w:abstractNumId="62">
    <w:nsid w:val="74DE0EE3"/>
    <w:multiLevelType w:val="hybridMultilevel"/>
    <w:lvl w:ilvl="0">
      <w:lvlJc w:val="left"/>
      <w:lvlText w:val="%1."/>
      <w:numFmt w:val="decimal"/>
      <w:start w:val="16"/>
    </w:lvl>
  </w:abstractNum>
  <w:abstractNum w:abstractNumId="63">
    <w:nsid w:val="68EBC550"/>
    <w:multiLevelType w:val="hybridMultilevel"/>
    <w:lvl w:ilvl="0">
      <w:lvlJc w:val="left"/>
      <w:lvlText w:val="(%1)"/>
      <w:numFmt w:val="lowerLetter"/>
      <w:start w:val="1"/>
    </w:lvl>
  </w:abstractNum>
  <w:abstractNum w:abstractNumId="64">
    <w:nsid w:val="2DF6D648"/>
    <w:multiLevelType w:val="hybridMultilevel"/>
    <w:lvl w:ilvl="0">
      <w:lvlJc w:val="left"/>
      <w:lvlText w:val="%1."/>
      <w:numFmt w:val="lowerRoman"/>
      <w:start w:val="1"/>
    </w:lvl>
  </w:abstractNum>
  <w:abstractNum w:abstractNumId="65">
    <w:nsid w:val="46B7D447"/>
    <w:multiLevelType w:val="hybridMultilevel"/>
    <w:lvl w:ilvl="0">
      <w:lvlJc w:val="left"/>
      <w:lvlText w:val="(%1)"/>
      <w:numFmt w:val="lowerRoman"/>
      <w:start w:val="1"/>
    </w:lvl>
  </w:abstractNum>
  <w:abstractNum w:abstractNumId="66">
    <w:nsid w:val="4A2AC315"/>
    <w:multiLevelType w:val="hybridMultilevel"/>
    <w:lvl w:ilvl="0">
      <w:lvlJc w:val="left"/>
      <w:lvlText w:val="•"/>
      <w:numFmt w:val="bullet"/>
      <w:start w:val="1"/>
    </w:lvl>
  </w:abstractNum>
  <w:abstractNum w:abstractNumId="67">
    <w:nsid w:val="39EE015C"/>
    <w:multiLevelType w:val="hybridMultilevel"/>
    <w:lvl w:ilvl="0">
      <w:lvlJc w:val="left"/>
      <w:lvlText w:val="•"/>
      <w:numFmt w:val="bullet"/>
      <w:start w:val="1"/>
    </w:lvl>
  </w:abstractNum>
  <w:abstractNum w:abstractNumId="68">
    <w:nsid w:val="57FC4FBB"/>
    <w:multiLevelType w:val="hybridMultilevel"/>
    <w:lvl w:ilvl="0">
      <w:lvlJc w:val="left"/>
      <w:lvlText w:val="%1."/>
      <w:numFmt w:val="decimal"/>
      <w:start w:val="1"/>
    </w:lvl>
    <w:lvl w:ilvl="1">
      <w:lvlJc w:val="left"/>
      <w:lvlText w:val="(%2)"/>
      <w:numFmt w:val="lowerLetter"/>
      <w:start w:val="1"/>
    </w:lvl>
  </w:abstractNum>
  <w:abstractNum w:abstractNumId="69">
    <w:nsid w:val="CC1016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lvl w:ilvl="3">
      <w:lvlJc w:val="left"/>
      <w:lvlText w:val="(%4)"/>
      <w:numFmt w:val="lowerLetter"/>
      <w:start w:val="3"/>
    </w:lvl>
  </w:abstractNum>
  <w:abstractNum w:abstractNumId="70">
    <w:nsid w:val="43F18422"/>
    <w:multiLevelType w:val="hybridMultilevel"/>
    <w:lvl w:ilvl="0">
      <w:lvlJc w:val="left"/>
      <w:lvlText w:val="(%1)"/>
      <w:numFmt w:val="lowerRoman"/>
      <w:start w:val="2"/>
    </w:lvl>
  </w:abstractNum>
  <w:abstractNum w:abstractNumId="71">
    <w:nsid w:val="60EF0119"/>
    <w:multiLevelType w:val="hybridMultilevel"/>
    <w:lvl w:ilvl="0">
      <w:lvlJc w:val="left"/>
      <w:lvlText w:val="(%1)"/>
      <w:numFmt w:val="lowerRoman"/>
      <w:start w:val="5"/>
    </w:lvl>
  </w:abstractNum>
  <w:abstractNum w:abstractNumId="72">
    <w:nsid w:val="26F324BA"/>
    <w:multiLevelType w:val="hybridMultilevel"/>
    <w:lvl w:ilvl="0">
      <w:lvlJc w:val="left"/>
      <w:lvlText w:val="(%1)"/>
      <w:numFmt w:val="lowerLetter"/>
      <w:start w:val="3"/>
    </w:lvl>
    <w:lvl w:ilvl="1">
      <w:lvlJc w:val="left"/>
      <w:lvlText w:val="(%2)"/>
      <w:numFmt w:val="lowerRoman"/>
      <w:start w:val="1"/>
    </w:lvl>
  </w:abstractNum>
  <w:abstractNum w:abstractNumId="73">
    <w:nsid w:val="7F0157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4">
    <w:nsid w:val="49DA307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5">
    <w:nsid w:val="7055A5F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6">
    <w:nsid w:val="5FB8370B"/>
    <w:multiLevelType w:val="hybridMultilevel"/>
    <w:lvl w:ilvl="0">
      <w:lvlJc w:val="left"/>
      <w:lvlText w:val="(%1)"/>
      <w:numFmt w:val="lowerRoman"/>
      <w:start w:val="4"/>
    </w:lvl>
  </w:abstractNum>
  <w:abstractNum w:abstractNumId="77">
    <w:nsid w:val="50801EE1"/>
    <w:multiLevelType w:val="hybridMultilevel"/>
    <w:lvl w:ilvl="0">
      <w:lvlJc w:val="left"/>
      <w:lvlText w:val="%1."/>
      <w:numFmt w:val="decimal"/>
      <w:start w:val="9"/>
    </w:lvl>
    <w:lvl w:ilvl="1">
      <w:lvlJc w:val="left"/>
      <w:lvlText w:val="(%2)"/>
      <w:numFmt w:val="lowerLetter"/>
      <w:start w:val="1"/>
    </w:lvl>
  </w:abstractNum>
  <w:abstractNum w:abstractNumId="78">
    <w:nsid w:val="488AC1A"/>
    <w:multiLevelType w:val="hybridMultilevel"/>
    <w:lvl w:ilvl="0">
      <w:lvlJc w:val="left"/>
      <w:lvlText w:val="%1"/>
      <w:numFmt w:val="decimal"/>
      <w:start w:val="1"/>
    </w:lvl>
    <w:lvl w:ilvl="1">
      <w:lvlJc w:val="left"/>
      <w:lvlText w:val="(%2)"/>
      <w:numFmt w:val="lowerLetter"/>
      <w:start w:val="2"/>
    </w:lvl>
  </w:abstractNum>
  <w:abstractNum w:abstractNumId="79">
    <w:nsid w:val="5FB8011C"/>
    <w:multiLevelType w:val="hybridMultilevel"/>
    <w:lvl w:ilvl="0">
      <w:lvlJc w:val="left"/>
      <w:lvlText w:val="%1."/>
      <w:numFmt w:val="decimal"/>
      <w:start w:val="11"/>
    </w:lvl>
    <w:lvl w:ilvl="1">
      <w:lvlJc w:val="left"/>
      <w:lvlText w:val="%2"/>
      <w:numFmt w:val="lowerLetter"/>
      <w:start w:val="1"/>
    </w:lvl>
  </w:abstractNum>
  <w:abstractNum w:abstractNumId="80">
    <w:nsid w:val="6AA78F7F"/>
    <w:multiLevelType w:val="hybridMultilevel"/>
    <w:lvl w:ilvl="0">
      <w:lvlJc w:val="left"/>
      <w:lvlText w:val="%1."/>
      <w:numFmt w:val="decimal"/>
      <w:start w:val="12"/>
    </w:lvl>
  </w:abstractNum>
  <w:abstractNum w:abstractNumId="81">
    <w:nsid w:val="7672BD23"/>
    <w:multiLevelType w:val="hybridMultilevel"/>
    <w:lvl w:ilvl="0">
      <w:lvlJc w:val="left"/>
      <w:lvlText w:val="%1."/>
      <w:numFmt w:val="decimal"/>
      <w:start w:val="17"/>
    </w:lvl>
    <w:lvl w:ilvl="1">
      <w:lvlJc w:val="left"/>
      <w:lvlText w:val="(%2)"/>
      <w:numFmt w:val="lowerLetter"/>
      <w:start w:val="1"/>
    </w:lvl>
  </w:abstractNum>
  <w:abstractNum w:abstractNumId="82">
    <w:nsid w:val="6FC75AF8"/>
    <w:multiLevelType w:val="hybridMultilevel"/>
    <w:lvl w:ilvl="0">
      <w:lvlJc w:val="left"/>
      <w:lvlText w:val="%1."/>
      <w:numFmt w:val="decimal"/>
      <w:start w:val="24"/>
    </w:lvl>
  </w:abstractNum>
  <w:abstractNum w:abstractNumId="83">
    <w:nsid w:val="6A5F7029"/>
    <w:multiLevelType w:val="hybridMultilevel"/>
    <w:lvl w:ilvl="0">
      <w:lvlJc w:val="left"/>
      <w:lvlText w:val="(%1)"/>
      <w:numFmt w:val="lowerLetter"/>
      <w:start w:val="1"/>
    </w:lvl>
  </w:abstractNum>
  <w:abstractNum w:abstractNumId="84">
    <w:nsid w:val="7D5E18F8"/>
    <w:multiLevelType w:val="hybridMultilevel"/>
    <w:lvl w:ilvl="0">
      <w:lvlJc w:val="left"/>
      <w:lvlText w:val="%1."/>
      <w:numFmt w:val="lowerRoman"/>
      <w:start w:val="1"/>
    </w:lvl>
  </w:abstractNum>
  <w:abstractNum w:abstractNumId="85">
    <w:nsid w:val="5F3534A4"/>
    <w:multiLevelType w:val="hybridMultilevel"/>
    <w:lvl w:ilvl="0">
      <w:lvlJc w:val="left"/>
      <w:lvlText w:val="•"/>
      <w:numFmt w:val="bullet"/>
      <w:start w:val="1"/>
    </w:lvl>
  </w:abstractNum>
  <w:abstractNum w:abstractNumId="86">
    <w:nsid w:val="73A1821B"/>
    <w:multiLevelType w:val="hybridMultilevel"/>
    <w:lvl w:ilvl="0">
      <w:lvlJc w:val="left"/>
      <w:lvlText w:val="•"/>
      <w:numFmt w:val="bullet"/>
      <w:start w:val="1"/>
    </w:lvl>
  </w:abstractNum>
  <w:abstractNum w:abstractNumId="87">
    <w:nsid w:val="7DE67713"/>
    <w:multiLevelType w:val="hybridMultilevel"/>
    <w:lvl w:ilvl="0">
      <w:lvlJc w:val="left"/>
      <w:lvlText w:val="(%1)"/>
      <w:numFmt w:val="lowerRoman"/>
      <w:start w:val="1"/>
    </w:lvl>
  </w:abstractNum>
  <w:abstractNum w:abstractNumId="88">
    <w:nsid w:val="555C55B5"/>
    <w:multiLevelType w:val="hybridMultilevel"/>
    <w:lvl w:ilvl="0">
      <w:lvlJc w:val="left"/>
      <w:lvlText w:val="%1."/>
      <w:numFmt w:val="decimal"/>
      <w:start w:val="1"/>
    </w:lvl>
    <w:lvl w:ilvl="1">
      <w:lvlJc w:val="left"/>
      <w:lvlText w:val="(%2)"/>
      <w:numFmt w:val="lowerLetter"/>
      <w:start w:val="1"/>
    </w:lvl>
  </w:abstractNum>
  <w:abstractNum w:abstractNumId="89">
    <w:nsid w:val="3FA62ACA"/>
    <w:multiLevelType w:val="hybridMultilevel"/>
    <w:lvl w:ilvl="0">
      <w:lvlJc w:val="left"/>
      <w:lvlText w:val="(%1)"/>
      <w:numFmt w:val="lowerLetter"/>
      <w:start w:val="2"/>
    </w:lvl>
  </w:abstractNum>
  <w:abstractNum w:abstractNumId="90">
    <w:nsid w:val="14FCE74E"/>
    <w:multiLevelType w:val="hybridMultilevel"/>
    <w:lvl w:ilvl="0">
      <w:lvlJc w:val="left"/>
      <w:lvlText w:val="(%1)"/>
      <w:numFmt w:val="decimal"/>
      <w:start w:val="4"/>
    </w:lvl>
  </w:abstractNum>
  <w:abstractNum w:abstractNumId="91">
    <w:nsid w:val="6A3DD3E8"/>
    <w:multiLevelType w:val="hybridMultilevel"/>
    <w:lvl w:ilvl="0">
      <w:lvlJc w:val="left"/>
      <w:lvlText w:val="%1."/>
      <w:numFmt w:val="decimal"/>
      <w:start w:val="5"/>
    </w:lvl>
    <w:lvl w:ilvl="1">
      <w:lvlJc w:val="left"/>
      <w:lvlText w:val="(%2)"/>
      <w:numFmt w:val="lowerLetter"/>
      <w:start w:val="1"/>
    </w:lvl>
  </w:abstractNum>
  <w:abstractNum w:abstractNumId="92">
    <w:nsid w:val="71C91298"/>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lvl w:ilvl="3">
      <w:lvlJc w:val="left"/>
      <w:lvlText w:val="%4"/>
      <w:numFmt w:val="lowerLetter"/>
      <w:start w:val="1"/>
    </w:lvl>
  </w:abstractNum>
  <w:abstractNum w:abstractNumId="93">
    <w:nsid w:val="9DAF632"/>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lvl w:ilvl="3">
      <w:lvlJc w:val="left"/>
      <w:lvlText w:val="(%4)"/>
      <w:numFmt w:val="lowerLetter"/>
      <w:start w:val="3"/>
    </w:lvl>
  </w:abstractNum>
  <w:abstractNum w:abstractNumId="94">
    <w:nsid w:val="53299938"/>
    <w:multiLevelType w:val="hybridMultilevel"/>
    <w:lvl w:ilvl="0">
      <w:lvlJc w:val="left"/>
      <w:lvlText w:val="(%1)"/>
      <w:numFmt w:val="decimal"/>
      <w:start w:val="4"/>
    </w:lvl>
  </w:abstractNum>
  <w:abstractNum w:abstractNumId="95">
    <w:nsid w:val="1FBFE8E0"/>
    <w:multiLevelType w:val="hybridMultilevel"/>
    <w:lvl w:ilvl="0">
      <w:lvlJc w:val="left"/>
      <w:lvlText w:val="(%1)"/>
      <w:numFmt w:val="lowerLetter"/>
      <w:start w:val="3"/>
    </w:lvl>
    <w:lvl w:ilvl="1">
      <w:lvlJc w:val="left"/>
      <w:lvlText w:val="(%2)"/>
      <w:numFmt w:val="lowerLetter"/>
      <w:start w:val="1"/>
    </w:lvl>
  </w:abstractNum>
  <w:abstractNum w:abstractNumId="96">
    <w:nsid w:val="5092CA7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97">
    <w:nsid w:val="1D545C4D"/>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98">
    <w:nsid w:val="59ADEA3D"/>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99">
    <w:nsid w:val="288F1A34"/>
    <w:multiLevelType w:val="hybridMultilevel"/>
    <w:lvl w:ilvl="0">
      <w:lvlJc w:val="left"/>
      <w:lvlText w:val="%1."/>
      <w:numFmt w:val="decimal"/>
      <w:start w:val="10"/>
    </w:lvl>
  </w:abstractNum>
  <w:abstractNum w:abstractNumId="100">
    <w:nsid w:val="2A155DBC"/>
    <w:multiLevelType w:val="hybridMultilevel"/>
    <w:lvl w:ilvl="0">
      <w:lvlJc w:val="left"/>
      <w:lvlText w:val="%1."/>
      <w:numFmt w:val="decimal"/>
      <w:start w:val="11"/>
    </w:lvl>
    <w:lvl w:ilvl="1">
      <w:lvlJc w:val="left"/>
      <w:lvlText w:val="(%2)"/>
      <w:numFmt w:val="decimal"/>
      <w:start w:val="1"/>
    </w:lvl>
  </w:abstractNum>
  <w:abstractNum w:abstractNumId="101">
    <w:nsid w:val="1D9F6E5F"/>
    <w:multiLevelType w:val="hybridMultilevel"/>
    <w:lvl w:ilvl="0">
      <w:lvlJc w:val="left"/>
      <w:lvlText w:val="%1"/>
      <w:numFmt w:val="decimal"/>
      <w:start w:val="1"/>
    </w:lvl>
    <w:lvl w:ilvl="1">
      <w:lvlJc w:val="left"/>
      <w:lvlText w:val="(%2)"/>
      <w:numFmt w:val="decimal"/>
      <w:start w:val="10"/>
    </w:lvl>
  </w:abstractNum>
  <w:abstractNum w:abstractNumId="102">
    <w:nsid w:val="97E1B4E"/>
    <w:multiLevelType w:val="hybridMultilevel"/>
    <w:lvl w:ilvl="0">
      <w:lvlJc w:val="left"/>
      <w:lvlText w:val="%1."/>
      <w:numFmt w:val="decimal"/>
      <w:start w:val="12"/>
    </w:lvl>
    <w:lvl w:ilvl="1">
      <w:lvlJc w:val="left"/>
      <w:lvlText w:val="%2"/>
      <w:numFmt w:val="decimal"/>
      <w:start w:val="1"/>
    </w:lvl>
  </w:abstractNum>
  <w:abstractNum w:abstractNumId="103">
    <w:nsid w:val="51088277"/>
    <w:multiLevelType w:val="hybridMultilevel"/>
    <w:lvl w:ilvl="0">
      <w:lvlJc w:val="left"/>
      <w:lvlText w:val="%1."/>
      <w:numFmt w:val="decimal"/>
      <w:start w:val="14"/>
    </w:lvl>
  </w:abstractNum>
  <w:abstractNum w:abstractNumId="104">
    <w:nsid w:val="1CA0C5FA"/>
    <w:multiLevelType w:val="hybridMultilevel"/>
    <w:lvl w:ilvl="0">
      <w:lvlJc w:val="left"/>
      <w:lvlText w:val="%1."/>
      <w:numFmt w:val="decimal"/>
      <w:start w:val="20"/>
    </w:lvl>
    <w:lvl w:ilvl="1">
      <w:lvlJc w:val="left"/>
      <w:lvlText w:val="(%2)"/>
      <w:numFmt w:val="lowerLetter"/>
      <w:start w:val="1"/>
    </w:lvl>
  </w:abstractNum>
  <w:abstractNum w:abstractNumId="105">
    <w:nsid w:val="53584BCB"/>
    <w:multiLevelType w:val="hybridMultilevel"/>
    <w:lvl w:ilvl="0">
      <w:lvlJc w:val="left"/>
      <w:lvlText w:val="%1."/>
      <w:numFmt w:val="decimal"/>
      <w:start w:val="1"/>
    </w:lvl>
    <w:lvl w:ilvl="1">
      <w:lvlJc w:val="left"/>
      <w:lvlText w:val="(%2)"/>
      <w:numFmt w:val="lowerLetter"/>
      <w:start w:val="1"/>
    </w:lvl>
  </w:abstractNum>
  <w:abstractNum w:abstractNumId="106">
    <w:nsid w:val="415E286C"/>
    <w:multiLevelType w:val="hybridMultilevel"/>
    <w:lvl w:ilvl="0">
      <w:lvlJc w:val="left"/>
      <w:lvlText w:val="%1."/>
      <w:numFmt w:val="decimal"/>
      <w:start w:val="1"/>
    </w:lvl>
    <w:lvl w:ilvl="1">
      <w:lvlJc w:val="left"/>
      <w:lvlText w:val="(%2)"/>
      <w:numFmt w:val="lowerLetter"/>
      <w:start w:val="1"/>
    </w:lvl>
  </w:abstractNum>
  <w:abstractNum w:abstractNumId="107">
    <w:nsid w:val="7C58FD05"/>
    <w:multiLevelType w:val="hybridMultilevel"/>
    <w:lvl w:ilvl="0">
      <w:lvlJc w:val="left"/>
      <w:lvlText w:val="(%1)"/>
      <w:numFmt w:val="decimal"/>
      <w:start w:val="1"/>
    </w:lvl>
  </w:abstractNum>
  <w:abstractNum w:abstractNumId="108">
    <w:nsid w:val="23D86AAC"/>
    <w:multiLevelType w:val="hybridMultilevel"/>
    <w:lvl w:ilvl="0">
      <w:lvlJc w:val="left"/>
      <w:lvlText w:val="(%1)"/>
      <w:numFmt w:val="decimal"/>
      <w:start w:val="1"/>
    </w:lvl>
  </w:abstractNum>
  <w:abstractNum w:abstractNumId="109">
    <w:nsid w:val="45E6D486"/>
    <w:multiLevelType w:val="hybridMultilevel"/>
    <w:lvl w:ilvl="0">
      <w:lvlJc w:val="left"/>
      <w:lvlText w:val="▪"/>
      <w:numFmt w:val="bullet"/>
      <w:start w:val="1"/>
    </w:lvl>
  </w:abstractNum>
  <w:abstractNum w:abstractNumId="110">
    <w:nsid w:val="5C10FE21"/>
    <w:multiLevelType w:val="hybridMultilevel"/>
    <w:lvl w:ilvl="0">
      <w:lvlJc w:val="left"/>
      <w:lvlText w:val="(%1)"/>
      <w:numFmt w:val="decimal"/>
      <w:start w:val="1"/>
    </w:lvl>
  </w:abstractNum>
  <w:abstractNum w:abstractNumId="111">
    <w:nsid w:val="E7FFA2B"/>
    <w:multiLevelType w:val="hybridMultilevel"/>
    <w:lvl w:ilvl="0">
      <w:lvlJc w:val="left"/>
      <w:lvlText w:val="(%1)"/>
      <w:numFmt w:val="lowerLetter"/>
      <w:start w:val="1"/>
    </w:lvl>
  </w:abstractNum>
  <w:abstractNum w:abstractNumId="112">
    <w:nsid w:val="3C5991AA"/>
    <w:multiLevelType w:val="hybridMultilevel"/>
    <w:lvl w:ilvl="0">
      <w:lvlJc w:val="left"/>
      <w:lvlText w:val="%1."/>
      <w:numFmt w:val="decimal"/>
      <w:start w:val="1"/>
    </w:lvl>
  </w:abstractNum>
  <w:abstractNum w:abstractNumId="113">
    <w:nsid w:val="4BD8591A"/>
    <w:multiLevelType w:val="hybridMultilevel"/>
    <w:lvl w:ilvl="0">
      <w:lvlJc w:val="left"/>
      <w:lvlText w:val="%1."/>
      <w:numFmt w:val="decimal"/>
      <w:start w:val="1"/>
    </w:lvl>
  </w:abstractNum>
  <w:abstractNum w:abstractNumId="114">
    <w:nsid w:val="78DF6A55"/>
    <w:multiLevelType w:val="hybridMultilevel"/>
    <w:lvl w:ilvl="0">
      <w:lvlJc w:val="left"/>
      <w:lvlText w:val="%1."/>
      <w:numFmt w:val="decimal"/>
      <w:start w:val="3"/>
    </w:lvl>
  </w:abstractNum>
  <w:abstractNum w:abstractNumId="115">
    <w:nsid w:val="39B7AAA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6" Type="http://schemas.openxmlformats.org/officeDocument/2006/relationships/image" Target="media/image82.png"/><Relationship Id="rId106" Type="http://schemas.openxmlformats.org/officeDocument/2006/relationships/image" Target="media/image83.png"/><Relationship Id="rId115" Type="http://schemas.openxmlformats.org/officeDocument/2006/relationships/image" Target="media/image84.png"/><Relationship Id="rId130" Type="http://schemas.openxmlformats.org/officeDocument/2006/relationships/image" Target="media/image85.png"/><Relationship Id="rId144" Type="http://schemas.openxmlformats.org/officeDocument/2006/relationships/image" Target="media/image86.png"/><Relationship Id="rId146" Type="http://schemas.openxmlformats.org/officeDocument/2006/relationships/image" Target="media/image87.png"/><Relationship Id="rId147" Type="http://schemas.openxmlformats.org/officeDocument/2006/relationships/image" Target="media/image88.png"/><Relationship Id="rId148" Type="http://schemas.openxmlformats.org/officeDocument/2006/relationships/image" Target="media/image89.png"/><Relationship Id="rId149" Type="http://schemas.openxmlformats.org/officeDocument/2006/relationships/image" Target="media/image90.png"/><Relationship Id="rId150" Type="http://schemas.openxmlformats.org/officeDocument/2006/relationships/image" Target="media/image91.png"/><Relationship Id="rId151" Type="http://schemas.openxmlformats.org/officeDocument/2006/relationships/image" Target="media/image92.png"/><Relationship Id="rId152" Type="http://schemas.openxmlformats.org/officeDocument/2006/relationships/image" Target="media/image93.png"/><Relationship Id="rId153" Type="http://schemas.openxmlformats.org/officeDocument/2006/relationships/image" Target="media/image94.png"/><Relationship Id="rId154" Type="http://schemas.openxmlformats.org/officeDocument/2006/relationships/image" Target="media/image95.png"/><Relationship Id="rId155" Type="http://schemas.openxmlformats.org/officeDocument/2006/relationships/image" Target="media/image96.png"/><Relationship Id="rId156" Type="http://schemas.openxmlformats.org/officeDocument/2006/relationships/image" Target="media/image97.png"/><Relationship Id="rId157" Type="http://schemas.openxmlformats.org/officeDocument/2006/relationships/image" Target="media/image98.png"/><Relationship Id="rId158" Type="http://schemas.openxmlformats.org/officeDocument/2006/relationships/image" Target="media/image99.png"/><Relationship Id="rId159" Type="http://schemas.openxmlformats.org/officeDocument/2006/relationships/image" Target="media/image100.png"/><Relationship Id="rId160" Type="http://schemas.openxmlformats.org/officeDocument/2006/relationships/image" Target="media/image101.png"/><Relationship Id="rId161" Type="http://schemas.openxmlformats.org/officeDocument/2006/relationships/image" Target="media/image102.png"/><Relationship Id="rId162" Type="http://schemas.openxmlformats.org/officeDocument/2006/relationships/image" Target="media/image103.png"/><Relationship Id="rId163" Type="http://schemas.openxmlformats.org/officeDocument/2006/relationships/image" Target="media/image104.png"/><Relationship Id="rId164" Type="http://schemas.openxmlformats.org/officeDocument/2006/relationships/image" Target="media/image105.png"/><Relationship Id="rId165" Type="http://schemas.openxmlformats.org/officeDocument/2006/relationships/image" Target="media/image106.png"/><Relationship Id="rId166" Type="http://schemas.openxmlformats.org/officeDocument/2006/relationships/image" Target="media/image107.png"/><Relationship Id="rId167" Type="http://schemas.openxmlformats.org/officeDocument/2006/relationships/image" Target="media/image108.png"/><Relationship Id="rId168" Type="http://schemas.openxmlformats.org/officeDocument/2006/relationships/image" Target="media/image109.png"/><Relationship Id="rId169" Type="http://schemas.openxmlformats.org/officeDocument/2006/relationships/image" Target="media/image110.png"/><Relationship Id="rId170" Type="http://schemas.openxmlformats.org/officeDocument/2006/relationships/image" Target="media/image111.png"/><Relationship Id="rId171" Type="http://schemas.openxmlformats.org/officeDocument/2006/relationships/image" Target="media/image112.png"/><Relationship Id="rId172"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77" Type="http://schemas.openxmlformats.org/officeDocument/2006/relationships/image" Target="media/image118.png"/><Relationship Id="rId178"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194" Type="http://schemas.openxmlformats.org/officeDocument/2006/relationships/image" Target="media/image135.png"/><Relationship Id="rId195" Type="http://schemas.openxmlformats.org/officeDocument/2006/relationships/image" Target="media/image136.png"/><Relationship Id="rId196" Type="http://schemas.openxmlformats.org/officeDocument/2006/relationships/image" Target="media/image137.png"/><Relationship Id="rId197" Type="http://schemas.openxmlformats.org/officeDocument/2006/relationships/image" Target="media/image138.png"/><Relationship Id="rId198" Type="http://schemas.openxmlformats.org/officeDocument/2006/relationships/image" Target="media/image139.png"/><Relationship Id="rId199" Type="http://schemas.openxmlformats.org/officeDocument/2006/relationships/image" Target="media/image140.png"/><Relationship Id="rId200" Type="http://schemas.openxmlformats.org/officeDocument/2006/relationships/image" Target="media/image141.png"/><Relationship Id="rId201" Type="http://schemas.openxmlformats.org/officeDocument/2006/relationships/image" Target="media/image142.png"/><Relationship Id="rId202" Type="http://schemas.openxmlformats.org/officeDocument/2006/relationships/image" Target="media/image143.png"/><Relationship Id="rId203" Type="http://schemas.openxmlformats.org/officeDocument/2006/relationships/image" Target="media/image144.png"/><Relationship Id="rId204" Type="http://schemas.openxmlformats.org/officeDocument/2006/relationships/image" Target="media/image145.png"/><Relationship Id="rId205" Type="http://schemas.openxmlformats.org/officeDocument/2006/relationships/image" Target="media/image146.png"/><Relationship Id="rId206" Type="http://schemas.openxmlformats.org/officeDocument/2006/relationships/image" Target="media/image147.png"/><Relationship Id="rId207" Type="http://schemas.openxmlformats.org/officeDocument/2006/relationships/image" Target="media/image148.png"/><Relationship Id="rId208" Type="http://schemas.openxmlformats.org/officeDocument/2006/relationships/image" Target="media/image149.png"/><Relationship Id="rId209" Type="http://schemas.openxmlformats.org/officeDocument/2006/relationships/image" Target="media/image150.png"/><Relationship Id="rId210" Type="http://schemas.openxmlformats.org/officeDocument/2006/relationships/image" Target="media/image151.png"/><Relationship Id="rId211" Type="http://schemas.openxmlformats.org/officeDocument/2006/relationships/image" Target="media/image152.png"/><Relationship Id="rId212" Type="http://schemas.openxmlformats.org/officeDocument/2006/relationships/image" Target="media/image153.png"/><Relationship Id="rId213" Type="http://schemas.openxmlformats.org/officeDocument/2006/relationships/image" Target="media/image154.png"/><Relationship Id="rId214" Type="http://schemas.openxmlformats.org/officeDocument/2006/relationships/image" Target="media/image155.png"/><Relationship Id="rId215" Type="http://schemas.openxmlformats.org/officeDocument/2006/relationships/image" Target="media/image156.png"/><Relationship Id="rId216" Type="http://schemas.openxmlformats.org/officeDocument/2006/relationships/image" Target="media/image157.png"/><Relationship Id="rId217" Type="http://schemas.openxmlformats.org/officeDocument/2006/relationships/image" Target="media/image158.png"/><Relationship Id="rId218" Type="http://schemas.openxmlformats.org/officeDocument/2006/relationships/image" Target="media/image159.png"/><Relationship Id="rId219" Type="http://schemas.openxmlformats.org/officeDocument/2006/relationships/image" Target="media/image160.png"/><Relationship Id="rId220" Type="http://schemas.openxmlformats.org/officeDocument/2006/relationships/image" Target="media/image161.png"/><Relationship Id="rId221" Type="http://schemas.openxmlformats.org/officeDocument/2006/relationships/image" Target="media/image162.png"/><Relationship Id="rId222" Type="http://schemas.openxmlformats.org/officeDocument/2006/relationships/image" Target="media/image163.png"/><Relationship Id="rId223" Type="http://schemas.openxmlformats.org/officeDocument/2006/relationships/image" Target="media/image164.png"/><Relationship Id="rId224" Type="http://schemas.openxmlformats.org/officeDocument/2006/relationships/image" Target="media/image165.png"/><Relationship Id="rId225" Type="http://schemas.openxmlformats.org/officeDocument/2006/relationships/image" Target="media/image166.png"/><Relationship Id="rId226" Type="http://schemas.openxmlformats.org/officeDocument/2006/relationships/image" Target="media/image167.png"/><Relationship Id="rId227" Type="http://schemas.openxmlformats.org/officeDocument/2006/relationships/image" Target="media/image168.png"/><Relationship Id="rId228" Type="http://schemas.openxmlformats.org/officeDocument/2006/relationships/image" Target="media/image169.png"/><Relationship Id="rId229" Type="http://schemas.openxmlformats.org/officeDocument/2006/relationships/image" Target="media/image170.png"/><Relationship Id="rId230" Type="http://schemas.openxmlformats.org/officeDocument/2006/relationships/image" Target="media/image171.png"/><Relationship Id="rId231" Type="http://schemas.openxmlformats.org/officeDocument/2006/relationships/image" Target="media/image172.png"/><Relationship Id="rId232" Type="http://schemas.openxmlformats.org/officeDocument/2006/relationships/image" Target="media/image173.png"/><Relationship Id="rId233" Type="http://schemas.openxmlformats.org/officeDocument/2006/relationships/image" Target="media/image174.png"/><Relationship Id="rId234" Type="http://schemas.openxmlformats.org/officeDocument/2006/relationships/image" Target="media/image175.png"/><Relationship Id="rId235" Type="http://schemas.openxmlformats.org/officeDocument/2006/relationships/image" Target="media/image176.png"/><Relationship Id="rId236" Type="http://schemas.openxmlformats.org/officeDocument/2006/relationships/image" Target="media/image177.png"/><Relationship Id="rId237" Type="http://schemas.openxmlformats.org/officeDocument/2006/relationships/image" Target="media/image178.png"/><Relationship Id="rId238" Type="http://schemas.openxmlformats.org/officeDocument/2006/relationships/image" Target="media/image179.png"/><Relationship Id="rId239" Type="http://schemas.openxmlformats.org/officeDocument/2006/relationships/image" Target="media/image180.png"/><Relationship Id="rId240" Type="http://schemas.openxmlformats.org/officeDocument/2006/relationships/image" Target="media/image181.png"/><Relationship Id="rId241" Type="http://schemas.openxmlformats.org/officeDocument/2006/relationships/image" Target="media/image182.png"/><Relationship Id="rId242" Type="http://schemas.openxmlformats.org/officeDocument/2006/relationships/image" Target="media/image183.png"/><Relationship Id="rId243" Type="http://schemas.openxmlformats.org/officeDocument/2006/relationships/image" Target="media/image184.png"/><Relationship Id="rId244" Type="http://schemas.openxmlformats.org/officeDocument/2006/relationships/image" Target="media/image185.png"/><Relationship Id="rId245" Type="http://schemas.openxmlformats.org/officeDocument/2006/relationships/image" Target="media/image186.png"/><Relationship Id="rId246" Type="http://schemas.openxmlformats.org/officeDocument/2006/relationships/image" Target="media/image187.png"/><Relationship Id="rId247" Type="http://schemas.openxmlformats.org/officeDocument/2006/relationships/image" Target="media/image188.png"/><Relationship Id="rId248" Type="http://schemas.openxmlformats.org/officeDocument/2006/relationships/image" Target="media/image189.png"/><Relationship Id="rId249" Type="http://schemas.openxmlformats.org/officeDocument/2006/relationships/image" Target="media/image190.png"/><Relationship Id="rId250" Type="http://schemas.openxmlformats.org/officeDocument/2006/relationships/image" Target="media/image191.png"/><Relationship Id="rId251" Type="http://schemas.openxmlformats.org/officeDocument/2006/relationships/image" Target="media/image192.png"/><Relationship Id="rId252" Type="http://schemas.openxmlformats.org/officeDocument/2006/relationships/image" Target="media/image193.png"/><Relationship Id="rId253" Type="http://schemas.openxmlformats.org/officeDocument/2006/relationships/image" Target="media/image194.png"/><Relationship Id="rId254" Type="http://schemas.openxmlformats.org/officeDocument/2006/relationships/image" Target="media/image195.png"/><Relationship Id="rId255" Type="http://schemas.openxmlformats.org/officeDocument/2006/relationships/image" Target="media/image196.png"/><Relationship Id="rId256" Type="http://schemas.openxmlformats.org/officeDocument/2006/relationships/image" Target="media/image197.png"/><Relationship Id="rId257" Type="http://schemas.openxmlformats.org/officeDocument/2006/relationships/image" Target="media/image198.png"/><Relationship Id="rId258" Type="http://schemas.openxmlformats.org/officeDocument/2006/relationships/image" Target="media/image199.png"/><Relationship Id="rId259" Type="http://schemas.openxmlformats.org/officeDocument/2006/relationships/image" Target="media/image200.png"/><Relationship Id="rId260" Type="http://schemas.openxmlformats.org/officeDocument/2006/relationships/image" Target="media/image201.png"/><Relationship Id="rId261" Type="http://schemas.openxmlformats.org/officeDocument/2006/relationships/image" Target="media/image202.png"/><Relationship Id="rId262" Type="http://schemas.openxmlformats.org/officeDocument/2006/relationships/image" Target="media/image203.png"/><Relationship Id="rId263" Type="http://schemas.openxmlformats.org/officeDocument/2006/relationships/image" Target="media/image204.png"/><Relationship Id="rId264" Type="http://schemas.openxmlformats.org/officeDocument/2006/relationships/image" Target="media/image205.png"/><Relationship Id="rId265" Type="http://schemas.openxmlformats.org/officeDocument/2006/relationships/image" Target="media/image206.png"/><Relationship Id="rId266" Type="http://schemas.openxmlformats.org/officeDocument/2006/relationships/image" Target="media/image207.png"/><Relationship Id="rId267" Type="http://schemas.openxmlformats.org/officeDocument/2006/relationships/image" Target="media/image208.png"/><Relationship Id="rId268" Type="http://schemas.openxmlformats.org/officeDocument/2006/relationships/image" Target="media/image209.png"/><Relationship Id="rId269" Type="http://schemas.openxmlformats.org/officeDocument/2006/relationships/image" Target="media/image210.png"/><Relationship Id="rId270" Type="http://schemas.openxmlformats.org/officeDocument/2006/relationships/image" Target="media/image211.png"/><Relationship Id="rId49" Type="http://schemas.openxmlformats.org/officeDocument/2006/relationships/hyperlink" Target="https://www.sec.gov/Archives/edgar/data/45012/000004501223000011/hal-20221231.htm" TargetMode="External"/><Relationship Id="rId90" Type="http://schemas.openxmlformats.org/officeDocument/2006/relationships/hyperlink" Target="http://www.sec.gov/Archives/edgar/data/45012/000004501223000046/hal_06302023-ex31.htm" TargetMode="External"/><Relationship Id="rId91" Type="http://schemas.openxmlformats.org/officeDocument/2006/relationships/hyperlink" Target="http://www.sec.gov/Archives/edgar/data/45012/000004501222000070/exhibit31by-laws12x08x22.htm" TargetMode="External"/><Relationship Id="rId92" Type="http://schemas.openxmlformats.org/officeDocument/2006/relationships/hyperlink" Target="http://www.sec.gov/Archives/edgar/data/45012/0000898430-96-005722.txt" TargetMode="External"/><Relationship Id="rId93" Type="http://schemas.openxmlformats.org/officeDocument/2006/relationships/hyperlink" Target="http://www.sec.gov/Archives/edgar/data/45012/0000045012-99-000005.txt" TargetMode="External"/><Relationship Id="rId94" Type="http://schemas.openxmlformats.org/officeDocument/2006/relationships/hyperlink" Target="http://www.sec.gov/Archives/edgar/data/45012/0000045012-97-000011.txt" TargetMode="External"/><Relationship Id="rId95" Type="http://schemas.openxmlformats.org/officeDocument/2006/relationships/hyperlink" Target="http://www.sec.gov/Archives/edgar/data/45012/0000045012-97-000006.txt" TargetMode="External"/><Relationship Id="rId97" Type="http://schemas.openxmlformats.org/officeDocument/2006/relationships/hyperlink" Target="http://www.sec.gov/Archives/edgar/data/30099/0000912057-96-016770.txt" TargetMode="External"/><Relationship Id="rId98" Type="http://schemas.openxmlformats.org/officeDocument/2006/relationships/hyperlink" Target="http://www.sec.gov/Archives/edgar/data/45012/000004501204000086/exh4_15.txt" TargetMode="External"/><Relationship Id="rId99" Type="http://schemas.openxmlformats.org/officeDocument/2006/relationships/hyperlink" Target="http://www.sec.gov/Archives/edgar/data/45012/000004501204000086/exh4_16.txt" TargetMode="External"/><Relationship Id="rId100" Type="http://schemas.openxmlformats.org/officeDocument/2006/relationships/hyperlink" Target="http://www.sec.gov/Archives/edgar/data/45012/000095012903005445/h10204exv4w1.txt" TargetMode="External"/><Relationship Id="rId101" Type="http://schemas.openxmlformats.org/officeDocument/2006/relationships/hyperlink" Target="http://www.sec.gov/Archives/edgar/data/45012/000004501204000086/exh4_27.txt" TargetMode="External"/><Relationship Id="rId102" Type="http://schemas.openxmlformats.org/officeDocument/2006/relationships/hyperlink" Target="http://www.sec.gov/Archives/edgar/data/45012/000095013408016534/h60310exv4w2.htm" TargetMode="External"/><Relationship Id="rId103" Type="http://schemas.openxmlformats.org/officeDocument/2006/relationships/hyperlink" Target="http://www.sec.gov/Archives/edgar/data/45012/000095012909000861/h66138exv4w2.htm" TargetMode="External"/><Relationship Id="rId104" Type="http://schemas.openxmlformats.org/officeDocument/2006/relationships/hyperlink" Target="http://www.sec.gov/Archives/edgar/data/45012/000095012311098305/h85653exv4w2.htm" TargetMode="External"/><Relationship Id="rId105" Type="http://schemas.openxmlformats.org/officeDocument/2006/relationships/hyperlink" Target="http://www.sec.gov/Archives/edgar/data/45012/000119312513319110/d577675dex42.htm" TargetMode="External"/><Relationship Id="rId107" Type="http://schemas.openxmlformats.org/officeDocument/2006/relationships/hyperlink" Target="http://www.sec.gov/Archives/edgar/data/45012/000004501215000164/8thsupplementalindenture.htm" TargetMode="External"/><Relationship Id="rId108" Type="http://schemas.openxmlformats.org/officeDocument/2006/relationships/hyperlink" Target="https://www.sec.gov/Archives/edgar/data/45012/000119312520060431/d895135dex42.htm" TargetMode="External"/><Relationship Id="rId109" Type="http://schemas.openxmlformats.org/officeDocument/2006/relationships/hyperlink" Target="http://www.sec.gov/Archives/edgar/data/45012/000004501201000009/0000045012-01-000009-0003.txt" TargetMode="External"/><Relationship Id="rId110" Type="http://schemas.openxmlformats.org/officeDocument/2006/relationships/hyperlink" Target="http://www.sec.gov/Archives/edgar/data/30099/0000912057-96-000951.txt" TargetMode="External"/><Relationship Id="rId111" Type="http://schemas.openxmlformats.org/officeDocument/2006/relationships/hyperlink" Target="http://www.sec.gov/Archives/edgar/data/45012/000004501212000204/hal-6302012xex105.htm" TargetMode="External"/><Relationship Id="rId112" Type="http://schemas.openxmlformats.org/officeDocument/2006/relationships/hyperlink" Target="http://www.sec.gov/Archives/edgar/data/45012/000130817921000173/lhal2021_def14a.pdf" TargetMode="External"/><Relationship Id="rId113" Type="http://schemas.openxmlformats.org/officeDocument/2006/relationships/hyperlink" Target="http://www.sec.gov/Archives/edgar/data/45012/000004501212000075/exhibit_10-41.htm" TargetMode="External"/><Relationship Id="rId114" Type="http://schemas.openxmlformats.org/officeDocument/2006/relationships/hyperlink" Target="http://www.sec.gov/Archives/edgar/data/45012/000004501212000204/hal-6302012xex104.htm" TargetMode="External"/><Relationship Id="rId116" Type="http://schemas.openxmlformats.org/officeDocument/2006/relationships/hyperlink" Target="http://www.sec.gov/Archives/edgar/data/45012/000004501213000086/hal-12312012xex1044.htm" TargetMode="External"/><Relationship Id="rId117" Type="http://schemas.openxmlformats.org/officeDocument/2006/relationships/hyperlink" Target="http://www.sec.gov/Archives/edgar/data/45012/000004501213000086/hal-12312012xex1045.htm" TargetMode="External"/><Relationship Id="rId118" Type="http://schemas.openxmlformats.org/officeDocument/2006/relationships/hyperlink" Target="http://www.sec.gov/Archives/edgar/data/45012/000004501213000159/hal-3312013xex101.htm" TargetMode="External"/><Relationship Id="rId119" Type="http://schemas.openxmlformats.org/officeDocument/2006/relationships/hyperlink" Target="http://www.sec.gov/Archives/edgar/data/45012/000004501214000069/hal-12312013xex1049.htm" TargetMode="External"/><Relationship Id="rId120" Type="http://schemas.openxmlformats.org/officeDocument/2006/relationships/hyperlink" Target="http://www.sec.gov/Archives/edgar/data/45012/000119312514437437/d834718dex102.htm" TargetMode="External"/><Relationship Id="rId121" Type="http://schemas.openxmlformats.org/officeDocument/2006/relationships/hyperlink" Target="http://www.sec.gov/Archives/edgar/data/45012/000004501219000112/hal06302019-ex107.htm" TargetMode="External"/><Relationship Id="rId122" Type="http://schemas.openxmlformats.org/officeDocument/2006/relationships/hyperlink" Target="http://www.sec.gov/Archives/edgar/data/45012/000004501209000206/formofnonempdrsa.htm" TargetMode="External"/><Relationship Id="rId123" Type="http://schemas.openxmlformats.org/officeDocument/2006/relationships/hyperlink" Target="http://www.sec.gov/Archives/edgar/data/45012/000004501212000075/exhibit_10-43.htm" TargetMode="External"/><Relationship Id="rId124" Type="http://schemas.openxmlformats.org/officeDocument/2006/relationships/hyperlink" Target="http://www.sec.gov/Archives/edgar/data/45012/000004501217000117/executiveagreement_miller.htm" TargetMode="External"/><Relationship Id="rId125" Type="http://schemas.openxmlformats.org/officeDocument/2006/relationships/hyperlink" Target="http://www.sec.gov/Archives/edgar/data/45012/000004501219000093/formofnonstatstockoption_us.htm" TargetMode="External"/><Relationship Id="rId126" Type="http://schemas.openxmlformats.org/officeDocument/2006/relationships/hyperlink" Target="http://www.sec.gov/Archives/edgar/data/45012/000004501219000093/formofnonstatstockoption_int.htm" TargetMode="External"/><Relationship Id="rId127" Type="http://schemas.openxmlformats.org/officeDocument/2006/relationships/hyperlink" Target="http://www.sec.gov/Archives/edgar/data/45012/000004501218000059/hal_12312017-ex1046.htm" TargetMode="External"/><Relationship Id="rId128" Type="http://schemas.openxmlformats.org/officeDocument/2006/relationships/hyperlink" Target="http://www.sec.gov/Archives/edgar/data/45012/000004501218000059/hal_12312017-ex1047.htm" TargetMode="External"/><Relationship Id="rId129" Type="http://schemas.openxmlformats.org/officeDocument/2006/relationships/hyperlink" Target="http://www.sec.gov/Archives/edgar/data/45012/000004501219000044/hal12312018-ex1047.htm" TargetMode="External"/><Relationship Id="rId131" Type="http://schemas.openxmlformats.org/officeDocument/2006/relationships/hyperlink" Target="http://www.sec.gov/Archives/edgar/data/45012/000004501219000044/hal12312018-ex1048.htm" TargetMode="External"/><Relationship Id="rId132" Type="http://schemas.openxmlformats.org/officeDocument/2006/relationships/hyperlink" Target="http://www.sec.gov/Archives/edgar/data/45012/000004501219000112/hal06302019-ex108.htm" TargetMode="External"/><Relationship Id="rId133" Type="http://schemas.openxmlformats.org/officeDocument/2006/relationships/hyperlink" Target="http://www.sec.gov/ix?doc=/Archives/edgar/data/45012/000004501222000034/hal-20220427.htm" TargetMode="External"/><Relationship Id="rId134" Type="http://schemas.openxmlformats.org/officeDocument/2006/relationships/hyperlink" Target="http://www.sec.gov/Archives/edgar/data/45012/000004501220000031/hal12312019-ex1041.htm" TargetMode="External"/><Relationship Id="rId135" Type="http://schemas.openxmlformats.org/officeDocument/2006/relationships/hyperlink" Target="http://www.sec.gov/Archives/edgar/data/45012/000004501220000031/hal12312019-ex1042.htm" TargetMode="External"/><Relationship Id="rId136" Type="http://schemas.openxmlformats.org/officeDocument/2006/relationships/hyperlink" Target="http://www.sec.gov/Archives/edgar/data/45012/000004501220000031/hal12312019-ex1043.htm" TargetMode="External"/><Relationship Id="rId137" Type="http://schemas.openxmlformats.org/officeDocument/2006/relationships/hyperlink" Target="http://www.sec.gov/Archives/edgar/data/45012/000004501221000009/hal_12312020-ex1042.htm" TargetMode="External"/><Relationship Id="rId138" Type="http://schemas.openxmlformats.org/officeDocument/2006/relationships/hyperlink" Target="https://www.sec.gov/Archives/edgar/data/45012/000004501222000013/hal_12312021-ex1040.htm" TargetMode="External"/><Relationship Id="rId139" Type="http://schemas.openxmlformats.org/officeDocument/2006/relationships/hyperlink" Target="http://www.sec.gov/Archives/edgar/data/45012/000004501222000032/hal_03312022-ex101.htm" TargetMode="External"/><Relationship Id="rId140" Type="http://schemas.openxmlformats.org/officeDocument/2006/relationships/hyperlink" Target="http://www.sec.gov/Archives/edgar/data/45012/000004501222000032/hal_03312022-ex102.htm" TargetMode="External"/><Relationship Id="rId141" Type="http://schemas.openxmlformats.org/officeDocument/2006/relationships/hyperlink" Target="http://www.sec.gov/Archives/edgar/data/45012/000004501223000027/hal_03312023-ex101.htm" TargetMode="External"/><Relationship Id="rId142" Type="http://schemas.openxmlformats.org/officeDocument/2006/relationships/hyperlink" Target="http://www.sec.gov/Archives/edgar/data/45012/000004501223000046/hal_06302023-ex101.htm" TargetMode="External"/><Relationship Id="rId143" Type="http://schemas.openxmlformats.org/officeDocument/2006/relationships/hyperlink" Target="http://www.sec.gov/Archives/edgar/data/45012/000004501223000046/hal_06302023-ex102.htm" TargetMode="External"/><Relationship Id="rId145" Type="http://schemas.openxmlformats.org/officeDocument/2006/relationships/hyperlink" Target="http://www.sec.gov/Archives/edgar/data/45012/000004501223000011/hal_12312022-ex10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2024-02-06T13:52:01Z</dcterms:created>
  <dcterms:modified xsi:type="dcterms:W3CDTF">2024-02-06T13:52:01Z</dcterms:modified>
</cp:coreProperties>
</file>