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May 20, 2026</w:t>
      </w:r>
    </w:p>
    <w:p>
      <w:pPr>
        <w:pStyle w:val="TextBody"/>
        <w:bidi w:val="0"/>
        <w:spacing w:lineRule="auto" w:line="240" w:before="0" w:after="0"/>
        <w:jc w:val="both"/>
        <w:rPr>
          <w:color w:val="000000"/>
        </w:rPr>
      </w:pPr>
      <w:r>
        <w:rPr>
          <w:color w:val="000000"/>
        </w:rPr>
        <w:t>    </w:t>
      </w:r>
      <w:r>
        <w:rPr>
          <w:rFonts w:ascii="Times New Roman;serif" w:hAnsi="Times New Roman;serif"/>
          <w:b/>
          <w:color w:val="000000"/>
          <w:sz w:val="20"/>
        </w:rPr>
        <w:t>Registration No. 333-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______________________</w:t>
      </w:r>
    </w:p>
    <w:p>
      <w:pPr>
        <w:pStyle w:val="TextBody"/>
        <w:bidi w:val="0"/>
        <w:spacing w:before="0" w:after="0"/>
        <w:jc w:val="center"/>
        <w:rPr/>
      </w:pPr>
      <w:r>
        <w:rPr/>
      </w:r>
    </w:p>
    <w:p>
      <w:pPr>
        <w:pStyle w:val="TextBody"/>
        <w:bidi w:val="0"/>
        <w:spacing w:lineRule="auto" w:line="240" w:before="0" w:after="120"/>
        <w:jc w:val="center"/>
        <w:rPr>
          <w:rFonts w:ascii="Times New Roman;serif" w:hAnsi="Times New Roman;serif"/>
          <w:b/>
          <w:color w:val="000000"/>
          <w:sz w:val="28"/>
        </w:rPr>
      </w:pPr>
      <w:r>
        <w:rPr>
          <w:rFonts w:ascii="Times New Roman;serif" w:hAnsi="Times New Roman;serif"/>
          <w:b/>
          <w:color w:val="000000"/>
          <w:sz w:val="28"/>
        </w:rPr>
        <w:t>FORM S-8</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REGISTRATION STATEMENT UNDER THE</w:t>
      </w:r>
    </w:p>
    <w:p>
      <w:pPr>
        <w:pStyle w:val="TextBody"/>
        <w:bidi w:val="0"/>
        <w:spacing w:lineRule="auto" w:line="240" w:before="0" w:after="120"/>
        <w:jc w:val="center"/>
        <w:rPr>
          <w:rFonts w:ascii="Times New Roman;serif" w:hAnsi="Times New Roman;serif"/>
          <w:b/>
          <w:color w:val="000000"/>
          <w:sz w:val="24"/>
        </w:rPr>
      </w:pPr>
      <w:r>
        <w:rPr>
          <w:rFonts w:ascii="Times New Roman;serif" w:hAnsi="Times New Roman;serif"/>
          <w:b/>
          <w:color w:val="000000"/>
          <w:sz w:val="24"/>
        </w:rPr>
        <w:t>SECURITIES ACT OF 1933</w:t>
      </w:r>
    </w:p>
    <w:p>
      <w:pPr>
        <w:pStyle w:val="TextBody"/>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______________________</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40"/>
        </w:rPr>
      </w:pPr>
      <w:r>
        <w:rPr>
          <w:rFonts w:ascii="Times New Roman;serif" w:hAnsi="Times New Roman;serif"/>
          <w:b/>
          <w:color w:val="000000"/>
          <w:sz w:val="40"/>
        </w:rPr>
        <w:t>HALLIBURTON COMPANY</w:t>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0" w:after="120"/>
        <w:jc w:val="left"/>
        <w:rPr/>
      </w:pPr>
      <w:r>
        <w:rPr/>
      </w:r>
    </w:p>
    <w:tbl>
      <w:tblPr>
        <w:tblW w:w="4271" w:type="dxa"/>
        <w:jc w:val="left"/>
        <w:tblInd w:w="0" w:type="dxa"/>
        <w:tblLayout w:type="fixed"/>
        <w:tblCellMar>
          <w:top w:w="28" w:type="dxa"/>
          <w:left w:w="28" w:type="dxa"/>
          <w:bottom w:w="28" w:type="dxa"/>
          <w:right w:w="28" w:type="dxa"/>
        </w:tblCellMar>
      </w:tblPr>
      <w:tblGrid>
        <w:gridCol w:w="898"/>
        <w:gridCol w:w="792"/>
        <w:gridCol w:w="799"/>
        <w:gridCol w:w="109"/>
        <w:gridCol w:w="109"/>
        <w:gridCol w:w="109"/>
        <w:gridCol w:w="424"/>
        <w:gridCol w:w="424"/>
        <w:gridCol w:w="607"/>
      </w:tblGrid>
      <w:tr>
        <w:trPr/>
        <w:tc>
          <w:tcPr>
            <w:tcW w:w="89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firstLine="24"/>
              <w:jc w:val="center"/>
              <w:rPr/>
            </w:pPr>
            <w:r>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75-2677995</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3000 North Sam Houston Parkway East</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Houston, Texas 77032</w:t>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color w:val="000000"/>
          <w:sz w:val="18"/>
        </w:rPr>
        <w:br/>
      </w:r>
      <w:r>
        <w:rPr>
          <w:rFonts w:ascii="Times New Roman;serif" w:hAnsi="Times New Roman;serif"/>
          <w:b/>
          <w:color w:val="000000"/>
          <w:sz w:val="18"/>
          <w:shd w:fill="FFFFFF" w:val="clear"/>
        </w:rPr>
        <w:t>Halliburton Company Stock and Incentive Plan</w:t>
      </w:r>
    </w:p>
    <w:p>
      <w:pPr>
        <w:pStyle w:val="TextBody"/>
        <w:bidi w:val="0"/>
        <w:spacing w:lineRule="auto" w:line="240"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As Amended and Restated February 10, 2026</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and </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Halliburton Company Employee Stock Purchase Plan</w:t>
      </w:r>
    </w:p>
    <w:p>
      <w:pPr>
        <w:pStyle w:val="TextBody"/>
        <w:bidi w:val="0"/>
        <w:spacing w:lineRule="auto" w:line="240"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As Amended and Restated February 10, 2026</w:t>
      </w:r>
    </w:p>
    <w:p>
      <w:pPr>
        <w:pStyle w:val="TextBody"/>
        <w:bidi w:val="0"/>
        <w:spacing w:lineRule="auto" w:line="240" w:before="0" w:after="0"/>
        <w:jc w:val="center"/>
        <w:rPr/>
      </w:pPr>
      <w:r>
        <w:rPr>
          <w:rFonts w:ascii="Times New Roman;serif" w:hAnsi="Times New Roman;serif"/>
          <w:b/>
          <w:color w:val="000000"/>
          <w:sz w:val="18"/>
        </w:rPr>
        <w:br/>
      </w:r>
      <w:r>
        <w:rPr>
          <w:rFonts w:ascii="Times New Roman;serif" w:hAnsi="Times New Roman;serif"/>
          <w:b w:val="false"/>
          <w:color w:val="000000"/>
          <w:sz w:val="18"/>
        </w:rPr>
        <w:t>(Full Title of the Plan)</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______________________</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Van H. Beckwith</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Executive Vice President, Secretary and Chief Legal Officer</w:t>
        <w:br/>
        <w:t>Halliburton Company</w:t>
        <w:br/>
        <w:t>3000 North Sam Houston Parkway East</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Houston, Texas 77032</w:t>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(Name and Address of Agent for Service)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(281) 871-2699</w:t>
      </w:r>
    </w:p>
    <w:p>
      <w:pPr>
        <w:pStyle w:val="TextBody"/>
        <w:bidi w:val="0"/>
        <w:spacing w:lineRule="auto" w:line="240" w:before="0" w:after="0"/>
        <w:jc w:val="left"/>
        <w:rPr>
          <w:color w:val="000000"/>
        </w:rPr>
      </w:pPr>
      <w:r>
        <w:rPr>
          <w:color w:val="000000"/>
        </w:rPr>
        <w:t>    </w:t>
      </w:r>
      <w:r>
        <w:rPr>
          <w:rFonts w:ascii="Times New Roman;serif" w:hAnsi="Times New Roman;serif"/>
          <w:b w:val="false"/>
          <w:color w:val="000000"/>
          <w:sz w:val="18"/>
        </w:rPr>
        <w:t>(Telephone Number, including area code, of agent for service)    </w:t>
      </w:r>
    </w:p>
    <w:p>
      <w:pPr>
        <w:pStyle w:val="TextBody"/>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______________________</w:t>
      </w:r>
    </w:p>
    <w:p>
      <w:pPr>
        <w:pStyle w:val="TextBody"/>
        <w:bidi w:val="0"/>
        <w:spacing w:before="0" w:after="0"/>
        <w:jc w:val="center"/>
        <w:rPr/>
      </w:pPr>
      <w:r>
        <w:rPr/>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58"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on Form S-8 (this “Registration Statement”) of Halliburton Company (the “Registrant”) relates to (i) 19,900,000 additional shares of its common stock, par value $2.50 per share (“Common Stock”), reserved for issuance under the Halliburton Company Stock and Incentive Plan, as Amended and Restated February 10, 2026 (the “Stock and Incentive Plan”), which include shares of Common Stock that may again become available for delivery with respect to awards under the Stock and Incentive Plan pursuant to the share counting, share recycling and other terms and conditions of the Stock and Incentive Plan, and (ii) 30,000,000 additional shares of Common Stock reserved for issuance under the Halliburton Company Employee Stock Purchase Plan, as Amended and Restated February 10, 2026 (the “ESPP” and, together with the Stock and Incentive Plan, each, a “Plan” and, collectively, the “Plans”). Pursuant to Rule 416(a) under the Securities Act of 1933, as amended (the “Securities Act”), this Registration Statement shall also cover such indeterminate number of additional shares of Common Stock that become issuable under the Plans by reason of any stock dividend, stock split, recapitalization or other similar transaction pursuant to the adjustment or antidilution provisions thereof.</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Times New Roman;serif" w:hAnsi="Times New Roman;serif"/>
          <w:b w:val="false"/>
          <w:color w:val="000000"/>
          <w:sz w:val="20"/>
        </w:rPr>
        <w:t>The document(s) containing the information specified in Part I of Form S-8 will be sent or given to the participating employees and non-management directors as specified by Rule 428(b)(1) under the Securities Act. Such documents and the documents incorporated by reference herein pursuant to Item 3 of Part II hereof, taken together, constitute a prospectus that meets the requirements of Section 10(a) of the Securities Act.</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color w:val="000000"/>
          <w:sz w:val="20"/>
        </w:rPr>
        <w:t>Item 3.     </w:t>
      </w:r>
      <w:r>
        <w:rPr>
          <w:rFonts w:ascii="Times New Roman;serif" w:hAnsi="Times New Roman;serif"/>
          <w:b/>
          <w:color w:val="000000"/>
          <w:sz w:val="20"/>
          <w:u w:val="single"/>
        </w:rPr>
        <w:t>Incorporation of Documents by Reference</w:t>
      </w:r>
      <w:r>
        <w:rPr>
          <w:rFonts w:ascii="Times New Roman;serif" w:hAnsi="Times New Roman;serif"/>
          <w:b/>
          <w:color w:val="000000"/>
          <w:sz w:val="20"/>
        </w:rPr>
        <w:t>.</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Registrant hereby incorporates by reference into this Registration Statement the following documents previously filed by the Registrant with the Securities and Exchange Commission (the “Commission”), except to the extent that information is deemed furnished and not filed pursuant to federal securities laws and regulations: </w:t>
      </w:r>
    </w:p>
    <w:p>
      <w:pPr>
        <w:pStyle w:val="TextBody"/>
        <w:bidi w:val="0"/>
        <w:spacing w:before="0" w:after="0"/>
        <w:ind w:left="0" w:right="0" w:firstLine="72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0"/>
          <w:shd w:fill="FFFFFF" w:val="clear"/>
        </w:rPr>
        <w:t xml:space="preserve">(a)The Registrant’s Annual Report on Form 10-K for the fiscal year ended December 31, 2025, filed with the Commission on </w:t>
      </w:r>
      <w:hyperlink r:id="rId2">
        <w:r>
          <w:rPr>
            <w:rStyle w:val="InternetLink"/>
          </w:rPr>
          <w:t xml:space="preserve">February </w:t>
        </w:r>
      </w:hyperlink>
      <w:hyperlink r:id="rId3">
        <w:r>
          <w:rPr>
            <w:rStyle w:val="InternetLink"/>
          </w:rPr>
          <w:t>6</w:t>
        </w:r>
      </w:hyperlink>
      <w:hyperlink r:id="rId4">
        <w:r>
          <w:rPr>
            <w:rStyle w:val="InternetLink"/>
          </w:rPr>
          <w:t>, 20</w:t>
        </w:r>
      </w:hyperlink>
      <w:hyperlink r:id="rId5">
        <w:r>
          <w:rPr>
            <w:rStyle w:val="InternetLink"/>
          </w:rPr>
          <w:t>26</w:t>
        </w:r>
      </w:hyperlink>
      <w:r>
        <w:rPr>
          <w:color w:val="000000"/>
          <w:shd w:fill="FFFFFF" w:val="clear"/>
        </w:rPr>
        <w:t xml:space="preserve"> </w:t>
      </w:r>
      <w:r>
        <w:rPr>
          <w:rFonts w:ascii="Times New Roman;serif" w:hAnsi="Times New Roman;serif"/>
          <w:b w:val="false"/>
          <w:color w:val="000000"/>
          <w:sz w:val="20"/>
          <w:shd w:fill="FFFFFF" w:val="clear"/>
        </w:rPr>
        <w:t xml:space="preserve">(the “2025 Form 10-K”);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0"/>
          <w:shd w:fill="FFFFFF" w:val="clear"/>
        </w:rPr>
        <w:t xml:space="preserve">(b)The Registrant’s Definitive Proxy Statement on Schedule 14A filed with the Commission on </w:t>
      </w:r>
      <w:hyperlink r:id="rId6">
        <w:r>
          <w:rPr>
            <w:rStyle w:val="InternetLink"/>
          </w:rPr>
          <w:t>March</w:t>
        </w:r>
      </w:hyperlink>
      <w:hyperlink r:id="rId7">
        <w:r>
          <w:rPr>
            <w:rStyle w:val="InternetLink"/>
          </w:rPr>
          <w:t xml:space="preserve"> </w:t>
        </w:r>
      </w:hyperlink>
      <w:hyperlink r:id="rId8">
        <w:r>
          <w:rPr>
            <w:rStyle w:val="InternetLink"/>
            <w:rFonts w:ascii="Times New Roman;serif" w:hAnsi="Times New Roman;serif"/>
            <w:b w:val="false"/>
            <w:color w:val="000080"/>
            <w:sz w:val="20"/>
            <w:u w:val="single"/>
          </w:rPr>
          <w:t xml:space="preserve">31, </w:t>
        </w:r>
      </w:hyperlink>
      <w:hyperlink r:id="rId9">
        <w:r>
          <w:rPr>
            <w:rStyle w:val="InternetLink"/>
            <w:rFonts w:ascii="Times New Roman;serif" w:hAnsi="Times New Roman;serif"/>
            <w:b w:val="false"/>
            <w:color w:val="000080"/>
            <w:sz w:val="20"/>
            <w:u w:val="single"/>
          </w:rPr>
          <w:t>2026</w:t>
        </w:r>
      </w:hyperlink>
      <w:r>
        <w:rPr>
          <w:rFonts w:ascii="Times New Roman;serif" w:hAnsi="Times New Roman;serif"/>
          <w:b w:val="false"/>
          <w:color w:val="000000"/>
          <w:sz w:val="20"/>
          <w:shd w:fill="FFFFFF" w:val="clear"/>
        </w:rPr>
        <w:t>, to the extent incorporated by reference into PART III of the 2025 Form 10-K;</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0"/>
        </w:rPr>
        <w:t>(c)The Registrant</w:t>
      </w:r>
      <w:r>
        <w:rPr>
          <w:color w:val="000000"/>
          <w:shd w:fill="FFFFFF" w:val="clear"/>
        </w:rPr>
        <w:t>’</w:t>
      </w:r>
      <w:r>
        <w:rPr>
          <w:rFonts w:ascii="Times New Roman;serif" w:hAnsi="Times New Roman;serif"/>
          <w:b w:val="false"/>
          <w:color w:val="000000"/>
          <w:sz w:val="20"/>
        </w:rPr>
        <w:t>s Quarterly Report on Form 10-Q for the three months ended</w:t>
      </w:r>
      <w:r>
        <w:rPr>
          <w:color w:val="000000"/>
          <w:shd w:fill="FFFFFF" w:val="clear"/>
        </w:rPr>
        <w:t xml:space="preserve"> </w:t>
      </w:r>
      <w:r>
        <w:rPr>
          <w:rFonts w:ascii="Times New Roman;serif" w:hAnsi="Times New Roman;serif"/>
          <w:b w:val="false"/>
          <w:color w:val="000000"/>
          <w:sz w:val="20"/>
          <w:shd w:fill="FFFFFF" w:val="clear"/>
        </w:rPr>
        <w:t>March</w:t>
      </w:r>
      <w:r>
        <w:rPr>
          <w:color w:val="000000"/>
        </w:rPr>
        <w:t xml:space="preserve"> </w:t>
      </w:r>
      <w:r>
        <w:rPr>
          <w:rFonts w:ascii="Times New Roman;serif" w:hAnsi="Times New Roman;serif"/>
          <w:b w:val="false"/>
          <w:color w:val="000000"/>
          <w:sz w:val="20"/>
        </w:rPr>
        <w:t xml:space="preserve">31, </w:t>
      </w:r>
      <w:r>
        <w:rPr>
          <w:rFonts w:ascii="Times New Roman;serif" w:hAnsi="Times New Roman;serif"/>
          <w:b w:val="false"/>
          <w:color w:val="000000"/>
          <w:sz w:val="20"/>
          <w:shd w:fill="FFFFFF" w:val="clear"/>
        </w:rPr>
        <w:t>2026, fi</w:t>
      </w:r>
      <w:r>
        <w:rPr>
          <w:rFonts w:ascii="Times New Roman;serif" w:hAnsi="Times New Roman;serif"/>
          <w:b w:val="false"/>
          <w:color w:val="000000"/>
          <w:sz w:val="20"/>
        </w:rPr>
        <w:t xml:space="preserve">led with the Commission on </w:t>
      </w:r>
      <w:hyperlink r:id="rId10">
        <w:r>
          <w:rPr>
            <w:rStyle w:val="InternetLink"/>
            <w:rFonts w:ascii="Times New Roman;serif" w:hAnsi="Times New Roman;serif"/>
            <w:b w:val="false"/>
            <w:color w:val="000080"/>
            <w:sz w:val="20"/>
            <w:u w:val="single"/>
          </w:rPr>
          <w:t>April</w:t>
        </w:r>
      </w:hyperlink>
      <w:hyperlink r:id="rId11">
        <w:r>
          <w:rPr>
            <w:rStyle w:val="InternetLink"/>
            <w:rFonts w:ascii="Times New Roman;serif" w:hAnsi="Times New Roman;serif"/>
            <w:b w:val="false"/>
            <w:color w:val="000080"/>
            <w:sz w:val="20"/>
            <w:u w:val="single"/>
          </w:rPr>
          <w:t xml:space="preserve"> 24</w:t>
        </w:r>
      </w:hyperlink>
      <w:hyperlink r:id="rId12">
        <w:r>
          <w:rPr>
            <w:rStyle w:val="InternetLink"/>
            <w:rFonts w:ascii="Times New Roman;serif" w:hAnsi="Times New Roman;serif"/>
            <w:b w:val="false"/>
            <w:color w:val="000080"/>
            <w:sz w:val="20"/>
            <w:u w:val="single"/>
          </w:rPr>
          <w:t>, 202</w:t>
        </w:r>
      </w:hyperlink>
      <w:hyperlink r:id="rId13">
        <w:r>
          <w:rPr>
            <w:rStyle w:val="InternetLink"/>
            <w:rFonts w:ascii="Times New Roman;serif" w:hAnsi="Times New Roman;serif"/>
            <w:b w:val="false"/>
            <w:color w:val="000080"/>
            <w:sz w:val="20"/>
            <w:u w:val="single"/>
          </w:rPr>
          <w:t>6</w:t>
        </w:r>
      </w:hyperlink>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0"/>
        </w:rPr>
        <w:t>(d)The Registrant</w:t>
      </w:r>
      <w:r>
        <w:rPr>
          <w:color w:val="000000"/>
          <w:shd w:fill="FFFFFF" w:val="clear"/>
        </w:rPr>
        <w:t>’</w:t>
      </w:r>
      <w:r>
        <w:rPr>
          <w:rFonts w:ascii="Times New Roman;serif" w:hAnsi="Times New Roman;serif"/>
          <w:b w:val="false"/>
          <w:color w:val="000000"/>
          <w:sz w:val="20"/>
        </w:rPr>
        <w:t>s Current Repor</w:t>
      </w:r>
      <w:r>
        <w:rPr>
          <w:rFonts w:ascii="Times New Roman;serif" w:hAnsi="Times New Roman;serif"/>
          <w:b w:val="false"/>
          <w:color w:val="000000"/>
          <w:sz w:val="20"/>
          <w:shd w:fill="FFFFFF" w:val="clear"/>
        </w:rPr>
        <w:t xml:space="preserve">ts </w:t>
      </w:r>
      <w:r>
        <w:rPr>
          <w:rFonts w:ascii="Times New Roman;serif" w:hAnsi="Times New Roman;serif"/>
          <w:b w:val="false"/>
          <w:color w:val="000000"/>
          <w:sz w:val="20"/>
        </w:rPr>
        <w:t xml:space="preserve">on Form 8-K or Form 8-K/A filed with the Commission on </w:t>
      </w:r>
      <w:hyperlink r:id="rId14">
        <w:r>
          <w:rPr>
            <w:rStyle w:val="InternetLink"/>
            <w:rFonts w:ascii="Times New Roman;serif" w:hAnsi="Times New Roman;serif"/>
            <w:b w:val="false"/>
            <w:color w:val="0000FF"/>
            <w:sz w:val="20"/>
            <w:u w:val="single"/>
          </w:rPr>
          <w:t>January 14, 2026</w:t>
        </w:r>
      </w:hyperlink>
      <w:r>
        <w:rPr>
          <w:rFonts w:ascii="Times New Roman;serif" w:hAnsi="Times New Roman;serif"/>
          <w:b w:val="false"/>
          <w:color w:val="000000"/>
          <w:sz w:val="20"/>
        </w:rPr>
        <w:t xml:space="preserve">, </w:t>
      </w:r>
      <w:hyperlink r:id="rId15">
        <w:r>
          <w:rPr>
            <w:rStyle w:val="InternetLink"/>
            <w:rFonts w:ascii="Times New Roman;serif" w:hAnsi="Times New Roman;serif"/>
            <w:b w:val="false"/>
            <w:color w:val="0000FF"/>
            <w:sz w:val="20"/>
            <w:u w:val="single"/>
          </w:rPr>
          <w:t>February 11, 2026</w:t>
        </w:r>
      </w:hyperlink>
      <w:r>
        <w:rPr>
          <w:rFonts w:ascii="Times New Roman;serif" w:hAnsi="Times New Roman;serif"/>
          <w:b w:val="false"/>
          <w:color w:val="000000"/>
          <w:sz w:val="20"/>
        </w:rPr>
        <w:t xml:space="preserve">, and </w:t>
      </w:r>
      <w:hyperlink r:id="rId16">
        <w:r>
          <w:rPr>
            <w:rStyle w:val="InternetLink"/>
            <w:rFonts w:ascii="Times New Roman;serif" w:hAnsi="Times New Roman;serif"/>
            <w:b w:val="false"/>
            <w:color w:val="000080"/>
            <w:sz w:val="20"/>
            <w:u w:val="single"/>
          </w:rPr>
          <w:t>May 2</w:t>
        </w:r>
      </w:hyperlink>
      <w:hyperlink r:id="rId17">
        <w:r>
          <w:rPr>
            <w:rStyle w:val="InternetLink"/>
            <w:rFonts w:ascii="Times New Roman;serif" w:hAnsi="Times New Roman;serif"/>
            <w:b w:val="false"/>
            <w:color w:val="000080"/>
            <w:sz w:val="20"/>
            <w:u w:val="single"/>
          </w:rPr>
          <w:t>0</w:t>
        </w:r>
      </w:hyperlink>
      <w:hyperlink r:id="rId18">
        <w:r>
          <w:rPr>
            <w:rStyle w:val="InternetLink"/>
            <w:rFonts w:ascii="Times New Roman;serif" w:hAnsi="Times New Roman;serif"/>
            <w:b w:val="false"/>
            <w:color w:val="000080"/>
            <w:sz w:val="20"/>
            <w:u w:val="single"/>
          </w:rPr>
          <w:t>, 2026</w:t>
        </w:r>
      </w:hyperlink>
      <w:r>
        <w:rPr>
          <w:rFonts w:ascii="Times New Roman;serif" w:hAnsi="Times New Roman;serif"/>
          <w:b w:val="false"/>
          <w:color w:val="000000"/>
          <w:sz w:val="20"/>
        </w:rPr>
        <w:t>; and</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0"/>
        </w:rPr>
        <w:t>(e)The description of the Common Stock contained in the Registrant</w:t>
      </w:r>
      <w:r>
        <w:rPr>
          <w:color w:val="000000"/>
          <w:shd w:fill="FFFFFF" w:val="clear"/>
        </w:rPr>
        <w:t>’</w:t>
      </w:r>
      <w:r>
        <w:rPr>
          <w:rFonts w:ascii="Times New Roman;serif" w:hAnsi="Times New Roman;serif"/>
          <w:b w:val="false"/>
          <w:color w:val="000000"/>
          <w:sz w:val="20"/>
        </w:rPr>
        <w:t>s Registration Statement on Form 8-A (No. 001-03492) filed with the Commission on</w:t>
      </w:r>
      <w:r>
        <w:rPr>
          <w:color w:val="000000"/>
          <w:shd w:fill="FFFFFF" w:val="clear"/>
        </w:rPr>
        <w:t xml:space="preserve"> </w:t>
      </w:r>
      <w:hyperlink r:id="rId19">
        <w:r>
          <w:rPr>
            <w:rStyle w:val="InternetLink"/>
            <w:rFonts w:ascii="Times New Roman;serif" w:hAnsi="Times New Roman;serif"/>
            <w:b w:val="false"/>
            <w:color w:val="0000FF"/>
            <w:sz w:val="20"/>
            <w:u w:val="single"/>
            <w:shd w:fill="FFFFFF" w:val="clear"/>
          </w:rPr>
          <w:t>May 28, 2025</w:t>
        </w:r>
      </w:hyperlink>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including any amendment or report filed for the purpose of updating such description. </w:t>
      </w:r>
    </w:p>
    <w:p>
      <w:pPr>
        <w:pStyle w:val="TextBody"/>
        <w:bidi w:val="0"/>
        <w:spacing w:before="0" w:after="0"/>
        <w:ind w:left="0" w:right="0" w:hanging="36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 xml:space="preserve">All reports and definitive proxy or information statements filed pursuant to Section 13(a), 13(c), 14, or 15(d) of the Securities Exchange Act of 1934, as amended (the </w:t>
      </w:r>
      <w:r>
        <w:rPr>
          <w:color w:val="000000"/>
          <w:shd w:fill="FFFFFF" w:val="clear"/>
        </w:rPr>
        <w:t>“</w:t>
      </w:r>
      <w:r>
        <w:rPr>
          <w:rFonts w:ascii="Times New Roman;serif" w:hAnsi="Times New Roman;serif"/>
          <w:b w:val="false"/>
          <w:color w:val="000000"/>
          <w:sz w:val="20"/>
        </w:rPr>
        <w:t>Exchange Act</w:t>
      </w:r>
      <w:r>
        <w:rPr>
          <w:color w:val="000000"/>
          <w:shd w:fill="FFFFFF" w:val="clear"/>
        </w:rPr>
        <w:t>”</w:t>
      </w:r>
      <w:r>
        <w:rPr>
          <w:rFonts w:ascii="Times New Roman;serif" w:hAnsi="Times New Roman;serif"/>
          <w:b w:val="false"/>
          <w:color w:val="000000"/>
          <w:sz w:val="20"/>
        </w:rPr>
        <w: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to the extent that information is deemed furnished and not filed pursuant to federal securities laws and regulations. Any statement contained herein or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jc w:val="both"/>
        <w:rPr/>
      </w:pPr>
      <w:r>
        <w:rPr/>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0"/>
        </w:rPr>
        <w:t>Item 4.     </w:t>
      </w:r>
      <w:r>
        <w:rPr>
          <w:rFonts w:ascii="Times New Roman;serif" w:hAnsi="Times New Roman;serif"/>
          <w:b/>
          <w:color w:val="000000"/>
          <w:sz w:val="20"/>
          <w:u w:val="single"/>
        </w:rPr>
        <w:t>Description of Securities</w:t>
      </w:r>
      <w:r>
        <w:rPr>
          <w:rFonts w:ascii="Times New Roman;serif" w:hAnsi="Times New Roman;serif"/>
          <w:b/>
          <w:color w:val="000000"/>
          <w:sz w:val="20"/>
        </w:rPr>
        <w:t>.</w:t>
      </w:r>
    </w:p>
    <w:p>
      <w:pPr>
        <w:pStyle w:val="TextBody"/>
        <w:bidi w:val="0"/>
        <w:spacing w:lineRule="auto" w:line="240" w:before="0" w:after="240"/>
        <w:jc w:val="both"/>
        <w:rPr/>
      </w:pPr>
      <w:r>
        <w:rPr>
          <w:color w:val="000000"/>
        </w:rPr>
        <w:t>    </w:t>
      </w:r>
      <w:r>
        <w:rPr>
          <w:rFonts w:ascii="Times New Roman;serif" w:hAnsi="Times New Roman;serif"/>
          <w:b w:val="false"/>
          <w:color w:val="000000"/>
          <w:sz w:val="20"/>
        </w:rPr>
        <w:t>Not Applicable.</w:t>
      </w:r>
    </w:p>
    <w:p>
      <w:pPr>
        <w:pStyle w:val="TextBody"/>
        <w:bidi w:val="0"/>
        <w:spacing w:lineRule="auto" w:line="240" w:before="240" w:after="240"/>
        <w:jc w:val="both"/>
        <w:rPr/>
      </w:pPr>
      <w:r>
        <w:rPr>
          <w:rFonts w:ascii="Times New Roman;serif" w:hAnsi="Times New Roman;serif"/>
          <w:b/>
          <w:color w:val="000000"/>
          <w:sz w:val="20"/>
        </w:rPr>
        <w:t>Item 5.     </w:t>
      </w:r>
      <w:r>
        <w:rPr>
          <w:rFonts w:ascii="Times New Roman;serif" w:hAnsi="Times New Roman;serif"/>
          <w:b/>
          <w:color w:val="000000"/>
          <w:sz w:val="20"/>
          <w:u w:val="single"/>
        </w:rPr>
        <w:t>Interests of Named Experts and Counsel</w:t>
      </w:r>
      <w:r>
        <w:rPr>
          <w:rFonts w:ascii="Times New Roman;serif" w:hAnsi="Times New Roman;serif"/>
          <w:b/>
          <w:color w:val="000000"/>
          <w:sz w:val="20"/>
        </w:rPr>
        <w:t>.</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validity of the securities being registered hereby has been passed upon for the Registrant by Pamela Taylor, Vice President and Assistant Secretary of the Registrant. Ms. Taylor is a full-time employee of the Registrant, owns less than 0.1% of the outstanding shares of Common Stock and is eligible to (i) receive awards under the Stock and Incentive Plan and (ii) participate in the ESPP. </w:t>
      </w:r>
    </w:p>
    <w:p>
      <w:pPr>
        <w:pStyle w:val="TextBody"/>
        <w:bidi w:val="0"/>
        <w:spacing w:before="0" w:after="0"/>
        <w:ind w:left="0" w:right="0" w:firstLine="720"/>
        <w:jc w:val="both"/>
        <w:rPr/>
      </w:pPr>
      <w:r>
        <w:rPr/>
      </w:r>
    </w:p>
    <w:p>
      <w:pPr>
        <w:pStyle w:val="TextBody"/>
        <w:bidi w:val="0"/>
        <w:spacing w:lineRule="auto" w:line="240" w:before="0" w:after="0"/>
        <w:jc w:val="both"/>
        <w:rPr/>
      </w:pPr>
      <w:r>
        <w:rPr>
          <w:rFonts w:ascii="Times New Roman;serif" w:hAnsi="Times New Roman;serif"/>
          <w:b/>
          <w:color w:val="000000"/>
          <w:sz w:val="20"/>
        </w:rPr>
        <w:t>Item 6.     </w:t>
      </w:r>
      <w:r>
        <w:rPr>
          <w:rFonts w:ascii="Times New Roman;serif" w:hAnsi="Times New Roman;serif"/>
          <w:b/>
          <w:color w:val="000000"/>
          <w:sz w:val="20"/>
          <w:u w:val="single"/>
        </w:rPr>
        <w:t>Indemnification of Directors and Officers</w:t>
      </w:r>
      <w:r>
        <w:rPr>
          <w:rFonts w:ascii="Times New Roman;serif" w:hAnsi="Times New Roman;serif"/>
          <w:b/>
          <w:color w:val="000000"/>
          <w:sz w:val="20"/>
        </w:rPr>
        <w: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The discussion below summarizes the material indemnification provisions of the Registrant</w:t>
      </w:r>
      <w:r>
        <w:rPr>
          <w:color w:val="000000"/>
          <w:shd w:fill="FFFFFF" w:val="clear"/>
        </w:rPr>
        <w:t>’</w:t>
      </w:r>
      <w:r>
        <w:rPr>
          <w:rFonts w:ascii="Times New Roman;serif" w:hAnsi="Times New Roman;serif"/>
          <w:b w:val="false"/>
          <w:color w:val="000000"/>
          <w:sz w:val="20"/>
        </w:rPr>
        <w:t>s amended and restated certificate of incorporation (</w:t>
      </w:r>
      <w:r>
        <w:rPr>
          <w:color w:val="000000"/>
          <w:shd w:fill="FFFFFF" w:val="clear"/>
        </w:rPr>
        <w:t>“</w:t>
      </w:r>
      <w:r>
        <w:rPr>
          <w:rFonts w:ascii="Times New Roman;serif" w:hAnsi="Times New Roman;serif"/>
          <w:b w:val="false"/>
          <w:color w:val="000000"/>
          <w:sz w:val="20"/>
        </w:rPr>
        <w:t>certificate of incorporation</w:t>
      </w:r>
      <w:r>
        <w:rPr>
          <w:color w:val="000000"/>
          <w:shd w:fill="FFFFFF" w:val="clear"/>
        </w:rPr>
        <w:t>”</w:t>
      </w:r>
      <w:r>
        <w:rPr>
          <w:rFonts w:ascii="Times New Roman;serif" w:hAnsi="Times New Roman;serif"/>
          <w:b w:val="false"/>
          <w:color w:val="000000"/>
          <w:sz w:val="20"/>
        </w:rPr>
        <w:t xml:space="preserve">) and by-laws and Section 145 of the General Corporation Law of the State of Delaware (the </w:t>
      </w:r>
      <w:r>
        <w:rPr>
          <w:color w:val="000000"/>
          <w:shd w:fill="FFFFFF" w:val="clear"/>
        </w:rPr>
        <w:t>“</w:t>
      </w:r>
      <w:r>
        <w:rPr>
          <w:rFonts w:ascii="Times New Roman;serif" w:hAnsi="Times New Roman;serif"/>
          <w:b w:val="false"/>
          <w:color w:val="000000"/>
          <w:sz w:val="20"/>
        </w:rPr>
        <w:t>DGCL</w:t>
      </w:r>
      <w:r>
        <w:rPr>
          <w:color w:val="000000"/>
          <w:shd w:fill="FFFFFF" w:val="clear"/>
        </w:rPr>
        <w: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145 of the DGCL provides that a Delaware corporation has the power, under specified circumstances, to indemnify its directors, officers, employees and agents or persons who are or were serving at the request of the corporation as directors, officers, employees or agents of another entity. Indemnification is allowed in connection with threatened, pending, or completed actions, suits, or proceedings, whether civil, criminal, administrative or investigative, other than an action by or in right of the corporation, brought against them by reason of the fact that they were or are directors, officers, employees or agents, for expenses, judgments, fines and amounts paid in settlement actually and reasonably incurred in connection with such action, suit, or proceeding if: (1) he or she acted in good faith and in a manner he or she reasonably believed to be in or not opposed to the best interests of the corporation and (2) with respect to any criminal proceeding, he or she had no reasonable cause to believe that his or her conduct was unlawful. The termination of any action, suit or proceeding by judgment, order, settlement, conviction, or upon a plea of nolo contendere or its equivalent, shall not, of itself, create a presumption that a person did not act in good faith and in a manner which he or she reasonably believed to be in or not opposed to the best interests of the corporation, and, with respect to any criminal proceeding, had reasonable cause to believe that his or her conduct was unlawful.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Section 35 of the Registrant</w:t>
      </w:r>
      <w:r>
        <w:rPr>
          <w:color w:val="000000"/>
          <w:shd w:fill="FFFFFF" w:val="clear"/>
        </w:rPr>
        <w:t>’</w:t>
      </w:r>
      <w:r>
        <w:rPr>
          <w:rFonts w:ascii="Times New Roman;serif" w:hAnsi="Times New Roman;serif"/>
          <w:b w:val="false"/>
          <w:color w:val="000000"/>
          <w:sz w:val="20"/>
        </w:rPr>
        <w:t>s by-laws provides for mandatory indemnification, to the fullest extent permitted by the DGCL as it existed at the time the indemnification provisions of the Registrant</w:t>
      </w:r>
      <w:r>
        <w:rPr>
          <w:color w:val="000000"/>
          <w:shd w:fill="FFFFFF" w:val="clear"/>
        </w:rPr>
        <w:t>’</w:t>
      </w:r>
      <w:r>
        <w:rPr>
          <w:rFonts w:ascii="Times New Roman;serif" w:hAnsi="Times New Roman;serif"/>
          <w:b w:val="false"/>
          <w:color w:val="000000"/>
          <w:sz w:val="20"/>
        </w:rPr>
        <w:t xml:space="preserve">s by-laws were adopted or as it is thereafter amended, of each person who was or is or is threatened to be made a witness in or a party to any action, suit, arbitration, alternative dispute resolution mechanism, investigation, administrative hearing or any other proceeding, whether civil, criminal, administrative or investigative, because: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the person is or was an officer or director of the Registrant;</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the person is an employee or agent of the Registrant (and not also a director or officer of the Registrant) and the board of directors of the Registrant adopts a resolution specifically stating that such person shall be entitled to some or all of the benefits of Section 35 of the Registrant</w:t>
      </w:r>
      <w:r>
        <w:rPr>
          <w:color w:val="000000"/>
          <w:shd w:fill="FFFFFF" w:val="clear"/>
        </w:rPr>
        <w:t>’</w:t>
      </w:r>
      <w:r>
        <w:rPr>
          <w:rFonts w:ascii="Times New Roman;serif" w:hAnsi="Times New Roman;serif"/>
          <w:b w:val="false"/>
          <w:color w:val="000000"/>
          <w:sz w:val="20"/>
        </w:rPr>
        <w:t xml:space="preserve">s by-laws (an “Other Indemnified Person”); or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is a director, officer or Other Indemnified Person who is or was serving at the request of the Registrant as a director, officer or administrator of any other corporation, partnership, joint venture, trust, employee benefit plan or other enterprise.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Section 35 of the Registrant</w:t>
      </w:r>
      <w:r>
        <w:rPr>
          <w:color w:val="000000"/>
          <w:shd w:fill="FFFFFF" w:val="clear"/>
        </w:rPr>
        <w:t>’</w:t>
      </w:r>
      <w:r>
        <w:rPr>
          <w:rFonts w:ascii="Times New Roman;serif" w:hAnsi="Times New Roman;serif"/>
          <w:b w:val="false"/>
          <w:color w:val="000000"/>
          <w:sz w:val="20"/>
        </w:rPr>
        <w:t xml:space="preserve">s by-laws expressly provides that the right to indemnification as set forth therein is not exclusive of any other right that any person may have or acquire.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145 of the DGCL provides that a Delaware corporation has the power to purchase and maintain insurance on behalf of its directors, officers, employees or agents against liabilities asserted against and incurred by such person in his or her capacity or arising out of his or her status as a director, officer, employee or agent of the corporation. A Delaware corporation has this power whether or not the corporation has the power to indemnify such person against such liability under Section 145 of the DGCL.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Section 35 of the Registrant</w:t>
      </w:r>
      <w:r>
        <w:rPr>
          <w:color w:val="000000"/>
          <w:shd w:fill="FFFFFF" w:val="clear"/>
        </w:rPr>
        <w:t>’</w:t>
      </w:r>
      <w:r>
        <w:rPr>
          <w:rFonts w:ascii="Times New Roman;serif" w:hAnsi="Times New Roman;serif"/>
          <w:b w:val="false"/>
          <w:color w:val="000000"/>
          <w:sz w:val="20"/>
        </w:rPr>
        <w:t xml:space="preserve">s by-laws provides that the Registrant may maintain insurance, at its own expense, to protect itself and any person, including any person who is or was a director, officer, employee or agent of the Registrant or of another entity, against any expense, liability or loss. This insurance coverage may be maintained regardless of whether the Registrant would have the power to indemnify such person against such expense, liability or loss under the DGCL.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Section 102(b)(7) of the DGCL provides that a certificate of incorporation may contain a provision eliminating or limiting the personal liability of a director or officer to the corporation or its stockholders for monetary damages for breach of fiduciary duty as a director or officer. However, that provision shall not eliminate or limit the liability of: </w:t>
      </w:r>
    </w:p>
    <w:p>
      <w:pPr>
        <w:pStyle w:val="TextBody"/>
        <w:bidi w:val="0"/>
        <w:jc w:val="both"/>
        <w:rPr/>
      </w:pPr>
      <w:r>
        <w:rPr/>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a director or officer for any breach of the director’s or officer’s duty of loyalty to the corporation or its stockholders;</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a director or officer for acts or omissions not in good faith or which involve intentional misconduct or a knowing violation of law;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a director under Section 174 of the DGCL, relating to liability for unlawful acquisitions or redemptions of, or payment of dividends on, capital stock;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a director or officer for any transaction from which the director or officer derived an improper personal benefit; or</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an officer in any action by or in the right of the corporation.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Article XV of the Registrant</w:t>
      </w:r>
      <w:r>
        <w:rPr>
          <w:color w:val="000000"/>
          <w:shd w:fill="FFFFFF" w:val="clear"/>
        </w:rPr>
        <w:t>’</w:t>
      </w:r>
      <w:r>
        <w:rPr>
          <w:rFonts w:ascii="Times New Roman;serif" w:hAnsi="Times New Roman;serif"/>
          <w:b w:val="false"/>
          <w:color w:val="000000"/>
          <w:sz w:val="20"/>
        </w:rPr>
        <w:t xml:space="preserve">s certificate of incorporation provides that, to the fullest extent permitted by the DGCL, no director or officer shall be personally liable to the corporation or its stockholders for monetary damages for breach of fiduciary duty as a director or officer, subject to certain exceptions.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The foregoing statements are subject to the detailed provisions of Sections 145 and 102 of the DGCL and the Registrant</w:t>
      </w:r>
      <w:r>
        <w:rPr>
          <w:color w:val="000000"/>
          <w:shd w:fill="FFFFFF" w:val="clear"/>
        </w:rPr>
        <w:t>’</w:t>
      </w:r>
      <w:r>
        <w:rPr>
          <w:rFonts w:ascii="Times New Roman;serif" w:hAnsi="Times New Roman;serif"/>
          <w:b w:val="false"/>
          <w:color w:val="000000"/>
          <w:sz w:val="20"/>
        </w:rPr>
        <w:t>s certificate of incorporation and by-laws.</w:t>
      </w:r>
    </w:p>
    <w:p>
      <w:pPr>
        <w:pStyle w:val="TextBody"/>
        <w:bidi w:val="0"/>
        <w:spacing w:lineRule="auto" w:line="240" w:before="240" w:after="240"/>
        <w:jc w:val="left"/>
        <w:rPr/>
      </w:pPr>
      <w:r>
        <w:rPr>
          <w:rFonts w:ascii="Times New Roman;serif" w:hAnsi="Times New Roman;serif"/>
          <w:b/>
          <w:color w:val="000000"/>
          <w:sz w:val="20"/>
        </w:rPr>
        <w:t>Item 7.     </w:t>
      </w:r>
      <w:r>
        <w:rPr>
          <w:rFonts w:ascii="Times New Roman;serif" w:hAnsi="Times New Roman;serif"/>
          <w:b/>
          <w:color w:val="000000"/>
          <w:sz w:val="20"/>
          <w:u w:val="single"/>
        </w:rPr>
        <w:t>Exemption from Registration Claimed</w:t>
      </w:r>
      <w:r>
        <w:rPr>
          <w:rFonts w:ascii="Times New Roman;serif" w:hAnsi="Times New Roman;serif"/>
          <w:b/>
          <w:color w:val="000000"/>
          <w:sz w:val="20"/>
        </w:rPr>
        <w:t>.</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283"/>
        <w:jc w:val="left"/>
        <w:rPr/>
      </w:pPr>
      <w:r>
        <w:rPr/>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pPr>
      <w:r>
        <w:rPr>
          <w:rFonts w:ascii="Times New Roman;serif" w:hAnsi="Times New Roman;serif"/>
          <w:b/>
          <w:color w:val="000000"/>
          <w:sz w:val="20"/>
        </w:rPr>
        <w:t>Item 8.     </w:t>
      </w:r>
      <w:r>
        <w:rPr>
          <w:rFonts w:ascii="Times New Roman;serif" w:hAnsi="Times New Roman;serif"/>
          <w:b/>
          <w:color w:val="000000"/>
          <w:sz w:val="20"/>
          <w:u w:val="single"/>
        </w:rPr>
        <w:t>Exhibits</w:t>
      </w:r>
      <w:r>
        <w:rPr>
          <w:rFonts w:ascii="Times New Roman;serif" w:hAnsi="Times New Roman;serif"/>
          <w:b/>
          <w:color w:val="000000"/>
          <w:sz w:val="20"/>
        </w:rPr>
        <w:t xml:space="preserve">. </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part of this Registration Statement or incorporated by reference herein.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4"/>
        <w:gridCol w:w="227"/>
        <w:gridCol w:w="1844"/>
        <w:gridCol w:w="1786"/>
        <w:gridCol w:w="1733"/>
        <w:gridCol w:w="213"/>
        <w:gridCol w:w="213"/>
        <w:gridCol w:w="212"/>
        <w:gridCol w:w="266"/>
        <w:gridCol w:w="266"/>
        <w:gridCol w:w="238"/>
        <w:gridCol w:w="326"/>
        <w:gridCol w:w="326"/>
        <w:gridCol w:w="330"/>
        <w:gridCol w:w="348"/>
        <w:gridCol w:w="283"/>
        <w:gridCol w:w="284"/>
        <w:gridCol w:w="240"/>
        <w:gridCol w:w="240"/>
        <w:gridCol w:w="35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5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Incorporated by Reference</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5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 No.</w:t>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 Date</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Herewith</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53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00"/>
                  <w:sz w:val="20"/>
                  <w:u w:val="single"/>
                </w:rPr>
                <w:t>Amended and Restated Certificate of Incorporation of Halliburton Company filed with the Secretary of State of the State of Delaware on May 17, 2023.</w:t>
              </w:r>
            </w:hyperlink>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001-03492</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July 26, 2023</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53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00"/>
                  <w:sz w:val="20"/>
                  <w:u w:val="single"/>
                </w:rPr>
                <w:t>By-laws of Halliburton Company revised effective May 2, 2024.</w:t>
              </w:r>
            </w:hyperlink>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001-03492</w:t>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3, 2024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53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opinionandconsen.htm">
              <w:r>
                <w:rPr>
                  <w:rStyle w:val="InternetLink"/>
                  <w:rFonts w:ascii="Times New Roman;serif" w:hAnsi="Times New Roman;serif"/>
                  <w:b w:val="false"/>
                  <w:color w:val="000000"/>
                  <w:sz w:val="20"/>
                  <w:u w:val="single"/>
                </w:rPr>
                <w:t>Opinion of Pamela Taylor.</w:t>
              </w:r>
            </w:hyperlink>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53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consentofindepe.htm">
              <w:r>
                <w:rPr>
                  <w:rStyle w:val="InternetLink"/>
                  <w:rFonts w:ascii="Times New Roman;serif" w:hAnsi="Times New Roman;serif"/>
                  <w:b w:val="false"/>
                  <w:color w:val="000000"/>
                  <w:sz w:val="20"/>
                  <w:u w:val="single"/>
                </w:rPr>
                <w:t>Consent of Independent Registered Public Accounting Firm.</w:t>
              </w:r>
            </w:hyperlink>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53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opinionandconsen.htm">
              <w:r>
                <w:rPr>
                  <w:rStyle w:val="InternetLink"/>
                  <w:rFonts w:ascii="Times New Roman;serif" w:hAnsi="Times New Roman;serif"/>
                  <w:b w:val="false"/>
                  <w:color w:val="000000"/>
                  <w:sz w:val="20"/>
                  <w:u w:val="single"/>
                </w:rPr>
                <w:t>Consent of Pamela Taylor (contained in Exhibit 5.1).</w:t>
              </w:r>
            </w:hyperlink>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53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aab5c217364171a4e793bf6e662e16_62725">
              <w:r>
                <w:rPr>
                  <w:rStyle w:val="InternetLink"/>
                  <w:rFonts w:ascii="Times New Roman;serif" w:hAnsi="Times New Roman;serif"/>
                  <w:b w:val="false"/>
                  <w:color w:val="000080"/>
                  <w:sz w:val="20"/>
                  <w:u w:val="single"/>
                </w:rPr>
                <w:t xml:space="preserve">Power of Attorney (included on the signature pages of this </w:t>
              </w:r>
            </w:hyperlink>
            <w:hyperlink w:anchor="ia1aab5c217364171a4e793bf6e662e16_62725">
              <w:r>
                <w:rPr>
                  <w:rStyle w:val="InternetLink"/>
                  <w:rFonts w:ascii="Times New Roman;serif" w:hAnsi="Times New Roman;serif"/>
                  <w:b w:val="false"/>
                  <w:color w:val="000080"/>
                  <w:sz w:val="20"/>
                  <w:u w:val="single"/>
                </w:rPr>
                <w:t>R</w:t>
              </w:r>
            </w:hyperlink>
            <w:hyperlink w:anchor="ia1aab5c217364171a4e793bf6e662e16_62725">
              <w:r>
                <w:rPr>
                  <w:rStyle w:val="InternetLink"/>
                  <w:rFonts w:ascii="Times New Roman;serif" w:hAnsi="Times New Roman;serif"/>
                  <w:b w:val="false"/>
                  <w:color w:val="000080"/>
                  <w:sz w:val="20"/>
                  <w:u w:val="single"/>
                </w:rPr>
                <w:t xml:space="preserve">egistration </w:t>
              </w:r>
            </w:hyperlink>
            <w:hyperlink w:anchor="ia1aab5c217364171a4e793bf6e662e16_62725">
              <w:r>
                <w:rPr>
                  <w:rStyle w:val="InternetLink"/>
                  <w:rFonts w:ascii="Times New Roman;serif" w:hAnsi="Times New Roman;serif"/>
                  <w:b w:val="false"/>
                  <w:color w:val="000080"/>
                  <w:sz w:val="20"/>
                  <w:u w:val="single"/>
                </w:rPr>
                <w:t>S</w:t>
              </w:r>
            </w:hyperlink>
            <w:hyperlink w:anchor="ia1aab5c217364171a4e793bf6e662e16_62725">
              <w:r>
                <w:rPr>
                  <w:rStyle w:val="InternetLink"/>
                  <w:rFonts w:ascii="Times New Roman;serif" w:hAnsi="Times New Roman;serif"/>
                  <w:b w:val="false"/>
                  <w:color w:val="000080"/>
                  <w:sz w:val="20"/>
                  <w:u w:val="single"/>
                </w:rPr>
                <w:t>tatement)</w:t>
              </w:r>
            </w:hyperlink>
            <w:hyperlink w:anchor="ia1aab5c217364171a4e793bf6e662e16_62725">
              <w:r>
                <w:rPr>
                  <w:rStyle w:val="InternetLink"/>
                  <w:rFonts w:ascii="Times New Roman;serif" w:hAnsi="Times New Roman;serif"/>
                  <w:b w:val="false"/>
                  <w:color w:val="000080"/>
                  <w:sz w:val="20"/>
                  <w:u w:val="single"/>
                </w:rPr>
                <w:t>.</w:t>
              </w:r>
            </w:hyperlink>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5363"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00"/>
              </w:rPr>
              <w:instrText xml:space="preserve"> HYPERLINK "https://www.sec.gov/ix?doc=/Archives/edgar/data/45012/000004501226000033/hal-20260330.htm" \l "i4664a6c6dec24b54aa059e1585aa47d9_232"</w:instrText>
            </w:r>
            <w:r>
              <w:rPr>
                <w:rStyle w:val="InternetLink"/>
                <w:sz w:val="20"/>
                <w:u w:val="single"/>
                <w:b w:val="false"/>
                <w:rFonts w:ascii="Times New Roman;serif" w:hAnsi="Times New Roman;serif"/>
                <w:color w:val="000000"/>
              </w:rPr>
              <w:fldChar w:fldCharType="separate"/>
            </w:r>
            <w:r>
              <w:rPr>
                <w:rStyle w:val="InternetLink"/>
                <w:rFonts w:ascii="Times New Roman;serif" w:hAnsi="Times New Roman;serif"/>
                <w:b w:val="false"/>
                <w:color w:val="000000"/>
                <w:sz w:val="20"/>
                <w:u w:val="single"/>
              </w:rPr>
              <w:t>Halliburton Company Stock and Incentive Plan as Amended and Restated Effective February 10, 2026.</w:t>
            </w:r>
            <w:r>
              <w:rPr>
                <w:rStyle w:val="InternetLink"/>
                <w:sz w:val="20"/>
                <w:u w:val="single"/>
                <w:b w:val="false"/>
                <w:rFonts w:ascii="Times New Roman;serif" w:hAnsi="Times New Roman;serif"/>
                <w:color w:val="000000"/>
              </w:rPr>
              <w:fldChar w:fldCharType="end"/>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 14A</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001-03492</w:t>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Appendix B</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5363"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00"/>
              </w:rPr>
              <w:instrText xml:space="preserve"> HYPERLINK "https://www.sec.gov/ix?doc=/Archives/edgar/data/45012/000004501226000033/hal-20260330.htm" \l "i703e6bcf01744b778d8fadd6c46e2056_505142"</w:instrText>
            </w:r>
            <w:r>
              <w:rPr>
                <w:rStyle w:val="InternetLink"/>
                <w:sz w:val="20"/>
                <w:u w:val="single"/>
                <w:b w:val="false"/>
                <w:rFonts w:ascii="Times New Roman;serif" w:hAnsi="Times New Roman;serif"/>
                <w:color w:val="000000"/>
              </w:rPr>
              <w:fldChar w:fldCharType="separate"/>
            </w:r>
            <w:r>
              <w:rPr>
                <w:rStyle w:val="InternetLink"/>
                <w:rFonts w:ascii="Times New Roman;serif" w:hAnsi="Times New Roman;serif"/>
                <w:b w:val="false"/>
                <w:color w:val="000000"/>
                <w:sz w:val="20"/>
                <w:u w:val="single"/>
              </w:rPr>
              <w:t>Halliburton Company Employee Stock Purchase Plan as Amended and Restated Effective February 10, 2026.</w:t>
            </w:r>
            <w:r>
              <w:rPr>
                <w:rStyle w:val="InternetLink"/>
                <w:sz w:val="20"/>
                <w:u w:val="single"/>
                <w:b w:val="false"/>
                <w:rFonts w:ascii="Times New Roman;serif" w:hAnsi="Times New Roman;serif"/>
                <w:color w:val="000000"/>
              </w:rPr>
              <w:fldChar w:fldCharType="end"/>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 14A</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001-03492</w:t>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Appendix C</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53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00"/>
                  <w:sz w:val="20"/>
                  <w:u w:val="single"/>
                </w:rPr>
                <w:t>Calculation of Filing Fee Tables.</w:t>
              </w:r>
            </w:hyperlink>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w:t>
            </w:r>
          </w:p>
        </w:tc>
      </w:tr>
    </w:tbl>
    <w:p>
      <w:pPr>
        <w:pStyle w:val="TextBody"/>
        <w:bidi w:val="0"/>
        <w:spacing w:lineRule="auto" w:line="240" w:before="240" w:after="240"/>
        <w:jc w:val="left"/>
        <w:rPr/>
      </w:pPr>
      <w:r>
        <w:rPr>
          <w:rFonts w:ascii="Times New Roman;serif" w:hAnsi="Times New Roman;serif"/>
          <w:b/>
          <w:color w:val="000000"/>
          <w:sz w:val="20"/>
        </w:rPr>
        <w:t>Item 9.     </w:t>
      </w:r>
      <w:r>
        <w:rPr>
          <w:rFonts w:ascii="Times New Roman;serif" w:hAnsi="Times New Roman;serif"/>
          <w:b/>
          <w:color w:val="000000"/>
          <w:sz w:val="20"/>
          <w:u w:val="single"/>
        </w:rPr>
        <w:t>Undertakings</w:t>
      </w:r>
      <w:r>
        <w:rPr>
          <w:rFonts w:ascii="Times New Roman;serif" w:hAnsi="Times New Roman;serif"/>
          <w:b/>
          <w:color w:val="000000"/>
          <w:sz w:val="20"/>
        </w:rPr>
        <w:t>.</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The undersigned Registrant hereby undertakes: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(1) to file, during any period in which offers or sales are being made, a post-effective amendment to this Registration Statement: </w:t>
      </w:r>
    </w:p>
    <w:p>
      <w:pPr>
        <w:pStyle w:val="TextBody"/>
        <w:bidi w:val="0"/>
        <w:spacing w:before="0" w:after="0"/>
        <w:jc w:val="both"/>
        <w:rPr/>
      </w:pPr>
      <w:r>
        <w:rPr/>
      </w:r>
    </w:p>
    <w:p>
      <w:pPr>
        <w:pStyle w:val="TextBody"/>
        <w:bidi w:val="0"/>
        <w:spacing w:lineRule="auto" w:line="240" w:before="0" w:after="0"/>
        <w:ind w:left="0" w:right="0" w:firstLine="810"/>
        <w:jc w:val="both"/>
        <w:rPr>
          <w:rFonts w:ascii="Times New Roman;serif" w:hAnsi="Times New Roman;serif"/>
          <w:b w:val="false"/>
          <w:color w:val="000000"/>
          <w:sz w:val="20"/>
        </w:rPr>
      </w:pPr>
      <w:r>
        <w:rPr>
          <w:rFonts w:ascii="Times New Roman;serif" w:hAnsi="Times New Roman;serif"/>
          <w:b w:val="false"/>
          <w:color w:val="000000"/>
          <w:sz w:val="20"/>
        </w:rPr>
        <w:t xml:space="preserve">(i) to include any prospectus required by Section 10(a)(3) of the Securities Act; </w:t>
      </w:r>
    </w:p>
    <w:p>
      <w:pPr>
        <w:pStyle w:val="TextBody"/>
        <w:bidi w:val="0"/>
        <w:spacing w:before="0" w:after="0"/>
        <w:jc w:val="both"/>
        <w:rPr/>
      </w:pPr>
      <w:r>
        <w:rPr/>
      </w:r>
    </w:p>
    <w:p>
      <w:pPr>
        <w:pStyle w:val="TextBody"/>
        <w:bidi w:val="0"/>
        <w:spacing w:lineRule="auto" w:line="240" w:before="0" w:after="0"/>
        <w:ind w:left="0" w:right="0" w:firstLine="810"/>
        <w:jc w:val="both"/>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 </w:t>
      </w:r>
    </w:p>
    <w:p>
      <w:pPr>
        <w:pStyle w:val="TextBody"/>
        <w:bidi w:val="0"/>
        <w:spacing w:before="0" w:after="0"/>
        <w:jc w:val="both"/>
        <w:rPr/>
      </w:pPr>
      <w:r>
        <w:rPr/>
      </w:r>
    </w:p>
    <w:p>
      <w:pPr>
        <w:pStyle w:val="TextBody"/>
        <w:bidi w:val="0"/>
        <w:spacing w:lineRule="auto" w:line="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(iii) to include any material information with respect to the plan of distribution not previously disclosed in the Registration Statement or any material change to such information in the Registration Statement; 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720"/>
        <w:jc w:val="both"/>
        <w:rPr/>
      </w:pPr>
      <w:r>
        <w:rPr/>
      </w:r>
    </w:p>
    <w:p>
      <w:pPr>
        <w:pStyle w:val="TextBody"/>
        <w:bidi w:val="0"/>
        <w:spacing w:before="0" w:after="283"/>
        <w:jc w:val="left"/>
        <w:rPr/>
      </w:pPr>
      <w:r>
        <w:rPr/>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May 20, 2026.</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Halliburton Company</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Van H. Beckwith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Secretary and Chief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Officer</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shd w:fill="FFFFFF" w:val="clear"/>
        </w:rPr>
      </w:pPr>
      <w:bookmarkStart w:id="0" w:name="ia1aab5c217364171a4e793bf6e662e16_62725"/>
      <w:bookmarkEnd w:id="0"/>
      <w:r>
        <w:rPr>
          <w:rFonts w:ascii="Times New Roman;serif" w:hAnsi="Times New Roman;serif"/>
          <w:b/>
          <w:color w:val="000000"/>
          <w:sz w:val="20"/>
          <w:shd w:fill="FFFFFF" w:val="clear"/>
        </w:rPr>
        <w:t>POWER OF ATTORNEY</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person whose signature appears below appoints Van H. Beckwith, Pamela Taylor, Rebekkah Emerson and Sarah Rubenfeld, and each of them severally, as his or her true and lawful attorney or attorneys-in-fact and agent or agents, each with full power to act with or without the others and with full power of substitution and resubstitution, for him or her and in his or her name, place and stead, in any and all capacities, to sign any or all amendments (including post-effective amendments) to this Registration Statement, and to file the same, with all exhibits thereto, and all other documents in connection therewith, with the Securities and Exchange Commission, granting unto said attorneys-in-fact and agents, and each of them, full power and authority to do and perform in the name and on behalf of each the undersigned, in any and all capacities, each and every act and thing necessary or desirable to be done in and about the premises, to all intents and purposes and as fully as he or she might or could do in person, hereby ratifying, approving and confirming all that said attorneys-in-fact and agents, and each of them, or the substitute or substitutes of any or all of them, may lawfully do or cause to be done by virtue hereof.</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0"/>
          <w:shd w:fill="FFFFFF" w:val="clear"/>
        </w:rPr>
        <w:t>Pursuant to the requirements of the Securities Act of 1933, this Registration Statement has been signed by the following persons on behalf of the Registrant in the capacities indicated on</w:t>
      </w:r>
      <w:r>
        <w:rPr>
          <w:color w:val="000000"/>
        </w:rPr>
        <w:t xml:space="preserve"> </w:t>
      </w:r>
      <w:r>
        <w:rPr>
          <w:rFonts w:ascii="Times New Roman;serif" w:hAnsi="Times New Roman;serif"/>
          <w:b w:val="false"/>
          <w:color w:val="000000"/>
          <w:sz w:val="20"/>
        </w:rPr>
        <w:t>May 20, 2026.</w:t>
      </w:r>
    </w:p>
    <w:tbl>
      <w:tblPr>
        <w:tblW w:w="8682" w:type="dxa"/>
        <w:jc w:val="center"/>
        <w:tblInd w:w="0" w:type="dxa"/>
        <w:tblLayout w:type="fixed"/>
        <w:tblCellMar>
          <w:top w:w="28" w:type="dxa"/>
          <w:left w:w="28" w:type="dxa"/>
          <w:bottom w:w="28" w:type="dxa"/>
          <w:right w:w="28" w:type="dxa"/>
        </w:tblCellMar>
      </w:tblPr>
      <w:tblGrid>
        <w:gridCol w:w="271"/>
        <w:gridCol w:w="238"/>
        <w:gridCol w:w="238"/>
        <w:gridCol w:w="680"/>
        <w:gridCol w:w="680"/>
        <w:gridCol w:w="681"/>
        <w:gridCol w:w="1715"/>
        <w:gridCol w:w="1715"/>
        <w:gridCol w:w="246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/s/ Jeffrey A. Miller    </w:t>
            </w:r>
          </w:p>
          <w:p>
            <w:pPr>
              <w:pStyle w:val="TableContents"/>
              <w:bidi w:val="0"/>
              <w:spacing w:lineRule="auto" w:line="240" w:before="0" w:after="0"/>
              <w:ind w:left="0" w:right="0" w:firstLine="76"/>
              <w:jc w:val="left"/>
              <w:rPr>
                <w:rFonts w:ascii="Times New Roman;serif" w:hAnsi="Times New Roman;serif"/>
                <w:b w:val="false"/>
                <w:color w:val="000000"/>
                <w:sz w:val="20"/>
              </w:rPr>
            </w:pPr>
            <w:r>
              <w:rPr>
                <w:rFonts w:ascii="Times New Roman;serif" w:hAnsi="Times New Roman;serif"/>
                <w:b w:val="false"/>
                <w:color w:val="000000"/>
                <w:sz w:val="20"/>
              </w:rPr>
              <w:t>Jeffrey A. Miller</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Director, President and Chief Executive Officer</w:t>
              <w:br/>
              <w:t>(Principal Executive Officer)</w:t>
            </w:r>
          </w:p>
        </w:tc>
      </w:tr>
      <w:tr>
        <w:trPr/>
        <w:tc>
          <w:tcPr>
            <w:tcW w:w="2788"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/s/ Eric J. Carre    </w:t>
            </w:r>
          </w:p>
          <w:p>
            <w:pPr>
              <w:pStyle w:val="TableContents"/>
              <w:bidi w:val="0"/>
              <w:spacing w:lineRule="auto" w:line="240" w:before="0" w:after="0"/>
              <w:ind w:left="0" w:right="0" w:firstLine="76"/>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Eric J. Carre</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788"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/s/ Stephanie S. Holzhauser    </w:t>
            </w:r>
          </w:p>
          <w:p>
            <w:pPr>
              <w:pStyle w:val="TableContents"/>
              <w:bidi w:val="0"/>
              <w:spacing w:lineRule="auto" w:line="240" w:before="0" w:after="0"/>
              <w:ind w:left="0" w:right="0" w:firstLine="76"/>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Stephanie S. Holzhauser</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788"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/s/ Abdulaziz F. Al Khayyal    </w:t>
              <w:br/>
              <w:t>    Abdulaziz F. Al Khayyal</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88"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/s/ William E. Albrecht    </w:t>
              <w:br/>
              <w:t>    William E. Albrecht</w:t>
            </w:r>
          </w:p>
        </w:tc>
        <w:tc>
          <w:tcPr>
            <w:tcW w:w="589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88"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/s/ M. Katherine Banks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M. Katherine Banks</w:t>
            </w:r>
          </w:p>
        </w:tc>
        <w:tc>
          <w:tcPr>
            <w:tcW w:w="589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88"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/s/ Earl M. Cummings    </w:t>
              <w:br/>
              <w:t>    Earl M. Cummings</w:t>
            </w:r>
          </w:p>
        </w:tc>
        <w:tc>
          <w:tcPr>
            <w:tcW w:w="589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8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/s/ Murry S. Gerber    </w:t>
            </w:r>
            <w:r>
              <w:rPr>
                <w:rFonts w:ascii="Times New Roman;serif" w:hAnsi="Times New Roman;serif"/>
                <w:b w:val="false"/>
                <w:color w:val="000000"/>
                <w:sz w:val="20"/>
                <w:u w:val="single"/>
              </w:rPr>
              <w:br/>
            </w:r>
            <w:r>
              <w:rPr>
                <w:color w:val="000000"/>
              </w:rPr>
              <w:t>    </w:t>
            </w:r>
            <w:r>
              <w:rPr>
                <w:rFonts w:ascii="Times New Roman;serif" w:hAnsi="Times New Roman;serif"/>
                <w:b w:val="false"/>
                <w:color w:val="000000"/>
                <w:sz w:val="20"/>
              </w:rPr>
              <w:t xml:space="preserve">Murry S. Gerber </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88"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/s/ Timothy A. Leach    </w:t>
              <w:br/>
              <w:t>    Timothy A. Leach</w:t>
            </w:r>
          </w:p>
        </w:tc>
        <w:tc>
          <w:tcPr>
            <w:tcW w:w="589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8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shd w:fill="FFFFFF" w:val="clear"/>
              </w:rPr>
              <w:br/>
            </w:r>
            <w:r>
              <w:rPr>
                <w:color w:val="000000"/>
                <w:shd w:fill="FFFFFF" w:val="clear"/>
              </w:rPr>
              <w:t>    </w:t>
            </w:r>
            <w:r>
              <w:rPr>
                <w:rFonts w:ascii="Times New Roman;serif" w:hAnsi="Times New Roman;serif"/>
                <w:b w:val="false"/>
                <w:color w:val="000000"/>
                <w:sz w:val="20"/>
                <w:shd w:fill="FFFFFF" w:val="clear"/>
              </w:rPr>
              <w:t>/s/ Robert A. Malone    </w:t>
            </w:r>
            <w:r>
              <w:rPr>
                <w:rFonts w:ascii="Times New Roman;serif" w:hAnsi="Times New Roman;serif"/>
                <w:b w:val="false"/>
                <w:color w:val="000000"/>
                <w:sz w:val="20"/>
                <w:u w:val="single"/>
                <w:shd w:fill="FFFFFF" w:val="clear"/>
              </w:rPr>
              <w:br/>
            </w:r>
            <w:r>
              <w:rPr>
                <w:color w:val="000000"/>
                <w:shd w:fill="FFFFFF" w:val="clear"/>
              </w:rPr>
              <w:t>    </w:t>
            </w:r>
            <w:r>
              <w:rPr>
                <w:rFonts w:ascii="Times New Roman;serif" w:hAnsi="Times New Roman;serif"/>
                <w:b w:val="false"/>
                <w:color w:val="000000"/>
                <w:sz w:val="20"/>
                <w:shd w:fill="FFFFFF" w:val="clear"/>
              </w:rPr>
              <w:t>Robert A. Malone</w:t>
            </w:r>
          </w:p>
        </w:tc>
        <w:tc>
          <w:tcPr>
            <w:tcW w:w="589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85" w:type="dxa"/>
        <w:jc w:val="center"/>
        <w:tblInd w:w="0" w:type="dxa"/>
        <w:tblLayout w:type="fixed"/>
        <w:tblCellMar>
          <w:top w:w="28" w:type="dxa"/>
          <w:left w:w="28" w:type="dxa"/>
          <w:bottom w:w="28" w:type="dxa"/>
          <w:right w:w="28" w:type="dxa"/>
        </w:tblCellMar>
      </w:tblPr>
      <w:tblGrid>
        <w:gridCol w:w="513"/>
        <w:gridCol w:w="451"/>
        <w:gridCol w:w="451"/>
        <w:gridCol w:w="451"/>
        <w:gridCol w:w="451"/>
        <w:gridCol w:w="457"/>
        <w:gridCol w:w="237"/>
        <w:gridCol w:w="237"/>
        <w:gridCol w:w="337"/>
      </w:tblGrid>
      <w:tr>
        <w:trPr/>
        <w:tc>
          <w:tcPr>
            <w:tcW w:w="5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77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color w:val="000000"/>
                <w:shd w:fill="FFFFFF" w:val="clear"/>
              </w:rPr>
              <w:t>  </w:t>
            </w:r>
            <w:r>
              <w:rPr>
                <w:rFonts w:ascii="Times New Roman;serif" w:hAnsi="Times New Roman;serif"/>
                <w:b w:val="false"/>
                <w:color w:val="000000"/>
                <w:sz w:val="20"/>
                <w:shd w:fill="FFFFFF" w:val="clear"/>
              </w:rPr>
              <w:t>/s/ J. Shannon Slocum    </w:t>
            </w:r>
            <w:r>
              <w:rPr>
                <w:rFonts w:ascii="Times New Roman;serif" w:hAnsi="Times New Roman;serif"/>
                <w:b w:val="false"/>
                <w:color w:val="000000"/>
                <w:sz w:val="20"/>
                <w:u w:val="single"/>
                <w:shd w:fill="FFFFFF" w:val="clear"/>
              </w:rPr>
              <w:br/>
            </w:r>
            <w:r>
              <w:rPr>
                <w:color w:val="000000"/>
                <w:shd w:fill="FFFFFF" w:val="clear"/>
              </w:rPr>
              <w:t>    </w:t>
            </w:r>
            <w:r>
              <w:rPr>
                <w:rFonts w:ascii="Times New Roman;serif" w:hAnsi="Times New Roman;serif"/>
                <w:b w:val="false"/>
                <w:color w:val="000000"/>
                <w:sz w:val="20"/>
                <w:shd w:fill="FFFFFF" w:val="clear"/>
              </w:rPr>
              <w:t>J. Shannon Slocum</w:t>
            </w:r>
          </w:p>
        </w:tc>
        <w:tc>
          <w:tcPr>
            <w:tcW w:w="811"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74"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/s/ Maurice S. Smith    </w:t>
            </w:r>
          </w:p>
          <w:p>
            <w:pPr>
              <w:pStyle w:val="TableContents"/>
              <w:bidi w:val="0"/>
              <w:spacing w:lineRule="auto" w:line="240" w:before="0" w:after="0"/>
              <w:ind w:left="0" w:right="0" w:firstLine="1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Maurice S. Smith</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74"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/s/ Janet L. Weiss    </w:t>
            </w:r>
          </w:p>
          <w:p>
            <w:pPr>
              <w:pStyle w:val="TableContents"/>
              <w:bidi w:val="0"/>
              <w:spacing w:lineRule="auto" w:line="240" w:before="0" w:after="0"/>
              <w:ind w:left="0" w:right="0" w:firstLine="1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Janet L. Weiss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74"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/s/ Tobi M. Edwards Young    </w:t>
            </w:r>
          </w:p>
          <w:p>
            <w:pPr>
              <w:pStyle w:val="TableContents"/>
              <w:bidi w:val="0"/>
              <w:spacing w:lineRule="auto" w:line="240" w:before="0" w:after="0"/>
              <w:ind w:left="0" w:right="0" w:firstLine="1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Tobi M. Edwards Young</w:t>
            </w:r>
          </w:p>
        </w:tc>
        <w:tc>
          <w:tcPr>
            <w:tcW w:w="811"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40"/>
        <w:jc w:val="center"/>
        <w:rPr/>
      </w:pPr>
      <w:r>
        <w:rPr/>
      </w:r>
    </w:p>
    <w:p>
      <w:pPr>
        <w:pStyle w:val="TextBody"/>
        <w:bidi w:val="0"/>
        <w:spacing w:lineRule="auto" w:line="240" w:before="240" w:after="240"/>
        <w:jc w:val="right"/>
        <w:rPr>
          <w:rFonts w:ascii="Times New Roman;serif" w:hAnsi="Times New Roman;serif"/>
          <w:b/>
          <w:color w:val="000000"/>
          <w:sz w:val="18"/>
        </w:rPr>
      </w:pPr>
      <w:r>
        <w:rPr>
          <w:rFonts w:ascii="Times New Roman;serif" w:hAnsi="Times New Roman;serif"/>
          <w:b/>
          <w:color w:val="000000"/>
          <w:sz w:val="18"/>
        </w:rPr>
        <w:t>Exhibit 107</w:t>
      </w:r>
    </w:p>
    <w:p>
      <w:pPr>
        <w:pStyle w:val="TextBody"/>
        <w:bidi w:val="0"/>
        <w:spacing w:lineRule="auto" w:line="240" w:before="240" w:after="240"/>
        <w:jc w:val="center"/>
        <w:rPr>
          <w:rFonts w:ascii="Times New Roman;serif" w:hAnsi="Times New Roman;serif"/>
          <w:b/>
          <w:color w:val="000000"/>
          <w:sz w:val="18"/>
        </w:rPr>
      </w:pPr>
      <w:r>
        <w:rPr>
          <w:rFonts w:ascii="Times New Roman;serif" w:hAnsi="Times New Roman;serif"/>
          <w:b/>
          <w:color w:val="000000"/>
          <w:sz w:val="18"/>
        </w:rPr>
        <w:t>CALCULATION OF FILING FEE TABLES</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Form S-8</w:t>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(Form Type)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Halliburton Company</w:t>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Table I: Newly Registered Securities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71"/>
        <w:gridCol w:w="271"/>
        <w:gridCol w:w="272"/>
        <w:gridCol w:w="480"/>
        <w:gridCol w:w="447"/>
        <w:gridCol w:w="449"/>
        <w:gridCol w:w="376"/>
        <w:gridCol w:w="376"/>
        <w:gridCol w:w="377"/>
        <w:gridCol w:w="379"/>
        <w:gridCol w:w="347"/>
        <w:gridCol w:w="348"/>
        <w:gridCol w:w="445"/>
        <w:gridCol w:w="445"/>
        <w:gridCol w:w="446"/>
        <w:gridCol w:w="885"/>
        <w:gridCol w:w="460"/>
        <w:gridCol w:w="462"/>
        <w:gridCol w:w="319"/>
        <w:gridCol w:w="319"/>
        <w:gridCol w:w="323"/>
        <w:gridCol w:w="396"/>
        <w:gridCol w:w="396"/>
        <w:gridCol w:w="5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color w:val="000000"/>
              </w:rPr>
            </w:pPr>
            <w:r>
              <w:rPr>
                <w:color w:val="000000"/>
              </w:rPr>
              <w:t> </w:t>
            </w:r>
          </w:p>
        </w:tc>
        <w:tc>
          <w:tcPr>
            <w:tcW w:w="8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Security Type</w:t>
            </w:r>
          </w:p>
        </w:tc>
        <w:tc>
          <w:tcPr>
            <w:tcW w:w="13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Security Class Title</w:t>
            </w:r>
          </w:p>
        </w:tc>
        <w:tc>
          <w:tcPr>
            <w:tcW w:w="11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Fee Calculation Rule</w:t>
            </w:r>
          </w:p>
        </w:tc>
        <w:tc>
          <w:tcPr>
            <w:tcW w:w="10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Registered</w:t>
            </w:r>
          </w:p>
        </w:tc>
        <w:tc>
          <w:tcPr>
            <w:tcW w:w="13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Proposed Maximum Offering Price</w:t>
              <w:br/>
              <w:t>Per Unit</w:t>
            </w:r>
          </w:p>
        </w:tc>
        <w:tc>
          <w:tcPr>
            <w:tcW w:w="18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Aggregate Offering Price</w:t>
            </w:r>
          </w:p>
        </w:tc>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Fee Rate</w:t>
            </w:r>
          </w:p>
        </w:tc>
        <w:tc>
          <w:tcPr>
            <w:tcW w:w="136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Registration Fee</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12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120" w:after="283"/>
              <w:jc w:val="left"/>
              <w:rPr>
                <w:rFonts w:ascii="Times New Roman;serif" w:hAnsi="Times New Roman;serif"/>
                <w:b w:val="false"/>
                <w:color w:val="000000"/>
                <w:sz w:val="16"/>
              </w:rPr>
            </w:pPr>
            <w:r>
              <w:rPr>
                <w:rFonts w:ascii="Times New Roman;serif" w:hAnsi="Times New Roman;serif"/>
                <w:b w:val="false"/>
                <w:color w:val="000000"/>
                <w:sz w:val="16"/>
              </w:rPr>
              <w:t>Common Stock, par value $2.50 per share</w:t>
            </w:r>
          </w:p>
        </w:tc>
        <w:tc>
          <w:tcPr>
            <w:tcW w:w="11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74"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71" w:before="0" w:after="283"/>
              <w:jc w:val="left"/>
              <w:rPr>
                <w:rFonts w:ascii="Times New Roman;serif" w:hAnsi="Times New Roman;serif"/>
                <w:b w:val="false"/>
                <w:color w:val="000000"/>
                <w:sz w:val="16"/>
              </w:rPr>
            </w:pPr>
            <w:r>
              <w:rPr>
                <w:rFonts w:ascii="Times New Roman;serif" w:hAnsi="Times New Roman;serif"/>
                <w:b w:val="false"/>
                <w:color w:val="000000"/>
                <w:sz w:val="16"/>
              </w:rPr>
              <w:t>19,900,000</w:t>
            </w:r>
          </w:p>
        </w:tc>
        <w:tc>
          <w:tcPr>
            <w:tcW w:w="13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$41.39</w:t>
            </w:r>
          </w:p>
        </w:tc>
        <w:tc>
          <w:tcPr>
            <w:tcW w:w="18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$823,661,000.00</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$0.0001381</w:t>
            </w:r>
          </w:p>
        </w:tc>
        <w:tc>
          <w:tcPr>
            <w:tcW w:w="13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$113,747.58</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14"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3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1" w:before="120" w:after="283"/>
              <w:jc w:val="left"/>
              <w:rPr>
                <w:rFonts w:ascii="Times New Roman;serif" w:hAnsi="Times New Roman;serif"/>
                <w:b w:val="false"/>
                <w:color w:val="000000"/>
                <w:sz w:val="16"/>
              </w:rPr>
            </w:pPr>
            <w:r>
              <w:rPr>
                <w:rFonts w:ascii="Times New Roman;serif" w:hAnsi="Times New Roman;serif"/>
                <w:b w:val="false"/>
                <w:color w:val="000000"/>
                <w:sz w:val="16"/>
              </w:rPr>
              <w:t>Common Stock, par value $2.50 per share</w:t>
            </w:r>
          </w:p>
        </w:tc>
        <w:tc>
          <w:tcPr>
            <w:tcW w:w="11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74"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30,000,000</w:t>
            </w:r>
          </w:p>
        </w:tc>
        <w:tc>
          <w:tcPr>
            <w:tcW w:w="13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$37.25</w:t>
            </w:r>
          </w:p>
        </w:tc>
        <w:tc>
          <w:tcPr>
            <w:tcW w:w="18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$1,117,500,000.00</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$0.0001381</w:t>
            </w:r>
          </w:p>
        </w:tc>
        <w:tc>
          <w:tcPr>
            <w:tcW w:w="13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$154,326.75</w:t>
            </w:r>
          </w:p>
        </w:tc>
      </w:tr>
      <w:tr>
        <w:trPr/>
        <w:tc>
          <w:tcPr>
            <w:tcW w:w="4735" w:type="dxa"/>
            <w:gridSpan w:val="15"/>
            <w:tcBorders>
              <w:left w:val="single" w:sz="8" w:space="0" w:color="000000"/>
              <w:bottom w:val="single" w:sz="8" w:space="0" w:color="000000"/>
              <w:right w:val="single" w:sz="8" w:space="0" w:color="000000"/>
            </w:tcBorders>
            <w:tcMar>
              <w:top w:w="0" w:type="dxa"/>
              <w:bottom w:w="30" w:type="dxa"/>
              <w:right w:w="75" w:type="dxa"/>
            </w:tcMar>
            <w:vAlign w:val="center"/>
          </w:tcPr>
          <w:p>
            <w:pPr>
              <w:pStyle w:val="TableContents"/>
              <w:bidi w:val="0"/>
              <w:spacing w:lineRule="auto" w:line="271" w:before="0" w:after="283"/>
              <w:jc w:val="right"/>
              <w:rPr>
                <w:rFonts w:ascii="Times New Roman;serif" w:hAnsi="Times New Roman;serif"/>
                <w:b w:val="false"/>
                <w:color w:val="000000"/>
                <w:sz w:val="16"/>
              </w:rPr>
            </w:pPr>
            <w:r>
              <w:rPr>
                <w:rFonts w:ascii="Times New Roman;serif" w:hAnsi="Times New Roman;serif"/>
                <w:b w:val="false"/>
                <w:color w:val="000000"/>
                <w:sz w:val="16"/>
              </w:rPr>
              <w:t>Total Offering Amounts:</w:t>
            </w:r>
          </w:p>
        </w:tc>
        <w:tc>
          <w:tcPr>
            <w:tcW w:w="13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$1,941,161,000.00</w:t>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$268,074.33</w:t>
            </w:r>
          </w:p>
        </w:tc>
      </w:tr>
      <w:tr>
        <w:trPr/>
        <w:tc>
          <w:tcPr>
            <w:tcW w:w="4735" w:type="dxa"/>
            <w:gridSpan w:val="15"/>
            <w:tcBorders>
              <w:top w:val="single" w:sz="8" w:space="0" w:color="000000"/>
              <w:left w:val="single" w:sz="8" w:space="0" w:color="000000"/>
              <w:bottom w:val="single" w:sz="8" w:space="0" w:color="000000"/>
              <w:right w:val="single" w:sz="8" w:space="0" w:color="000000"/>
            </w:tcBorders>
            <w:tcMar>
              <w:top w:w="30" w:type="dxa"/>
              <w:bottom w:w="30" w:type="dxa"/>
              <w:right w:w="75" w:type="dxa"/>
            </w:tcMar>
            <w:vAlign w:val="center"/>
          </w:tcPr>
          <w:p>
            <w:pPr>
              <w:pStyle w:val="TableContents"/>
              <w:bidi w:val="0"/>
              <w:spacing w:lineRule="auto" w:line="271" w:before="0" w:after="283"/>
              <w:jc w:val="right"/>
              <w:rPr>
                <w:rFonts w:ascii="Times New Roman;serif" w:hAnsi="Times New Roman;serif"/>
                <w:b w:val="false"/>
                <w:color w:val="000000"/>
                <w:sz w:val="16"/>
              </w:rPr>
            </w:pPr>
            <w:r>
              <w:rPr>
                <w:rFonts w:ascii="Times New Roman;serif" w:hAnsi="Times New Roman;serif"/>
                <w:b w:val="false"/>
                <w:color w:val="000000"/>
                <w:sz w:val="16"/>
              </w:rPr>
              <w:t>Total Fee Offsets:</w:t>
            </w:r>
          </w:p>
        </w:tc>
        <w:tc>
          <w:tcPr>
            <w:tcW w:w="13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35" w:type="dxa"/>
            <w:gridSpan w:val="15"/>
            <w:tcBorders>
              <w:top w:val="single" w:sz="8" w:space="0" w:color="000000"/>
              <w:left w:val="single" w:sz="8" w:space="0" w:color="000000"/>
              <w:bottom w:val="single" w:sz="8" w:space="0" w:color="000000"/>
              <w:right w:val="single" w:sz="8" w:space="0" w:color="000000"/>
            </w:tcBorders>
            <w:tcMar>
              <w:top w:w="30" w:type="dxa"/>
              <w:bottom w:w="30" w:type="dxa"/>
              <w:right w:w="75" w:type="dxa"/>
            </w:tcMar>
            <w:vAlign w:val="center"/>
          </w:tcPr>
          <w:p>
            <w:pPr>
              <w:pStyle w:val="TableContents"/>
              <w:bidi w:val="0"/>
              <w:spacing w:lineRule="auto" w:line="271" w:before="0" w:after="283"/>
              <w:jc w:val="right"/>
              <w:rPr>
                <w:rFonts w:ascii="Times New Roman;serif" w:hAnsi="Times New Roman;serif"/>
                <w:b w:val="false"/>
                <w:color w:val="000000"/>
                <w:sz w:val="16"/>
              </w:rPr>
            </w:pPr>
            <w:r>
              <w:rPr>
                <w:rFonts w:ascii="Times New Roman;serif" w:hAnsi="Times New Roman;serif"/>
                <w:b w:val="false"/>
                <w:color w:val="000000"/>
                <w:sz w:val="16"/>
              </w:rPr>
              <w:t>Net Fee Due:</w:t>
            </w:r>
          </w:p>
        </w:tc>
        <w:tc>
          <w:tcPr>
            <w:tcW w:w="133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$268,074.33</w:t>
            </w:r>
          </w:p>
        </w:tc>
      </w:tr>
    </w:tbl>
    <w:p>
      <w:pPr>
        <w:pStyle w:val="TextBody"/>
        <w:bidi w:val="0"/>
        <w:spacing w:lineRule="auto" w:line="240" w:before="240" w:after="283"/>
        <w:jc w:val="center"/>
        <w:rPr>
          <w:color w:val="000000"/>
        </w:rPr>
      </w:pPr>
      <w:r>
        <w:rPr>
          <w:color w:val="000000"/>
        </w:rPr>
        <w: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Offering Note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16"/>
              </w:rPr>
              <w:t>Represents 19,900,000 additional shares of common stock, par value $2.50 per share (“Common Stock”), of Halliburton Company (the “Registrant”) reserved for issuance under the Halliburton Company Stock and Incentive Plan, as Amended and Restated February 10, 2026 (the “Stock and Incentive Plan”), which include shares of Common Stock that may again become available for delivery with respect to awards under the Stock and Incentive Plan pursuant to the share counting, share recycling and other terms and conditions of the Stock and Incentive Plan. Estimated in accordance with Rules 457(c) and (h) under the Securities Act of 1933, as amended (the “Securities Act”), solely for the purpose of calculating the registration fee, on the basis of the average of the high and low sales prices of the Common Stock as reported on the New York Stock Exchange (the “NYSE”) on May</w:t>
            </w:r>
            <w:r>
              <w:rPr>
                <w:color w:val="000000"/>
                <w:shd w:fill="FFFFFF" w:val="clear"/>
              </w:rPr>
              <w:t xml:space="preserve"> </w:t>
            </w:r>
            <w:r>
              <w:rPr>
                <w:rFonts w:ascii="Times New Roman;serif" w:hAnsi="Times New Roman;serif"/>
                <w:b w:val="false"/>
                <w:color w:val="000000"/>
                <w:sz w:val="16"/>
                <w:shd w:fill="FFFFFF" w:val="clear"/>
              </w:rPr>
              <w:t xml:space="preserve">13, </w:t>
            </w:r>
            <w:r>
              <w:rPr>
                <w:rFonts w:ascii="Times New Roman;serif" w:hAnsi="Times New Roman;serif"/>
                <w:b w:val="false"/>
                <w:color w:val="000000"/>
                <w:sz w:val="16"/>
              </w:rPr>
              <w:t>2026. Pursuant to Rule 416(a) under the Securities Act, this Registration Statement on Form S-8 shall also cover such indeterminate number of additional shares of Common Stock that become issuable under the Stock and Incentive Plan by reason of any stock dividend, stock split, recapitalization or other similar transaction pursuant to the adjustment or antidilution provisions thereof.</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16"/>
              </w:rPr>
              <w:t>Represents 30,000,000 additional shares of Common Stock reserved for issuance under the Halliburton Company Employee Stock Purchase Plan, as Amended and Restated February 10, 2026 (the “ESPP”). Estimated in accordance with Rules 457(c) and (h) under the Securities Act solely for the purpose of calculating the registration fee, on the basis of the average of the high and low sales prices of the Common Stock as reported on the NYSE on May 13, 2026, multiplied by</w:t>
            </w:r>
            <w:r>
              <w:rPr>
                <w:color w:val="000000"/>
                <w:shd w:fill="FFFFFF" w:val="clear"/>
              </w:rPr>
              <w:t xml:space="preserve"> </w:t>
            </w:r>
            <w:r>
              <w:rPr>
                <w:rFonts w:ascii="Times New Roman;serif" w:hAnsi="Times New Roman;serif"/>
                <w:b w:val="false"/>
                <w:color w:val="000000"/>
                <w:sz w:val="16"/>
                <w:shd w:fill="FFFFFF" w:val="clear"/>
              </w:rPr>
              <w:t>90%</w:t>
            </w:r>
            <w:r>
              <w:rPr>
                <w:rFonts w:ascii="Times New Roman;serif" w:hAnsi="Times New Roman;serif"/>
                <w:b w:val="false"/>
                <w:color w:val="000000"/>
                <w:sz w:val="16"/>
              </w:rPr>
              <w:t>, which is the percentage of the trading price per share applicable to purchasers under the ESPP. Pursuant to Rule 416(a) under the Securities Act, this Registration Statement on Form S-8 shall also cover such indeterminate number of additional shares of Common Stock that become issuable under the ESPP by reason of any stock dividend, stock split, recapitalization or other similar transaction pursuant to the adjustment or antidilution provisions thereof.</w:t>
            </w:r>
          </w:p>
        </w:tc>
      </w:tr>
    </w:tbl>
    <w:p>
      <w:pPr>
        <w:pStyle w:val="TextBody"/>
        <w:bidi w:val="0"/>
        <w:spacing w:lineRule="auto" w:line="276"/>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611" w:type="dxa"/>
        <w:jc w:val="left"/>
        <w:tblInd w:w="0" w:type="dxa"/>
        <w:tblLayout w:type="fixed"/>
        <w:tblCellMar>
          <w:top w:w="28" w:type="dxa"/>
          <w:left w:w="28" w:type="dxa"/>
          <w:bottom w:w="28" w:type="dxa"/>
          <w:right w:w="28" w:type="dxa"/>
        </w:tblCellMar>
      </w:tblPr>
      <w:tblGrid>
        <w:gridCol w:w="1157"/>
        <w:gridCol w:w="1017"/>
        <w:gridCol w:w="1437"/>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611"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ableContents"/>
              <w:bidi w:val="0"/>
              <w:spacing w:before="0" w:after="0"/>
              <w:jc w:val="center"/>
              <w:rPr/>
            </w:pPr>
            <w:r>
              <w:rPr/>
              <w:drawing>
                <wp:inline distT="0" distB="0" distL="0" distR="0">
                  <wp:extent cx="2200275" cy="5429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2"/>
                          <a:stretch>
                            <a:fillRect/>
                          </a:stretch>
                        </pic:blipFill>
                        <pic:spPr bwMode="auto">
                          <a:xfrm>
                            <a:off x="0" y="0"/>
                            <a:ext cx="2200275" cy="542925"/>
                          </a:xfrm>
                          <a:prstGeom prst="rect">
                            <a:avLst/>
                          </a:prstGeom>
                        </pic:spPr>
                      </pic:pic>
                    </a:graphicData>
                  </a:graphic>
                </wp:inline>
              </w:drawing>
            </w:r>
          </w:p>
        </w:tc>
      </w:tr>
    </w:tbl>
    <w:tbl>
      <w:tblPr>
        <w:tblW w:w="5025" w:type="dxa"/>
        <w:jc w:val="left"/>
        <w:tblInd w:w="0" w:type="dxa"/>
        <w:tblLayout w:type="fixed"/>
        <w:tblCellMar>
          <w:top w:w="28" w:type="dxa"/>
          <w:left w:w="28" w:type="dxa"/>
          <w:bottom w:w="28" w:type="dxa"/>
          <w:right w:w="28" w:type="dxa"/>
        </w:tblCellMar>
      </w:tblPr>
      <w:tblGrid>
        <w:gridCol w:w="1605"/>
        <w:gridCol w:w="1412"/>
        <w:gridCol w:w="2008"/>
      </w:tblGrid>
      <w:tr>
        <w:trPr/>
        <w:tc>
          <w:tcPr>
            <w:tcW w:w="160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 </w:t>
            </w:r>
            <w:r>
              <w:rPr>
                <w:rFonts w:ascii="Arial;sans-serif" w:hAnsi="Arial;sans-serif"/>
                <w:b w:val="false"/>
                <w:color w:val="000000"/>
                <w:sz w:val="20"/>
              </w:rPr>
              <w:t>3000 N. Sam Houston Pkwy E., Houston, Texas 77032</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20, 2026</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Halliburton Company</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3000 N. Sam Houston Parkway E.</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Houston, Texas 77032</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At your request, I am rendering this opinion in connection with the preparation of the registration statement on Form S-8 to be filed by Halliburton Company (the “Company”) with the U.S. Securities and Exchange Commission (the “Commission”) on or about the date hereof (the “Registration Statement”) to effect registration under the Securities Act of 1933, as amended (the “Securities Act”), of an aggregate of 49,900,000 shares (the “Shares”) of the Company’s common stock, par value $2.50 per share (“Common Stock”), comprised of: (i) 19,900,000 shares of Common Stock reserved for awards available for future issuance under the Halliburton Company Stock and Incentive Plan, as Amended and Restated February 10, 2026 (the “SIP”); and (ii) 30,000,000 shares of Common Stock issuable upon the exercise of purchase rights to be granted by the Company pursuant to the Halliburton Company Employee Stock Purchase Plan, as Amended and Restated February 10, 2026 (together with the SIP, each, a “Plan”).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have examined instruments, documents, and records which I deemed relevant and necessary for the basis of my opinion hereinafter expressed. In such examination, I have assumed the following: (a) the authenticity of original documents and the genuineness of all signatures; (b) the conformity to the originals of all documents submitted to me as copies; and (c) the truth, accuracy, and completeness of the information, representations, and warranties contained in the records, documents, instruments and certificates I have reviewed.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opinions set forth herein, I have assumed that (i) the Shares will be issued pursuant to the provisions of the applicable Plan and, with respect to the SIP, any applicable award agreement (and any related instrument) duly adopted under and in accordance with the terms and conditions of the SIP (each, an “Award Agreement”); (ii) the consideration received by the Company for the Shares will not be less than the par value of the Shares; and (iii) at or prior to the time of the delivery of any Shares, the Registration Statement will be effective under the Securities Act.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the basis of the foregoing and subject to the exceptions, assumptions, qualifications and limitations set forth herein, I am of the opinion that, in the case of Shares originally issued by the Company pursuant to the provisions of the applicable Plan and, with respect to the SIP, any applicable Award Agreement, following due authorization of a particular award thereunder by the Board of Directors of the Company (the “Board”) or such committee as designated by the Board (the Board or such committee, the “Administrator”) as provided in and in accordance with the SIP and any applicable Award Agreement, the Shares to be issued by the Company pursuant to the applicable Plan will have been duly authorized, and when issued and delivered from time to time pursuant to the terms of the applicable Plan and, with respect to the SIP, such award, for the consideration established pursuant to the terms of the applicable Plan and, with respect to the SIP, any applicable Award Agreement, and, with respect to the SIP, otherwise in accordance with the terms and conditions of such award, including, if applicable, the lapse of any restrictions relating thereto, the satisfaction of any performance conditions associated therewith and any requisite determinations by or pursuant to the authority of the Administrator as provided therein, and, in the case of stock options, the exercise thereof and payment for such Shares as provided therein, will be legally issued, fully paid, and nonassessable.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opinions set forth above in this opinion letter are limited to the original issuance of Shares by the Company and do not cover shares of Common Stock delivered by the Company out of shares reacquired by it.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opinions set forth above in this opinion letter are limited in all respects to matters of the General Corporation Law of the State of Delaware, as published and in effect on the date hereof, and I express no opinion as to the law of any other jurisdiction.</w:t>
      </w:r>
    </w:p>
    <w:p>
      <w:pPr>
        <w:pStyle w:val="TextBody"/>
        <w:bidi w:val="0"/>
        <w:spacing w:before="0" w:after="0"/>
        <w:jc w:val="both"/>
        <w:rPr/>
      </w:pPr>
      <w:r>
        <w:rPr/>
      </w:r>
    </w:p>
    <w:p>
      <w:pPr>
        <w:pStyle w:val="TextBody"/>
        <w:bidi w:val="0"/>
        <w:spacing w:lineRule="auto" w:line="240"/>
        <w:jc w:val="both"/>
        <w:rPr>
          <w:rFonts w:ascii="Times New Roman;serif" w:hAnsi="Times New Roman;serif"/>
          <w:b w:val="false"/>
          <w:color w:val="000000"/>
          <w:sz w:val="20"/>
        </w:rPr>
      </w:pPr>
      <w:r>
        <w:rPr>
          <w:rFonts w:ascii="Times New Roman;serif" w:hAnsi="Times New Roman;serif"/>
          <w:b w:val="false"/>
          <w:color w:val="000000"/>
          <w:sz w:val="20"/>
        </w:rPr>
        <w:t xml:space="preserve">I hereby consent to the filing of this opinion with the Commission as an exhibit to the above referenced Registration Statement and to the use of my name wherever it appears in said Registration Statement.  In giving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such consent, I do not thereby admit that I am in the category of persons whose consent is required under Section 7 of the Securities Act or the rules and regulations of the Commission thereunder.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Pamela Taylor</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Pamela Taylor</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and Assistant Secretary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60" w:after="283"/>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40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333" w:before="0" w:after="40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333"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consent to the use of our reports dated February 6, 2026, with respect to the consolidated financial statements of Halliburton Company, and the effectiveness of internal control over financial reporting, incorporated herein by reference. </w:t>
      </w:r>
    </w:p>
    <w:p>
      <w:pPr>
        <w:pStyle w:val="TextBody"/>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KPMG LLP</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KPMG LLP</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20,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45012/000004501226000015/hal-20251231.htm" TargetMode="External"/><Relationship Id="rId3" Type="http://schemas.openxmlformats.org/officeDocument/2006/relationships/hyperlink" Target="https://www.sec.gov/ix?doc=/Archives/edgar/data/0000045012/000004501226000015/hal-20251231.htm" TargetMode="External"/><Relationship Id="rId4" Type="http://schemas.openxmlformats.org/officeDocument/2006/relationships/hyperlink" Target="https://www.sec.gov/ix?doc=/Archives/edgar/data/0000045012/000004501226000015/hal-20251231.htm" TargetMode="External"/><Relationship Id="rId5" Type="http://schemas.openxmlformats.org/officeDocument/2006/relationships/hyperlink" Target="https://www.sec.gov/ix?doc=/Archives/edgar/data/0000045012/000004501226000015/hal-20251231.htm" TargetMode="External"/><Relationship Id="rId6" Type="http://schemas.openxmlformats.org/officeDocument/2006/relationships/hyperlink" Target="https://www.sec.gov/ix?doc=/Archives/edgar/data/0000045012/000004501226000033/hal-20260330.htm" TargetMode="External"/><Relationship Id="rId7" Type="http://schemas.openxmlformats.org/officeDocument/2006/relationships/hyperlink" Target="https://www.sec.gov/ix?doc=/Archives/edgar/data/0000045012/000004501226000033/hal-20260330.htm" TargetMode="External"/><Relationship Id="rId8" Type="http://schemas.openxmlformats.org/officeDocument/2006/relationships/hyperlink" Target="https://www.sec.gov/ix?doc=/Archives/edgar/data/0000045012/000004501226000033/hal-20260330.htm" TargetMode="External"/><Relationship Id="rId9" Type="http://schemas.openxmlformats.org/officeDocument/2006/relationships/hyperlink" Target="https://www.sec.gov/ix?doc=/Archives/edgar/data/0000045012/000004501226000033/hal-20260330.htm" TargetMode="External"/><Relationship Id="rId10" Type="http://schemas.openxmlformats.org/officeDocument/2006/relationships/hyperlink" Target="https://www.sec.gov/ix?doc=/Archives/edgar/data/0000045012/000004501226000039/hal-20260331.htm" TargetMode="External"/><Relationship Id="rId11" Type="http://schemas.openxmlformats.org/officeDocument/2006/relationships/hyperlink" Target="https://www.sec.gov/ix?doc=/Archives/edgar/data/0000045012/000004501226000039/hal-20260331.htm" TargetMode="External"/><Relationship Id="rId12" Type="http://schemas.openxmlformats.org/officeDocument/2006/relationships/hyperlink" Target="https://www.sec.gov/ix?doc=/Archives/edgar/data/0000045012/000004501226000039/hal-20260331.htm" TargetMode="External"/><Relationship Id="rId13" Type="http://schemas.openxmlformats.org/officeDocument/2006/relationships/hyperlink" Target="https://www.sec.gov/ix?doc=/Archives/edgar/data/0000045012/000004501226000039/hal-20260331.htm" TargetMode="External"/><Relationship Id="rId14" Type="http://schemas.openxmlformats.org/officeDocument/2006/relationships/hyperlink" Target="https://www.sec.gov/ix?doc=/Archives/edgar/data/0000045012/000004501226000003/hal-20260113.htm" TargetMode="External"/><Relationship Id="rId15" Type="http://schemas.openxmlformats.org/officeDocument/2006/relationships/hyperlink" Target="https://www.sec.gov/ix?doc=/Archives/edgar/data/0000045012/000004501226000019/hal-20251202.htm" TargetMode="External"/><Relationship Id="rId16" Type="http://schemas.openxmlformats.org/officeDocument/2006/relationships/hyperlink" Target="https://www.sec.gov/ix?doc=/Archives/edgar/data/0000045012/000004501226000045/hal-20260520.htm" TargetMode="External"/><Relationship Id="rId17" Type="http://schemas.openxmlformats.org/officeDocument/2006/relationships/hyperlink" Target="https://www.sec.gov/ix?doc=/Archives/edgar/data/0000045012/000004501226000045/hal-20260520.htm" TargetMode="External"/><Relationship Id="rId18" Type="http://schemas.openxmlformats.org/officeDocument/2006/relationships/hyperlink" Target="https://www.sec.gov/ix?doc=/Archives/edgar/data/0000045012/000004501226000045/hal-20260520.htm" TargetMode="External"/><Relationship Id="rId19" Type="http://schemas.openxmlformats.org/officeDocument/2006/relationships/hyperlink" Target="https://www.sec.gov/Archives/edgar/data/45012/000004501225000043/form8-aregistrationofsecur.htm" TargetMode="External"/><Relationship Id="rId20" Type="http://schemas.openxmlformats.org/officeDocument/2006/relationships/hyperlink" Target="https://www.sec.gov/Archives/edgar/data/45012/000004501223000046/hal_06302023-ex31.htm" TargetMode="External"/><Relationship Id="rId21" Type="http://schemas.openxmlformats.org/officeDocument/2006/relationships/hyperlink" Target="https://www.sec.gov/Archives/edgar/data/45012/000004501224000024/exhibit31-byxlawsamendedma.htm" TargetMode="External"/><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4477</Words>
  <Characters>24002</Characters>
  <CharactersWithSpaces>28481</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