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DATE OF REPORT (date of earliest event reported)</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DECEMBER 12, 1996</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Halliburton Company</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4" w:right="1440" w:bottom="1064" w:gutter="0" w:footer="0" w:header="0"/>
        </w:sectPr>
      </w:pP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w:t>
      </w:r>
    </w:p>
    <w:p>
      <w:pPr>
        <w:spacing w:after="0" w:line="238" w:lineRule="auto"/>
        <w:rPr>
          <w:sz w:val="20"/>
          <w:szCs w:val="20"/>
          <w:color w:val="auto"/>
        </w:rPr>
      </w:pPr>
      <w:r>
        <w:rPr>
          <w:rFonts w:ascii="Courier New" w:cs="Courier New" w:eastAsia="Courier New" w:hAnsi="Courier New"/>
          <w:sz w:val="18"/>
          <w:szCs w:val="18"/>
          <w:color w:val="auto"/>
        </w:rPr>
        <w:t>jurisdiction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w:t>
      </w:r>
    </w:p>
    <w:p>
      <w:pPr>
        <w:spacing w:after="0" w:line="200" w:lineRule="exact"/>
        <w:rPr>
          <w:sz w:val="24"/>
          <w:szCs w:val="24"/>
          <w:color w:val="auto"/>
        </w:rPr>
      </w:pPr>
    </w:p>
    <w:p>
      <w:pPr>
        <w:sectPr>
          <w:pgSz w:w="11900" w:h="16838" w:orient="portrait"/>
          <w:cols w:equalWidth="0" w:num="3">
            <w:col w:w="3080" w:space="720"/>
            <w:col w:w="2020" w:space="720"/>
            <w:col w:w="3679"/>
          </w:cols>
          <w:pgMar w:left="240" w:top="244" w:right="1440" w:bottom="1064"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Delaware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1-3492</w:t>
      </w:r>
    </w:p>
    <w:p>
      <w:pPr>
        <w:spacing w:after="0" w:line="20" w:lineRule="exact"/>
        <w:rPr>
          <w:sz w:val="24"/>
          <w:szCs w:val="24"/>
          <w:color w:val="auto"/>
        </w:rPr>
      </w:pPr>
      <w:r>
        <w:rPr>
          <w:sz w:val="24"/>
          <w:szCs w:val="24"/>
          <w:color w:val="auto"/>
        </w:rPr>
        <w:br w:type="column"/>
      </w:r>
    </w:p>
    <w:p>
      <w:pPr>
        <w:jc w:val="center"/>
        <w:ind w:right="2199"/>
        <w:spacing w:after="0"/>
        <w:rPr>
          <w:sz w:val="20"/>
          <w:szCs w:val="20"/>
          <w:color w:val="auto"/>
        </w:rPr>
      </w:pPr>
      <w:r>
        <w:rPr>
          <w:rFonts w:ascii="Courier New" w:cs="Courier New" w:eastAsia="Courier New" w:hAnsi="Courier New"/>
          <w:sz w:val="16"/>
          <w:szCs w:val="16"/>
          <w:color w:val="auto"/>
        </w:rPr>
        <w:t>No. 73-0271280</w:t>
      </w:r>
    </w:p>
    <w:p>
      <w:pPr>
        <w:spacing w:after="0" w:line="200" w:lineRule="exact"/>
        <w:rPr>
          <w:sz w:val="24"/>
          <w:szCs w:val="24"/>
          <w:color w:val="auto"/>
        </w:rPr>
      </w:pPr>
    </w:p>
    <w:p>
      <w:pPr>
        <w:sectPr>
          <w:pgSz w:w="11900" w:h="16838" w:orient="portrait"/>
          <w:cols w:equalWidth="0" w:num="3">
            <w:col w:w="3180" w:space="720"/>
            <w:col w:w="1920" w:space="720"/>
            <w:col w:w="3679"/>
          </w:cols>
          <w:pgMar w:left="240" w:top="244" w:right="1440" w:bottom="1064" w:gutter="0" w:footer="0" w:header="0"/>
          <w:type w:val="continuous"/>
        </w:sectPr>
      </w:pPr>
    </w:p>
    <w:p>
      <w:pPr>
        <w:spacing w:after="0" w:line="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3600 Lincoln Plaza</w:t>
      </w:r>
    </w:p>
    <w:p>
      <w:pPr>
        <w:jc w:val="center"/>
        <w:ind w:right="1779"/>
        <w:spacing w:after="0" w:line="238" w:lineRule="auto"/>
        <w:rPr>
          <w:sz w:val="20"/>
          <w:szCs w:val="20"/>
          <w:color w:val="auto"/>
        </w:rPr>
      </w:pPr>
      <w:r>
        <w:rPr>
          <w:rFonts w:ascii="Courier New" w:cs="Courier New" w:eastAsia="Courier New" w:hAnsi="Courier New"/>
          <w:sz w:val="18"/>
          <w:szCs w:val="18"/>
          <w:color w:val="auto"/>
        </w:rPr>
        <w:t>500 North Akard Street</w:t>
      </w:r>
    </w:p>
    <w:p>
      <w:pPr>
        <w:jc w:val="center"/>
        <w:ind w:right="1779"/>
        <w:spacing w:after="0"/>
        <w:rPr>
          <w:sz w:val="20"/>
          <w:szCs w:val="20"/>
          <w:color w:val="auto"/>
        </w:rPr>
      </w:pPr>
      <w:r>
        <w:rPr>
          <w:rFonts w:ascii="Courier New" w:cs="Courier New" w:eastAsia="Courier New" w:hAnsi="Courier New"/>
          <w:sz w:val="18"/>
          <w:szCs w:val="18"/>
          <w:color w:val="auto"/>
        </w:rPr>
        <w:t>Dallas, Texas 75201-3391</w:t>
      </w:r>
    </w:p>
    <w:p>
      <w:pPr>
        <w:spacing w:after="0" w:line="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(Address of principal executive offices)</w:t>
      </w:r>
    </w:p>
    <w:p>
      <w:pPr>
        <w:sectPr>
          <w:pgSz w:w="11900" w:h="16838" w:orient="portrait"/>
          <w:cols w:equalWidth="0" w:num="1">
            <w:col w:w="10219"/>
          </w:cols>
          <w:pgMar w:left="240" w:top="244" w:right="1440" w:bottom="1064" w:gutter="0" w:footer="0" w:header="0"/>
          <w:type w:val="continuous"/>
        </w:sectPr>
      </w:pP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Registrant's telephone number,</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including area code - 214/978-2600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Page 1 of 6 pages</w:t>
      </w:r>
    </w:p>
    <w:p>
      <w:pPr>
        <w:jc w:val="center"/>
        <w:ind w:right="1659"/>
        <w:spacing w:after="0" w:line="238" w:lineRule="auto"/>
        <w:rPr>
          <w:sz w:val="20"/>
          <w:szCs w:val="20"/>
          <w:color w:val="auto"/>
        </w:rPr>
      </w:pPr>
      <w:r>
        <w:rPr>
          <w:rFonts w:ascii="Courier New" w:cs="Courier New" w:eastAsia="Courier New" w:hAnsi="Courier New"/>
          <w:sz w:val="18"/>
          <w:szCs w:val="18"/>
          <w:color w:val="auto"/>
        </w:rPr>
        <w:t>The Exhibit Index appears on Page 4</w:t>
      </w:r>
    </w:p>
    <w:p>
      <w:pPr>
        <w:spacing w:after="0" w:line="377"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INFORMATION TO BE INCLUDED IN REPORT</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The registrant may, at its option, report under this item any events, with respect to which information is not otherwise called for by this form, that the registrant deems of importance to security holders.</w:t>
      </w:r>
    </w:p>
    <w:p>
      <w:pPr>
        <w:spacing w:after="0" w:line="209" w:lineRule="exact"/>
        <w:rPr>
          <w:sz w:val="24"/>
          <w:szCs w:val="24"/>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On December 12, 1996, registrant issued a press release entitled Halliburton Company Reorganization pertaining, among other things, to an announcement that it has completed a reorganization of its legal structure. The purpose of the reorganization is to improve internal operating flexibility and reduce certain state taxes. A new parent holding company has been created which owns the previous publicly held company. The name of the new parent company is Halliburton Company and the name of the former public company is Halliburton Energy Services, Inc. Existing Halliburton Company common stock certificates will remain in force and effect; no exchange of certificates will take place. The reorganization will be tax free to registrant's shareholders.</w:t>
      </w:r>
    </w:p>
    <w:p>
      <w:pPr>
        <w:spacing w:after="0" w:line="215" w:lineRule="exact"/>
        <w:rPr>
          <w:sz w:val="24"/>
          <w:szCs w:val="24"/>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The foregoing summary is subject to the full text of the press release with respect thereto, a copy of which is attached hereto as Exhibit 20, which exhibit is incorporated herein by reference.</w:t>
      </w:r>
    </w:p>
    <w:p>
      <w:pPr>
        <w:spacing w:after="0" w:line="203"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7" w:lineRule="exact"/>
        <w:rPr>
          <w:sz w:val="24"/>
          <w:szCs w:val="24"/>
          <w:color w:val="auto"/>
        </w:rPr>
      </w:pPr>
    </w:p>
    <w:p>
      <w:pPr>
        <w:jc w:val="both"/>
        <w:ind w:right="1779" w:firstLine="948"/>
        <w:spacing w:after="0" w:line="235" w:lineRule="auto"/>
        <w:rPr>
          <w:sz w:val="20"/>
          <w:szCs w:val="20"/>
          <w:color w:val="auto"/>
        </w:rPr>
      </w:pPr>
      <w:r>
        <w:rPr>
          <w:rFonts w:ascii="Courier New" w:cs="Courier New" w:eastAsia="Courier New" w:hAnsi="Courier New"/>
          <w:sz w:val="18"/>
          <w:szCs w:val="18"/>
          <w:color w:val="auto"/>
        </w:rPr>
        <w:t>List below the financial statements, pro forma financial information and exhibits, if any, filed as part of this report.</w:t>
      </w:r>
    </w:p>
    <w:p>
      <w:pPr>
        <w:spacing w:after="0" w:line="203" w:lineRule="exact"/>
        <w:rPr>
          <w:sz w:val="24"/>
          <w:szCs w:val="24"/>
          <w:color w:val="auto"/>
        </w:rPr>
      </w:pPr>
    </w:p>
    <w:p>
      <w:pPr>
        <w:ind w:left="1900" w:hanging="944"/>
        <w:spacing w:after="0"/>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Exhibit 20 - Press release dated December 12, 1996.</w:t>
      </w:r>
    </w:p>
    <w:p>
      <w:pPr>
        <w:sectPr>
          <w:pgSz w:w="11900" w:h="16838" w:orient="portrait"/>
          <w:cols w:equalWidth="0" w:num="1">
            <w:col w:w="10219"/>
          </w:cols>
          <w:pgMar w:left="240" w:top="244" w:right="1440" w:bottom="1064" w:gutter="0" w:footer="0" w:header="0"/>
          <w:type w:val="continuous"/>
        </w:sectPr>
      </w:pPr>
    </w:p>
    <w:bookmarkStart w:id="1" w:name="page2"/>
    <w:bookmarkEnd w:id="1"/>
    <w:p>
      <w:pPr>
        <w:jc w:val="center"/>
        <w:ind w:right="2859"/>
        <w:spacing w:after="0"/>
        <w:rPr>
          <w:sz w:val="20"/>
          <w:szCs w:val="20"/>
          <w:color w:val="auto"/>
        </w:rPr>
      </w:pPr>
      <w:r>
        <w:rPr>
          <w:rFonts w:ascii="Courier New" w:cs="Courier New" w:eastAsia="Courier New" w:hAnsi="Courier New"/>
          <w:sz w:val="18"/>
          <w:szCs w:val="18"/>
          <w:color w:val="auto"/>
        </w:rPr>
        <w:t>Page 2 of 6 pages</w:t>
      </w:r>
    </w:p>
    <w:p>
      <w:pPr>
        <w:spacing w:after="0" w:line="4"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6"/>
          <w:szCs w:val="16"/>
          <w:color w:val="auto"/>
        </w:rPr>
        <w:t>The Exhibit Index appears on Page 4</w:t>
      </w:r>
    </w:p>
    <w:p>
      <w:pPr>
        <w:sectPr>
          <w:pgSz w:w="11900" w:h="16838" w:orient="portrait"/>
          <w:cols w:equalWidth="0" w:num="1">
            <w:col w:w="9019"/>
          </w:cols>
          <w:pgMar w:left="1440" w:top="744"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HALLIBURTON COMPANY</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12,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/s/Robert M. Kennedy</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Robert M. Kennedy</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Vice President-Legal</w:t>
      </w:r>
    </w:p>
    <w:p>
      <w:pPr>
        <w:spacing w:after="0" w:line="200" w:lineRule="exact"/>
        <w:rPr>
          <w:sz w:val="20"/>
          <w:szCs w:val="20"/>
          <w:color w:val="auto"/>
        </w:rPr>
      </w:pPr>
    </w:p>
    <w:p>
      <w:pPr>
        <w:sectPr>
          <w:pgSz w:w="11900" w:h="16838" w:orient="portrait"/>
          <w:cols w:equalWidth="0" w:num="3">
            <w:col w:w="540" w:space="200"/>
            <w:col w:w="3180" w:space="720"/>
            <w:col w:w="5579"/>
          </w:cols>
          <w:pgMar w:left="240" w:top="5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Page 3 of 6 pages</w:t>
      </w:r>
    </w:p>
    <w:p>
      <w:pPr>
        <w:spacing w:after="0" w:line="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6"/>
          <w:szCs w:val="16"/>
          <w:color w:val="auto"/>
        </w:rPr>
        <w:t>The Exhibit Index appears on Page 4</w:t>
      </w:r>
    </w:p>
    <w:p>
      <w:pPr>
        <w:sectPr>
          <w:pgSz w:w="11900" w:h="16838" w:orient="portrait"/>
          <w:cols w:equalWidth="0" w:num="1">
            <w:col w:w="10219"/>
          </w:cols>
          <w:pgMar w:left="240" w:top="514" w:right="1440" w:bottom="1440" w:gutter="0" w:footer="0" w:header="0"/>
          <w:type w:val="continuous"/>
        </w:sectPr>
      </w:pPr>
    </w:p>
    <w:bookmarkStart w:id="3" w:name="page4"/>
    <w:bookmarkEnd w:id="3"/>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5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Sequentially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Numbered Page</w:t>
      </w:r>
    </w:p>
    <w:p>
      <w:pPr>
        <w:spacing w:after="0" w:line="216" w:lineRule="exact"/>
        <w:rPr>
          <w:sz w:val="20"/>
          <w:szCs w:val="20"/>
          <w:color w:val="auto"/>
        </w:rPr>
      </w:pPr>
    </w:p>
    <w:p>
      <w:pPr>
        <w:sectPr>
          <w:pgSz w:w="11900" w:h="16838" w:orient="portrait"/>
          <w:cols w:equalWidth="0" w:num="3">
            <w:col w:w="2140" w:space="720"/>
            <w:col w:w="3060" w:space="720"/>
            <w:col w:w="3579"/>
          </w:cols>
          <w:pgMar w:left="240" w:top="520" w:right="1440" w:bottom="1440" w:gutter="0" w:footer="0" w:header="0"/>
          <w:type w:val="continuous"/>
        </w:sectPr>
      </w:pP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Press Release of</w:t>
      </w:r>
    </w:p>
    <w:p>
      <w:pPr>
        <w:spacing w:after="0" w:line="238" w:lineRule="auto"/>
        <w:rPr>
          <w:sz w:val="20"/>
          <w:szCs w:val="20"/>
          <w:color w:val="auto"/>
        </w:rPr>
      </w:pPr>
      <w:r>
        <w:rPr>
          <w:rFonts w:ascii="Courier New" w:cs="Courier New" w:eastAsia="Courier New" w:hAnsi="Courier New"/>
          <w:sz w:val="18"/>
          <w:szCs w:val="18"/>
          <w:color w:val="auto"/>
        </w:rPr>
        <w:t>December 12, 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Incorporated by Reference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of 6</w:t>
      </w:r>
    </w:p>
    <w:p>
      <w:pPr>
        <w:spacing w:after="0" w:line="402" w:lineRule="exact"/>
        <w:rPr>
          <w:sz w:val="20"/>
          <w:szCs w:val="20"/>
          <w:color w:val="auto"/>
        </w:rPr>
      </w:pPr>
    </w:p>
    <w:p>
      <w:pPr>
        <w:sectPr>
          <w:pgSz w:w="11900" w:h="16838" w:orient="portrait"/>
          <w:cols w:equalWidth="0" w:num="3">
            <w:col w:w="2140" w:space="720"/>
            <w:col w:w="3480" w:space="720"/>
            <w:col w:w="3159"/>
          </w:cols>
          <w:pgMar w:left="240" w:top="52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Page 4 of 6 pages</w:t>
      </w:r>
    </w:p>
    <w:p>
      <w:pPr>
        <w:spacing w:after="0" w:line="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6"/>
          <w:szCs w:val="16"/>
          <w:color w:val="auto"/>
        </w:rPr>
        <w:t>The Exhibit Index appears on Page 4</w:t>
      </w:r>
    </w:p>
    <w:p>
      <w:pPr>
        <w:sectPr>
          <w:pgSz w:w="11900" w:h="16838" w:orient="portrait"/>
          <w:cols w:equalWidth="0" w:num="1">
            <w:col w:w="10219"/>
          </w:cols>
          <w:pgMar w:left="240" w:top="520" w:right="1440" w:bottom="1440" w:gutter="0" w:footer="0" w:header="0"/>
          <w:type w:val="continuous"/>
        </w:sectPr>
      </w:pPr>
    </w:p>
    <w:bookmarkStart w:id="4" w:name="page5"/>
    <w:bookmarkEnd w:id="4"/>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IMMEDIATE RELEASE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12, 1996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Contact - Steve Moore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of Communications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(214) 978-2696</w:t>
      </w:r>
    </w:p>
    <w:p>
      <w:pPr>
        <w:spacing w:after="0" w:line="200" w:lineRule="exact"/>
        <w:rPr>
          <w:sz w:val="20"/>
          <w:szCs w:val="20"/>
          <w:color w:val="auto"/>
        </w:rPr>
      </w:pPr>
    </w:p>
    <w:p>
      <w:pPr>
        <w:sectPr>
          <w:pgSz w:w="11900" w:h="16838" w:orient="portrait"/>
          <w:cols w:equalWidth="0" w:num="2">
            <w:col w:w="4140" w:space="720"/>
            <w:col w:w="5359"/>
          </w:cols>
          <w:pgMar w:left="240" w:top="136" w:right="1440" w:bottom="1440" w:gutter="0" w:footer="0" w:header="0"/>
        </w:sectPr>
      </w:pP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HALLIBURTON COMPANY REORGANIZATION</w:t>
      </w:r>
    </w:p>
    <w:p>
      <w:pPr>
        <w:sectPr>
          <w:pgSz w:w="11900" w:h="16838" w:orient="portrait"/>
          <w:cols w:equalWidth="0" w:num="1">
            <w:col w:w="10219"/>
          </w:cols>
          <w:pgMar w:left="240" w:top="136" w:right="1440" w:bottom="1440" w:gutter="0" w:footer="0" w:header="0"/>
          <w:type w:val="continuous"/>
        </w:sectPr>
      </w:pPr>
    </w:p>
    <w:p>
      <w:pPr>
        <w:spacing w:after="0" w:line="224"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DALLAS, Texas -- Halliburton Company (NYSE-HAL) announced today that it has completed a reorganization of its legal structure under amended Delaware law. A new parent holding company has been created which owns the previous publicly held company. The name of the new parent company is Halliburton Company. The name of the former public company has been changed to Halliburton Energy Services, Inc.</w:t>
      </w:r>
    </w:p>
    <w:p>
      <w:pPr>
        <w:spacing w:after="0" w:line="210"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purpose of this reorganization is to improve internal operating flexibility and reduce the overall impact of certain state taxes. The company's domestic energy services business units will operate through subsidiary corporations rather than as divisions of the parent company. Otherwise, the business operations of the company will not change as a result of implementing the new legal structure.</w:t>
      </w:r>
    </w:p>
    <w:p>
      <w:pPr>
        <w:spacing w:after="0" w:line="210" w:lineRule="exact"/>
        <w:rPr>
          <w:sz w:val="20"/>
          <w:szCs w:val="20"/>
          <w:color w:val="auto"/>
        </w:rPr>
      </w:pPr>
    </w:p>
    <w:p>
      <w:pPr>
        <w:jc w:val="both"/>
        <w:ind w:right="1779" w:firstLine="527"/>
        <w:spacing w:after="0" w:line="273" w:lineRule="auto"/>
        <w:rPr>
          <w:sz w:val="20"/>
          <w:szCs w:val="20"/>
          <w:color w:val="auto"/>
        </w:rPr>
      </w:pPr>
      <w:r>
        <w:rPr>
          <w:rFonts w:ascii="Courier New" w:cs="Courier New" w:eastAsia="Courier New" w:hAnsi="Courier New"/>
          <w:sz w:val="16"/>
          <w:szCs w:val="16"/>
          <w:color w:val="auto"/>
        </w:rPr>
        <w:t>The reorganization was structured in a manner that did not require action by Halliburton's shareholders, whose rights, privileges and interests will remain the same with respect to the new parent corporation. Existing Halliburton Company common stock certificates will remain in force and effect; no exchange of certificates will take place. Halliburton Company has received an opinion of</w:t>
      </w:r>
    </w:p>
    <w:p>
      <w:pPr>
        <w:spacing w:after="0" w:line="17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5 of 6 pages</w:t>
      </w:r>
    </w:p>
    <w:p>
      <w:pPr>
        <w:ind w:left="2440"/>
        <w:spacing w:after="0" w:line="238" w:lineRule="auto"/>
        <w:rPr>
          <w:sz w:val="20"/>
          <w:szCs w:val="20"/>
          <w:color w:val="auto"/>
        </w:rPr>
      </w:pPr>
      <w:r>
        <w:rPr>
          <w:rFonts w:ascii="Courier New" w:cs="Courier New" w:eastAsia="Courier New" w:hAnsi="Courier New"/>
          <w:sz w:val="18"/>
          <w:szCs w:val="18"/>
          <w:color w:val="auto"/>
        </w:rPr>
        <w:t>The Exhibit Index appears on Page 4</w:t>
      </w:r>
    </w:p>
    <w:p>
      <w:pPr>
        <w:spacing w:after="0" w:line="383"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counsel that the reorganization is tax free to its shareholders. The company's name, charter, by-laws and board of directors did not change as a result of the reorganization. The new parent company will continue to be traded with the ticker symbol "HAL" on the New York Stock Exchange and its CUSIP number will not change.</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Halliburton Company is one of the world's largest diversified energy services, engineering, maintenance, and construction companies. Halliburton provides a broad range of energy services and products, industrial and marine engineering and construction services.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6 of 6 pages</w:t>
      </w:r>
    </w:p>
    <w:p>
      <w:pPr>
        <w:ind w:left="2440"/>
        <w:spacing w:after="0" w:line="238" w:lineRule="auto"/>
        <w:rPr>
          <w:sz w:val="20"/>
          <w:szCs w:val="20"/>
          <w:color w:val="auto"/>
        </w:rPr>
      </w:pPr>
      <w:r>
        <w:rPr>
          <w:rFonts w:ascii="Courier New" w:cs="Courier New" w:eastAsia="Courier New" w:hAnsi="Courier New"/>
          <w:sz w:val="18"/>
          <w:szCs w:val="18"/>
          <w:color w:val="auto"/>
        </w:rPr>
        <w:t>The Exhibit Index appears on Page 4</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2019-12-12T06:53:03Z</dcterms:created>
  <dcterms:modified xsi:type="dcterms:W3CDTF">2019-12-12T06:53:03Z</dcterms:modified>
</cp:coreProperties>
</file>