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02745.xml.htm"/>
      <w:bookmarkStart w:id="1" w:name="kswkform4_1790802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Maurice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N. SAM HOUSTON PARKWAY 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HALLIBURTON CO</w:t>
              </w:r>
            </w:hyperlink>
            <w:r>
              <w:rPr/>
              <w:t xml:space="preserve"> [ </w:t>
            </w:r>
            <w:r>
              <w:rPr>
                <w:rFonts w:ascii="Times;serif" w:hAnsi="Times;serif"/>
                <w:color w:val="0000FF"/>
                <w:sz w:val="24"/>
                <w:shd w:fill="FFFFFF" w:val="clear"/>
              </w:rPr>
              <w:t>HAL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1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1026"/>
        <w:gridCol w:w="276"/>
        <w:gridCol w:w="906"/>
        <w:gridCol w:w="801"/>
        <w:gridCol w:w="891"/>
        <w:gridCol w:w="1101"/>
        <w:gridCol w:w="801"/>
        <w:gridCol w:w="1071"/>
        <w:gridCol w:w="831"/>
        <w:gridCol w:w="846"/>
      </w:tblGrid>
      <w:tr>
        <w:trPr>
          <w:tblHeader w:val="true"/>
        </w:trPr>
        <w:tc>
          <w:tcPr>
            <w:tcW w:w="130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0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1,162.045</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1,162.045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16,010.137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12/2025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7,594.55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7,594.55</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12/2024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6,356.22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6,356.22</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12/2023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5,144.98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5,144.98</w:t>
            </w:r>
            <w:r>
              <w:rPr>
                <w:rFonts w:ascii="Times;serif" w:hAnsi="Times;serif"/>
                <w:color w:val="008000"/>
                <w:position w:val="7"/>
                <w:sz w:val="16"/>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03/2023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4,111.97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4,111.97</w:t>
            </w:r>
            <w:r>
              <w:rPr>
                <w:rFonts w:ascii="Times;serif" w:hAnsi="Times;serif"/>
                <w:color w:val="008000"/>
                <w:position w:val="7"/>
                <w:sz w:val="16"/>
                <w:sz w:val="20"/>
                <w:shd w:fill="FFFFFF" w:val="clear"/>
              </w:rPr>
              <w:t>(7)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security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Stock equivalents acquired under the Halliburton Company Directors' Deferred Compensation Plan reported on a pro-rata basis to reflect Issuer's Plan period. Said Plan is an ongoing securities acquisition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equivalent units were accrued under the Company's Directors' Deferred Compensation Plan and are settled in the Company's common stock following cessation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 portion of the stock equivalents are attributable to dividends and a portion are attributable to quarterly fees and are based on the closing price on September 23, 2026 of $33.01 and September 29, 2026 of $31.54.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stock units vest in one year on the first anniversary of the award. Shares will be delivered to the reporting person either upon vesting, or if reporting person elected to defer receipt, following cessation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stock equivalent units through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I. Rubenfeld,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752" TargetMode="External"/><Relationship Id="rId5" Type="http://schemas.openxmlformats.org/officeDocument/2006/relationships/hyperlink" Target="http://www.sec.gov/cgi-bin/browse-edgar?action=getcompany&amp;CIK=00000450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4282</Characters>
  <CharactersWithSpaces>4965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