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MAY 24, 1999</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Halliburton Company</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659"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3080" w:space="720"/>
            <w:col w:w="1920" w:space="720"/>
            <w:col w:w="3779"/>
          </w:cols>
          <w:pgMar w:left="240" w:top="447" w:right="1440" w:bottom="659"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1-3492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No. 75-2677995</w:t>
      </w:r>
    </w:p>
    <w:p>
      <w:pPr>
        <w:spacing w:after="0" w:line="200" w:lineRule="exact"/>
        <w:rPr>
          <w:sz w:val="24"/>
          <w:szCs w:val="24"/>
          <w:color w:val="auto"/>
        </w:rPr>
      </w:pPr>
    </w:p>
    <w:p>
      <w:pPr>
        <w:sectPr>
          <w:pgSz w:w="11900" w:h="16838" w:orient="portrait"/>
          <w:cols w:equalWidth="0" w:num="3">
            <w:col w:w="3300" w:space="720"/>
            <w:col w:w="1700" w:space="720"/>
            <w:col w:w="3779"/>
          </w:cols>
          <w:pgMar w:left="240" w:top="447" w:right="1440" w:bottom="659"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3600 Lincoln Plaza</w:t>
      </w:r>
    </w:p>
    <w:p>
      <w:pPr>
        <w:jc w:val="center"/>
        <w:ind w:right="1779"/>
        <w:spacing w:after="0" w:line="238" w:lineRule="auto"/>
        <w:rPr>
          <w:sz w:val="20"/>
          <w:szCs w:val="20"/>
          <w:color w:val="auto"/>
        </w:rPr>
      </w:pPr>
      <w:r>
        <w:rPr>
          <w:rFonts w:ascii="Courier New" w:cs="Courier New" w:eastAsia="Courier New" w:hAnsi="Courier New"/>
          <w:sz w:val="18"/>
          <w:szCs w:val="18"/>
          <w:color w:val="auto"/>
        </w:rPr>
        <w:t>500 North Akard Street</w:t>
      </w:r>
    </w:p>
    <w:p>
      <w:pPr>
        <w:jc w:val="center"/>
        <w:ind w:right="1779"/>
        <w:spacing w:after="0"/>
        <w:rPr>
          <w:sz w:val="20"/>
          <w:szCs w:val="20"/>
          <w:color w:val="auto"/>
        </w:rPr>
      </w:pPr>
      <w:r>
        <w:rPr>
          <w:rFonts w:ascii="Courier New" w:cs="Courier New" w:eastAsia="Courier New" w:hAnsi="Courier New"/>
          <w:sz w:val="18"/>
          <w:szCs w:val="18"/>
          <w:color w:val="auto"/>
        </w:rPr>
        <w:t>Dallas, Texas 75201-3391</w:t>
      </w:r>
    </w:p>
    <w:p>
      <w:pPr>
        <w:spacing w:after="0" w:line="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(Address of principal executive offices)</w:t>
      </w:r>
    </w:p>
    <w:p>
      <w:pPr>
        <w:sectPr>
          <w:pgSz w:w="11900" w:h="16838" w:orient="portrait"/>
          <w:cols w:equalWidth="0" w:num="1">
            <w:col w:w="10219"/>
          </w:cols>
          <w:pgMar w:left="240" w:top="447" w:right="1440" w:bottom="659" w:gutter="0" w:footer="0" w:header="0"/>
          <w:type w:val="continuous"/>
        </w:sect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area code - 214/978-2600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1 of 6 Pages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Exhibit Index Appears on Page 4</w:t>
      </w:r>
    </w:p>
    <w:p>
      <w:pPr>
        <w:spacing w:after="0" w:line="200" w:lineRule="exact"/>
        <w:rPr>
          <w:sz w:val="24"/>
          <w:szCs w:val="24"/>
          <w:color w:val="auto"/>
        </w:rPr>
      </w:pPr>
    </w:p>
    <w:p>
      <w:pPr>
        <w:spacing w:after="0" w:line="3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The registrant may, at its option, report under this item any events, with respect to which information is not otherwise called for by this form, that the registrant deems of importance to security holders.</w:t>
      </w:r>
    </w:p>
    <w:p>
      <w:pPr>
        <w:spacing w:after="0" w:line="209" w:lineRule="exact"/>
        <w:rPr>
          <w:sz w:val="24"/>
          <w:szCs w:val="24"/>
          <w:color w:val="auto"/>
        </w:rPr>
      </w:pPr>
    </w:p>
    <w:p>
      <w:pPr>
        <w:jc w:val="both"/>
        <w:ind w:left="120" w:right="1779" w:firstLine="843"/>
        <w:spacing w:after="0" w:line="237" w:lineRule="auto"/>
        <w:rPr>
          <w:sz w:val="20"/>
          <w:szCs w:val="20"/>
          <w:color w:val="auto"/>
        </w:rPr>
      </w:pPr>
      <w:r>
        <w:rPr>
          <w:rFonts w:ascii="Courier New" w:cs="Courier New" w:eastAsia="Courier New" w:hAnsi="Courier New"/>
          <w:sz w:val="18"/>
          <w:szCs w:val="18"/>
          <w:color w:val="auto"/>
        </w:rPr>
        <w:t>On May 24, 1999 registrant issued a press release entitled "Halliburton's Brown &amp; Root Services Wins State Department Contract pertaining, among other things, to an announcement that registrant's Brown &amp; Root Services business unit has been awarded a contract by the U.S. Department of State to perform fast track delivery of security improvements at up to 150 U.S. embassies and consulates throughout the world. The two year contract with one additional option year is valued at up to $100 million.</w:t>
      </w:r>
    </w:p>
    <w:p>
      <w:pPr>
        <w:spacing w:after="0" w:line="20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List below the financial statements, pro forma financial information and exhibits, if any, filed as part of this report.</w:t>
      </w:r>
    </w:p>
    <w:p>
      <w:pPr>
        <w:spacing w:after="0" w:line="203" w:lineRule="exact"/>
        <w:rPr>
          <w:sz w:val="24"/>
          <w:szCs w:val="24"/>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20 - Press release dated May 24,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2 of 6 Pages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Exhibit Index Appears on Page 4</w:t>
      </w:r>
    </w:p>
    <w:p>
      <w:pPr>
        <w:sectPr>
          <w:pgSz w:w="11900" w:h="16838" w:orient="portrait"/>
          <w:cols w:equalWidth="0" w:num="1">
            <w:col w:w="10219"/>
          </w:cols>
          <w:pgMar w:left="240" w:top="447" w:right="1440" w:bottom="659"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HALLIBURTON COMPANY</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7,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Susan S. Keith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Susan S. Keith</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Vice President and Secretary</w:t>
      </w:r>
    </w:p>
    <w:p>
      <w:pPr>
        <w:spacing w:after="0" w:line="200" w:lineRule="exact"/>
        <w:rPr>
          <w:sz w:val="20"/>
          <w:szCs w:val="20"/>
          <w:color w:val="auto"/>
        </w:rPr>
      </w:pPr>
    </w:p>
    <w:p>
      <w:pPr>
        <w:sectPr>
          <w:pgSz w:w="11900" w:h="16838" w:orient="portrait"/>
          <w:cols w:equalWidth="0" w:num="4">
            <w:col w:w="540" w:space="420"/>
            <w:col w:w="2440" w:space="720"/>
            <w:col w:w="320" w:space="0"/>
            <w:col w:w="577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3 of 6 Pages</w:t>
      </w:r>
    </w:p>
    <w:p>
      <w:pPr>
        <w:spacing w:after="0" w:line="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140" w:space="720"/>
            <w:col w:w="2960" w:space="720"/>
            <w:col w:w="3679"/>
          </w:cols>
          <w:pgMar w:left="240" w:top="72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Press Release of</w:t>
      </w:r>
    </w:p>
    <w:p>
      <w:pPr>
        <w:spacing w:after="0" w:line="238" w:lineRule="auto"/>
        <w:rPr>
          <w:sz w:val="20"/>
          <w:szCs w:val="20"/>
          <w:color w:val="auto"/>
        </w:rPr>
      </w:pPr>
      <w:r>
        <w:rPr>
          <w:rFonts w:ascii="Courier New" w:cs="Courier New" w:eastAsia="Courier New" w:hAnsi="Courier New"/>
          <w:sz w:val="18"/>
          <w:szCs w:val="18"/>
          <w:color w:val="auto"/>
        </w:rPr>
        <w:t>May 24,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 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 of 6</w:t>
      </w:r>
    </w:p>
    <w:p>
      <w:pPr>
        <w:spacing w:after="0" w:line="605" w:lineRule="exact"/>
        <w:rPr>
          <w:sz w:val="20"/>
          <w:szCs w:val="20"/>
          <w:color w:val="auto"/>
        </w:rPr>
      </w:pPr>
    </w:p>
    <w:p>
      <w:pPr>
        <w:sectPr>
          <w:pgSz w:w="11900" w:h="16838" w:orient="portrait"/>
          <w:cols w:equalWidth="0" w:num="3">
            <w:col w:w="2140" w:space="720"/>
            <w:col w:w="2960" w:space="720"/>
            <w:col w:w="367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4 of 6 Pages</w:t>
      </w:r>
    </w:p>
    <w:p>
      <w:pPr>
        <w:spacing w:after="0" w:line="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line="6" w:lineRule="exact"/>
        <w:rPr>
          <w:sz w:val="20"/>
          <w:szCs w:val="20"/>
          <w:color w:val="auto"/>
        </w:rPr>
      </w:pPr>
    </w:p>
    <w:p>
      <w:pPr>
        <w:ind w:right="1180"/>
        <w:spacing w:after="0" w:line="290" w:lineRule="auto"/>
        <w:rPr>
          <w:sz w:val="20"/>
          <w:szCs w:val="20"/>
          <w:color w:val="auto"/>
        </w:rPr>
      </w:pPr>
      <w:r>
        <w:rPr>
          <w:rFonts w:ascii="Courier New" w:cs="Courier New" w:eastAsia="Courier New" w:hAnsi="Courier New"/>
          <w:sz w:val="16"/>
          <w:szCs w:val="16"/>
          <w:color w:val="auto"/>
        </w:rPr>
        <w:t>FOR IMMEDIATE RELEASE (May 24,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CONTACT: Wendy Hall Nantz</w:t>
      </w:r>
    </w:p>
    <w:p>
      <w:pPr>
        <w:ind w:left="940"/>
        <w:spacing w:after="0" w:line="238" w:lineRule="auto"/>
        <w:rPr>
          <w:sz w:val="20"/>
          <w:szCs w:val="20"/>
          <w:color w:val="auto"/>
        </w:rPr>
      </w:pPr>
      <w:r>
        <w:rPr>
          <w:rFonts w:ascii="Courier New" w:cs="Courier New" w:eastAsia="Courier New" w:hAnsi="Courier New"/>
          <w:sz w:val="18"/>
          <w:szCs w:val="18"/>
          <w:color w:val="auto"/>
        </w:rPr>
        <w:t>Public Relations</w:t>
      </w:r>
    </w:p>
    <w:p>
      <w:pPr>
        <w:ind w:left="940"/>
        <w:spacing w:after="0"/>
        <w:rPr>
          <w:sz w:val="20"/>
          <w:szCs w:val="20"/>
          <w:color w:val="auto"/>
        </w:rPr>
      </w:pPr>
      <w:r>
        <w:rPr>
          <w:rFonts w:ascii="Courier New" w:cs="Courier New" w:eastAsia="Courier New" w:hAnsi="Courier New"/>
          <w:sz w:val="18"/>
          <w:szCs w:val="18"/>
          <w:color w:val="auto"/>
        </w:rPr>
        <w:t>Halliburton Company</w:t>
      </w:r>
    </w:p>
    <w:p>
      <w:pPr>
        <w:ind w:left="940"/>
        <w:spacing w:after="0" w:line="237" w:lineRule="auto"/>
        <w:rPr>
          <w:sz w:val="20"/>
          <w:szCs w:val="20"/>
          <w:color w:val="auto"/>
        </w:rPr>
      </w:pPr>
      <w:r>
        <w:rPr>
          <w:rFonts w:ascii="Courier New" w:cs="Courier New" w:eastAsia="Courier New" w:hAnsi="Courier New"/>
          <w:sz w:val="18"/>
          <w:szCs w:val="18"/>
          <w:color w:val="auto"/>
        </w:rPr>
        <w:t>(713) 676-5227</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wendy.hall.nantz@halliburton.com</w:t>
      </w:r>
    </w:p>
    <w:p>
      <w:pPr>
        <w:spacing w:after="0" w:line="200" w:lineRule="exact"/>
        <w:rPr>
          <w:sz w:val="20"/>
          <w:szCs w:val="20"/>
          <w:color w:val="auto"/>
        </w:rPr>
      </w:pPr>
    </w:p>
    <w:p>
      <w:pPr>
        <w:sectPr>
          <w:pgSz w:w="11900" w:h="16838" w:orient="portrait"/>
          <w:cols w:equalWidth="0" w:num="2">
            <w:col w:w="3400" w:space="720"/>
            <w:col w:w="6099"/>
          </w:cols>
          <w:pgMar w:left="240" w:top="339" w:right="1440" w:bottom="144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HALLIBURTON'S BROWN &amp; ROOT SERVICES WINS STATE DEPARTMENT CONTRACT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BRS Will Upgrade Up To 150 United States Embassies and Consulates Throughout the World</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DALLAS, Texas - Brown &amp; Root Services (BRS), a business unit of Halliburton Company (NYSE: HAL), has been awarded a contract by the U.S. Department of State to perform fast track delivery of security improvements at U.S. embassies and consulates throughout the world. The two year contract with one additional option year, valued at up to $100 million, requires BRS to perform physical security and technical security systems surveys, followed by detailed design, construction and installation of improved systems for up to 150 facilities throughout the world.</w:t>
      </w:r>
    </w:p>
    <w:p>
      <w:pPr>
        <w:spacing w:after="0" w:line="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contract will require simultaneous survey and small capital construction work at a multitude of international locations. Brown &amp; Root Services will provide the equipment, people, communication and technical expertise to execute security/infrastructure improvements at each location. Security upgrade plans for 50 state department locations are already underway. Brown &amp; Root Services began the contract April 23, 1999.</w:t>
      </w:r>
    </w:p>
    <w:p>
      <w:pPr>
        <w:spacing w:after="0" w:line="7" w:lineRule="exact"/>
        <w:rPr>
          <w:sz w:val="20"/>
          <w:szCs w:val="20"/>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"Brown &amp; Root Services will capitalize on Halliburton's global presence and established infrastructure in more than 130 countries throughout the world," said Dave Lesar, president, Halliburton Company. "This will benefit the State Department by leveraging established local resources and business relationships, backed by a network of worldwide Halliburton Company offices."</w:t>
      </w:r>
    </w:p>
    <w:p>
      <w:pPr>
        <w:spacing w:after="0" w:line="3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5 of 6 Pages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Exhibit Index Appears on Page 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"This practice of business enables Brown &amp; Root Services to provide our best value solutions for the State Department's needs because we have the people and skills to plan and execute multiple projects, each of which represents complex challenges," said Randy Harl, president, Brown &amp; Root Services.</w:t>
      </w:r>
    </w:p>
    <w:p>
      <w:pPr>
        <w:spacing w:after="0" w:line="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competition for the contract included eight companies bidding for the work. Brown &amp; Root Services and Perini Corporation were the companies selected to execute the security upgrades. Other companies that competed for the contract included: Morrison Knudsen, JA Jones Construction, Turner International, Bechtel, Bill Harbert International Construction and Fluor Daniel.</w:t>
      </w:r>
    </w:p>
    <w:p>
      <w:pPr>
        <w:spacing w:after="0" w:line="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Brown &amp; Root Services, a 20,000 employee global company, operates in the Americas, UK, Europe, Africa and Asia-Pacific. Brown &amp; Root Services specializes in comprehensive facilities engineering, design, development, construction, logistics, operations and maintenance. This work is performed for private sector and government clients in simultaneous multiple domestic and international locations.</w:t>
      </w:r>
    </w:p>
    <w:p>
      <w:pPr>
        <w:spacing w:after="0" w:line="7"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Halliburton Company is the world's leading diversified energy services, engineering, energy equipment, construction and maintenance companies. Founded in 1919, Halliburton provides a broad range of energy services and products, industrial and marine engineering and construction services. In 1998, Halliburton's consolidated revenues were $17.4 billion and it conducted business with a workforce of approximately 100,000 in more than 130 countries. The company's World Wide Web site can be accessed at http://www.halliburton.com.</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6 of 6 Pages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Exhibit Index Appears on Page 4</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2020-02-22T12:42:56Z</dcterms:created>
  <dcterms:modified xsi:type="dcterms:W3CDTF">2020-02-22T12:42:56Z</dcterms:modified>
</cp:coreProperties>
</file>