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929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29449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LESAR DAVID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3000 N. SAM HOUSTON PARKWAY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HALLIBURTON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HAL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03/08/2011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4"/>
        <w:spacing w:after="0"/>
        <w:rPr>
          <w:sz w:val="20"/>
          <w:szCs w:val="20"/>
          <w:color w:val="auto"/>
        </w:rPr>
      </w:pPr>
      <w:r>
        <w:rPr>
          <w:rFonts w:ascii="Arial" w:cs="Arial" w:eastAsia="Arial" w:hAnsi="Arial"/>
          <w:sz w:val="17"/>
          <w:szCs w:val="17"/>
          <w:color w:val="0000FF"/>
        </w:rPr>
        <w:t>Chairman, Pres. and CEO</w:t>
      </w:r>
    </w:p>
    <w:p>
      <w:pPr>
        <w:spacing w:after="0" w:line="265"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840" w:type="dxa"/>
            <w:vAlign w:val="bottom"/>
            <w:gridSpan w:val="5"/>
            <w:vMerge w:val="restart"/>
          </w:tcPr>
          <w:p>
            <w:pPr>
              <w:jc w:val="center"/>
              <w:ind w:right="1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60"/>
              <w:spacing w:after="0"/>
              <w:rPr>
                <w:sz w:val="20"/>
                <w:szCs w:val="20"/>
                <w:color w:val="auto"/>
              </w:rPr>
            </w:pPr>
            <w:r>
              <w:rPr>
                <w:rFonts w:ascii="Arial" w:cs="Arial" w:eastAsia="Arial" w:hAnsi="Arial"/>
                <w:sz w:val="17"/>
                <w:szCs w:val="17"/>
                <w:color w:val="0000FF"/>
              </w:rPr>
              <w:t>77032</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2"/>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jc w:val="center"/>
              <w:ind w:left="626"/>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20" w:type="dxa"/>
            <w:vAlign w:val="bottom"/>
            <w:vMerge w:val="restart"/>
          </w:tcPr>
          <w:p>
            <w:pPr>
              <w:jc w:val="center"/>
              <w:ind w:right="76"/>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6"/>
              </w:rPr>
              <w:t>12,786</w:t>
            </w:r>
            <w:r>
              <w:rPr>
                <w:rFonts w:ascii="Arial" w:cs="Arial" w:eastAsia="Arial" w:hAnsi="Arial"/>
                <w:sz w:val="21"/>
                <w:szCs w:val="21"/>
                <w:color w:val="008000"/>
                <w:w w:val="8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45.57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880,936.19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6"/>
              </w:rPr>
              <w:t>18,556</w:t>
            </w:r>
            <w:r>
              <w:rPr>
                <w:rFonts w:ascii="Arial" w:cs="Arial" w:eastAsia="Arial" w:hAnsi="Arial"/>
                <w:sz w:val="21"/>
                <w:szCs w:val="21"/>
                <w:color w:val="008000"/>
                <w:w w:val="8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46.21</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862,380.19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6"/>
              </w:rPr>
              <w:t>17,000</w:t>
            </w:r>
            <w:r>
              <w:rPr>
                <w:rFonts w:ascii="Arial" w:cs="Arial" w:eastAsia="Arial" w:hAnsi="Arial"/>
                <w:sz w:val="21"/>
                <w:szCs w:val="21"/>
                <w:color w:val="008000"/>
                <w:w w:val="8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45.56</w:t>
            </w:r>
            <w:r>
              <w:rPr>
                <w:rFonts w:ascii="Arial" w:cs="Arial" w:eastAsia="Arial" w:hAnsi="Arial"/>
                <w:sz w:val="21"/>
                <w:szCs w:val="21"/>
                <w:color w:val="008000"/>
                <w:w w:val="86"/>
                <w:vertAlign w:val="superscript"/>
              </w:rPr>
              <w:t>(4)</w:t>
            </w: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845,380.19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6"/>
              </w:rPr>
              <w:t>22,493</w:t>
            </w:r>
            <w:r>
              <w:rPr>
                <w:rFonts w:ascii="Arial" w:cs="Arial" w:eastAsia="Arial" w:hAnsi="Arial"/>
                <w:sz w:val="21"/>
                <w:szCs w:val="21"/>
                <w:color w:val="008000"/>
                <w:w w:val="8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46.01</w:t>
            </w:r>
            <w:r>
              <w:rPr>
                <w:rFonts w:ascii="Arial" w:cs="Arial" w:eastAsia="Arial" w:hAnsi="Arial"/>
                <w:sz w:val="21"/>
                <w:szCs w:val="21"/>
                <w:color w:val="008000"/>
                <w:w w:val="86"/>
                <w:vertAlign w:val="superscript"/>
              </w:rPr>
              <w:t>(5)</w:t>
            </w: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822,887.19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Pr>
          <w:p>
            <w:pPr>
              <w:spacing w:after="0"/>
              <w:rPr>
                <w:sz w:val="22"/>
                <w:szCs w:val="22"/>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left="29"/>
              <w:spacing w:after="0"/>
              <w:rPr>
                <w:sz w:val="20"/>
                <w:szCs w:val="20"/>
                <w:color w:val="auto"/>
              </w:rPr>
            </w:pPr>
            <w:r>
              <w:rPr>
                <w:rFonts w:ascii="Arial" w:cs="Arial" w:eastAsia="Arial" w:hAnsi="Arial"/>
                <w:sz w:val="17"/>
                <w:szCs w:val="17"/>
                <w:color w:val="0000FF"/>
                <w:w w:val="88"/>
              </w:rPr>
              <w:t>46,000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19.31</w:t>
            </w:r>
          </w:p>
        </w:tc>
        <w:tc>
          <w:tcPr>
            <w:tcW w:w="40" w:type="dxa"/>
            <w:vAlign w:val="bottom"/>
          </w:tcPr>
          <w:p>
            <w:pPr>
              <w:spacing w:after="0"/>
              <w:rPr>
                <w:sz w:val="22"/>
                <w:szCs w:val="22"/>
                <w:color w:val="auto"/>
              </w:rPr>
            </w:pPr>
          </w:p>
        </w:tc>
        <w:tc>
          <w:tcPr>
            <w:tcW w:w="1300" w:type="dxa"/>
            <w:vAlign w:val="bottom"/>
            <w:gridSpan w:val="3"/>
          </w:tcPr>
          <w:p>
            <w:pPr>
              <w:ind w:left="260"/>
              <w:spacing w:after="0"/>
              <w:rPr>
                <w:sz w:val="20"/>
                <w:szCs w:val="20"/>
                <w:color w:val="auto"/>
              </w:rPr>
            </w:pPr>
            <w:r>
              <w:rPr>
                <w:rFonts w:ascii="Arial" w:cs="Arial" w:eastAsia="Arial" w:hAnsi="Arial"/>
                <w:sz w:val="17"/>
                <w:szCs w:val="17"/>
                <w:color w:val="0000FF"/>
              </w:rPr>
              <w:t>868,887.19</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6"/>
              </w:rPr>
              <w:t>46,000</w:t>
            </w:r>
            <w:r>
              <w:rPr>
                <w:rFonts w:ascii="Arial" w:cs="Arial" w:eastAsia="Arial" w:hAnsi="Arial"/>
                <w:sz w:val="21"/>
                <w:szCs w:val="21"/>
                <w:color w:val="008000"/>
                <w:w w:val="8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45.45</w:t>
            </w:r>
            <w:r>
              <w:rPr>
                <w:rFonts w:ascii="Arial" w:cs="Arial" w:eastAsia="Arial" w:hAnsi="Arial"/>
                <w:sz w:val="21"/>
                <w:szCs w:val="21"/>
                <w:color w:val="008000"/>
                <w:w w:val="86"/>
                <w:vertAlign w:val="superscript"/>
              </w:rPr>
              <w:t>(6)</w:t>
            </w: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822,887.19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Pr>
          <w:p>
            <w:pPr>
              <w:spacing w:after="0"/>
              <w:rPr>
                <w:sz w:val="22"/>
                <w:szCs w:val="22"/>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left="29"/>
              <w:spacing w:after="0"/>
              <w:rPr>
                <w:sz w:val="20"/>
                <w:szCs w:val="20"/>
                <w:color w:val="auto"/>
              </w:rPr>
            </w:pPr>
            <w:r>
              <w:rPr>
                <w:rFonts w:ascii="Arial" w:cs="Arial" w:eastAsia="Arial" w:hAnsi="Arial"/>
                <w:sz w:val="17"/>
                <w:szCs w:val="17"/>
                <w:color w:val="0000FF"/>
                <w:w w:val="87"/>
              </w:rPr>
              <w:t>133,334</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22.04</w:t>
            </w:r>
          </w:p>
        </w:tc>
        <w:tc>
          <w:tcPr>
            <w:tcW w:w="40" w:type="dxa"/>
            <w:vAlign w:val="bottom"/>
          </w:tcPr>
          <w:p>
            <w:pPr>
              <w:spacing w:after="0"/>
              <w:rPr>
                <w:sz w:val="22"/>
                <w:szCs w:val="22"/>
                <w:color w:val="auto"/>
              </w:rPr>
            </w:pPr>
          </w:p>
        </w:tc>
        <w:tc>
          <w:tcPr>
            <w:tcW w:w="1300" w:type="dxa"/>
            <w:vAlign w:val="bottom"/>
            <w:gridSpan w:val="3"/>
          </w:tcPr>
          <w:p>
            <w:pPr>
              <w:ind w:left="260"/>
              <w:spacing w:after="0"/>
              <w:rPr>
                <w:sz w:val="20"/>
                <w:szCs w:val="20"/>
                <w:color w:val="auto"/>
              </w:rPr>
            </w:pPr>
            <w:r>
              <w:rPr>
                <w:rFonts w:ascii="Arial" w:cs="Arial" w:eastAsia="Arial" w:hAnsi="Arial"/>
                <w:sz w:val="17"/>
                <w:szCs w:val="17"/>
                <w:color w:val="0000FF"/>
              </w:rPr>
              <w:t>956,221.19</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1"/>
              </w:rPr>
              <w:t>03/08/2011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6"/>
              </w:rPr>
              <w:t>133,334</w:t>
            </w:r>
            <w:r>
              <w:rPr>
                <w:rFonts w:ascii="Arial" w:cs="Arial" w:eastAsia="Arial" w:hAnsi="Arial"/>
                <w:sz w:val="21"/>
                <w:szCs w:val="21"/>
                <w:color w:val="008000"/>
                <w:w w:val="96"/>
                <w:vertAlign w:val="superscript"/>
              </w:rPr>
              <w:t>(1)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45.8</w:t>
            </w:r>
            <w:r>
              <w:rPr>
                <w:rFonts w:ascii="Arial" w:cs="Arial" w:eastAsia="Arial" w:hAnsi="Arial"/>
                <w:sz w:val="21"/>
                <w:szCs w:val="21"/>
                <w:color w:val="008000"/>
                <w:w w:val="87"/>
                <w:vertAlign w:val="superscript"/>
              </w:rPr>
              <w:t>(7)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822,887.19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9"/>
          </w:tcPr>
          <w:p>
            <w:pPr>
              <w:jc w:val="center"/>
              <w:ind w:left="44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jc w:val="center"/>
              <w:ind w:right="600"/>
              <w:spacing w:after="0" w:line="131" w:lineRule="exact"/>
              <w:rPr>
                <w:sz w:val="20"/>
                <w:szCs w:val="20"/>
                <w:color w:val="auto"/>
              </w:rPr>
            </w:pPr>
            <w:r>
              <w:rPr>
                <w:rFonts w:ascii="Arial" w:cs="Arial" w:eastAsia="Arial" w:hAnsi="Arial"/>
                <w:sz w:val="12"/>
                <w:szCs w:val="12"/>
                <w:b w:val="1"/>
                <w:bCs w:val="1"/>
                <w:color w:val="auto"/>
                <w:w w:val="97"/>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Buy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19.31</w:t>
            </w:r>
          </w:p>
        </w:tc>
        <w:tc>
          <w:tcPr>
            <w:tcW w:w="120" w:type="dxa"/>
            <w:vAlign w:val="bottom"/>
          </w:tcPr>
          <w:p>
            <w:pPr>
              <w:spacing w:after="0"/>
              <w:rPr>
                <w:sz w:val="12"/>
                <w:szCs w:val="12"/>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3"/>
                <w:szCs w:val="13"/>
                <w:color w:val="0000FF"/>
              </w:rPr>
              <w:t>03/08/2011</w:t>
            </w:r>
          </w:p>
        </w:tc>
        <w:tc>
          <w:tcPr>
            <w:tcW w:w="110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1080" w:type="dxa"/>
            <w:vAlign w:val="bottom"/>
            <w:vMerge w:val="restart"/>
          </w:tcPr>
          <w:p>
            <w:pPr>
              <w:jc w:val="center"/>
              <w:ind w:right="40"/>
              <w:spacing w:after="0"/>
              <w:rPr>
                <w:sz w:val="20"/>
                <w:szCs w:val="20"/>
                <w:color w:val="auto"/>
              </w:rPr>
            </w:pPr>
            <w:r>
              <w:rPr>
                <w:rFonts w:ascii="Arial" w:cs="Arial" w:eastAsia="Arial" w:hAnsi="Arial"/>
                <w:sz w:val="13"/>
                <w:szCs w:val="13"/>
                <w:color w:val="0000FF"/>
              </w:rPr>
              <w:t>46,000</w:t>
            </w:r>
            <w:r>
              <w:rPr>
                <w:rFonts w:ascii="Arial" w:cs="Arial" w:eastAsia="Arial" w:hAnsi="Arial"/>
                <w:sz w:val="21"/>
                <w:szCs w:val="21"/>
                <w:color w:val="008000"/>
                <w:vertAlign w:val="superscript"/>
              </w:rPr>
              <w:t>(8)</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12/02/2004</w:t>
            </w:r>
          </w:p>
        </w:tc>
        <w:tc>
          <w:tcPr>
            <w:tcW w:w="800" w:type="dxa"/>
            <w:vAlign w:val="bottom"/>
            <w:vMerge w:val="restart"/>
          </w:tcPr>
          <w:p>
            <w:pPr>
              <w:jc w:val="right"/>
              <w:ind w:right="69"/>
              <w:spacing w:after="0"/>
              <w:rPr>
                <w:sz w:val="20"/>
                <w:szCs w:val="20"/>
                <w:color w:val="auto"/>
              </w:rPr>
            </w:pPr>
            <w:r>
              <w:rPr>
                <w:rFonts w:ascii="Arial" w:cs="Arial" w:eastAsia="Arial" w:hAnsi="Arial"/>
                <w:sz w:val="13"/>
                <w:szCs w:val="13"/>
                <w:color w:val="0000FF"/>
                <w:w w:val="98"/>
              </w:rPr>
              <w:t>12/02/2014</w:t>
            </w:r>
          </w:p>
        </w:tc>
        <w:tc>
          <w:tcPr>
            <w:tcW w:w="620" w:type="dxa"/>
            <w:vAlign w:val="bottom"/>
          </w:tcPr>
          <w:p>
            <w:pPr>
              <w:jc w:val="center"/>
              <w:ind w:right="56"/>
              <w:spacing w:after="0" w:line="144"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46,000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tcPr>
          <w:p>
            <w:pPr>
              <w:jc w:val="center"/>
              <w:ind w:right="56"/>
              <w:spacing w:after="0" w:line="144"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22.04</w:t>
            </w:r>
          </w:p>
        </w:tc>
        <w:tc>
          <w:tcPr>
            <w:tcW w:w="120" w:type="dxa"/>
            <w:vAlign w:val="bottom"/>
          </w:tcPr>
          <w:p>
            <w:pPr>
              <w:spacing w:after="0"/>
              <w:rPr>
                <w:sz w:val="17"/>
                <w:szCs w:val="17"/>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03/08/2011</w:t>
            </w:r>
          </w:p>
        </w:tc>
        <w:tc>
          <w:tcPr>
            <w:tcW w:w="1100" w:type="dxa"/>
            <w:vAlign w:val="bottom"/>
          </w:tcPr>
          <w:p>
            <w:pPr>
              <w:spacing w:after="0"/>
              <w:rPr>
                <w:sz w:val="17"/>
                <w:szCs w:val="17"/>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080" w:type="dxa"/>
            <w:vAlign w:val="bottom"/>
          </w:tcPr>
          <w:p>
            <w:pPr>
              <w:jc w:val="center"/>
              <w:spacing w:after="0" w:line="205" w:lineRule="exact"/>
              <w:rPr>
                <w:sz w:val="20"/>
                <w:szCs w:val="20"/>
                <w:color w:val="auto"/>
              </w:rPr>
            </w:pPr>
            <w:r>
              <w:rPr>
                <w:rFonts w:ascii="Arial" w:cs="Arial" w:eastAsia="Arial" w:hAnsi="Arial"/>
                <w:sz w:val="13"/>
                <w:szCs w:val="13"/>
                <w:color w:val="0000FF"/>
              </w:rPr>
              <w:t>133,334</w:t>
            </w:r>
            <w:r>
              <w:rPr>
                <w:rFonts w:ascii="Arial" w:cs="Arial" w:eastAsia="Arial" w:hAnsi="Arial"/>
                <w:sz w:val="21"/>
                <w:szCs w:val="21"/>
                <w:color w:val="008000"/>
                <w:vertAlign w:val="superscript"/>
              </w:rPr>
              <w:t>(8)</w:t>
            </w:r>
          </w:p>
        </w:tc>
        <w:tc>
          <w:tcPr>
            <w:tcW w:w="780" w:type="dxa"/>
            <w:vAlign w:val="bottom"/>
          </w:tcPr>
          <w:p>
            <w:pPr>
              <w:ind w:left="80"/>
              <w:spacing w:after="0"/>
              <w:rPr>
                <w:sz w:val="20"/>
                <w:szCs w:val="20"/>
                <w:color w:val="auto"/>
              </w:rPr>
            </w:pPr>
            <w:r>
              <w:rPr>
                <w:rFonts w:ascii="Arial" w:cs="Arial" w:eastAsia="Arial" w:hAnsi="Arial"/>
                <w:sz w:val="13"/>
                <w:szCs w:val="13"/>
                <w:color w:val="0000FF"/>
              </w:rPr>
              <w:t>03/03/2005</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03/03/2015</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133,334</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8"/>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39.19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12/01/2010</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12/01/2020</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108,000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108,000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15.42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12/02/2008</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12/02/2018</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174,716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174,716</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29.35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12/01/2009</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12/01/2019</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128,400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128,400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61"/>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36.9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12/05/2007</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12/05/2017</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110,700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110,700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33.17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12/06/2006</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12/06/2016</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348,699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348,699</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3" w:lineRule="exact"/>
              <w:rPr>
                <w:sz w:val="20"/>
                <w:szCs w:val="20"/>
                <w:color w:val="auto"/>
              </w:rPr>
            </w:pPr>
            <w:r>
              <w:rPr>
                <w:rFonts w:ascii="Arial" w:cs="Arial" w:eastAsia="Arial" w:hAnsi="Arial"/>
                <w:sz w:val="9"/>
                <w:szCs w:val="9"/>
                <w:color w:val="0000FF"/>
              </w:rPr>
              <w:t>Common</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jc w:val="center"/>
              <w:ind w:right="56"/>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to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32.39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12/07/2005</w:t>
            </w:r>
          </w:p>
        </w:tc>
        <w:tc>
          <w:tcPr>
            <w:tcW w:w="800" w:type="dxa"/>
            <w:vAlign w:val="bottom"/>
          </w:tcPr>
          <w:p>
            <w:pPr>
              <w:jc w:val="right"/>
              <w:ind w:right="69"/>
              <w:spacing w:after="0"/>
              <w:rPr>
                <w:sz w:val="20"/>
                <w:szCs w:val="20"/>
                <w:color w:val="auto"/>
              </w:rPr>
            </w:pPr>
            <w:r>
              <w:rPr>
                <w:rFonts w:ascii="Arial" w:cs="Arial" w:eastAsia="Arial" w:hAnsi="Arial"/>
                <w:sz w:val="13"/>
                <w:szCs w:val="13"/>
                <w:color w:val="0000FF"/>
                <w:w w:val="98"/>
              </w:rPr>
              <w:t>12/07/2015</w:t>
            </w: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180,000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180,000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Common</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jc w:val="center"/>
              <w:ind w:right="56"/>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40" w:hanging="136"/>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were effected pursuant to a Rule 10b5-1 trading plan adopted by the Reporting Person on February 22, 2011.</w:t>
      </w:r>
    </w:p>
    <w:p>
      <w:pPr>
        <w:spacing w:after="0" w:line="46"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$45.50 to $45.65,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$46.00 to $46.65,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$45.49 to $45.66,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$46.00 to $46.03,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$45.37 to $45.45,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firstLine="4"/>
        <w:spacing w:after="0" w:line="243"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$45.16 to $46.17, inclusive. The Reporting Person undertakes to provide to Halliburton Company, any security holder of Halliburton Company, or the staff of the Securities and Exchange Commission,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left="140" w:hanging="136"/>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disposed of through exercise pursuant to a Rule 10b1-5 trading plan adopted by the Reporting Person on February 22, 2011.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Robert L. Hayter, by Power of</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03/10/2011</w:t>
            </w:r>
          </w:p>
        </w:tc>
        <w:tc>
          <w:tcPr>
            <w:tcW w:w="0" w:type="dxa"/>
            <w:vAlign w:val="bottom"/>
          </w:tcPr>
          <w:p>
            <w:pPr>
              <w:spacing w:after="0"/>
              <w:rPr>
                <w:sz w:val="1"/>
                <w:szCs w:val="1"/>
                <w:color w:val="auto"/>
              </w:rPr>
            </w:pPr>
          </w:p>
        </w:tc>
      </w:tr>
      <w:tr>
        <w:trPr>
          <w:trHeight w:val="85"/>
        </w:trPr>
        <w:tc>
          <w:tcPr>
            <w:tcW w:w="20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460"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20"/>
      </w:cols>
      <w:pgMar w:left="280" w:top="12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405" TargetMode="External"/><Relationship Id="rId13" Type="http://schemas.openxmlformats.org/officeDocument/2006/relationships/hyperlink" Target="http://www.sec.gov/cgi-bin/browse-edgar?action=getcompany&amp;CIK=0000045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2019-12-16T00:28:37Z</dcterms:created>
  <dcterms:modified xsi:type="dcterms:W3CDTF">2019-12-16T00:28:37Z</dcterms:modified>
</cp:coreProperties>
</file>