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51435</wp:posOffset>
            </wp:positionV>
            <wp:extent cx="23228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87630</wp:posOffset>
            </wp:positionV>
            <wp:extent cx="2322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102235</wp:posOffset>
            </wp:positionV>
            <wp:extent cx="2322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HALLIBURTON COMPANY</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78105</wp:posOffset>
            </wp:positionV>
            <wp:extent cx="2322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tbl>
      <w:tblPr>
        <w:tblLayout w:type="fixed"/>
        <w:tblInd w:w="600" w:type="dxa"/>
        <w:tblCellMar>
          <w:top w:w="0" w:type="dxa"/>
          <w:left w:w="0" w:type="dxa"/>
          <w:bottom w:w="0" w:type="dxa"/>
          <w:right w:w="0" w:type="dxa"/>
        </w:tblCellMar>
      </w:tblPr>
      <w:tr>
        <w:trPr>
          <w:trHeight w:val="248"/>
        </w:trPr>
        <w:tc>
          <w:tcPr>
            <w:tcW w:w="3080" w:type="dxa"/>
            <w:vAlign w:val="bottom"/>
          </w:tcPr>
          <w:p>
            <w:pPr>
              <w:jc w:val="center"/>
              <w:ind w:right="275"/>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840" w:type="dxa"/>
            <w:vAlign w:val="bottom"/>
            <w:vMerge w:val="restart"/>
          </w:tcPr>
          <w:p>
            <w:pPr>
              <w:jc w:val="right"/>
              <w:ind w:right="1442"/>
              <w:spacing w:after="0"/>
              <w:rPr>
                <w:sz w:val="20"/>
                <w:szCs w:val="20"/>
                <w:color w:val="auto"/>
              </w:rPr>
            </w:pPr>
            <w:r>
              <w:rPr>
                <w:rFonts w:ascii="Times New Roman" w:cs="Times New Roman" w:eastAsia="Times New Roman" w:hAnsi="Times New Roman"/>
                <w:sz w:val="18"/>
                <w:szCs w:val="18"/>
                <w:b w:val="1"/>
                <w:bCs w:val="1"/>
                <w:color w:val="auto"/>
              </w:rPr>
              <w:t>001-03492</w:t>
            </w:r>
          </w:p>
        </w:tc>
        <w:tc>
          <w:tcPr>
            <w:tcW w:w="2800" w:type="dxa"/>
            <w:vAlign w:val="bottom"/>
            <w:vMerge w:val="restart"/>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75-2677995</w:t>
            </w: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08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800" w:type="dxa"/>
            <w:vAlign w:val="bottom"/>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498"/>
        </w:trPr>
        <w:tc>
          <w:tcPr>
            <w:tcW w:w="692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3000 North Sam Houston Parkway East, Houston,  Texas</w:t>
            </w:r>
          </w:p>
        </w:tc>
        <w:tc>
          <w:tcPr>
            <w:tcW w:w="2800" w:type="dxa"/>
            <w:vAlign w:val="bottom"/>
          </w:tcPr>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77032</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 871-2699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90805</wp:posOffset>
            </wp:positionV>
            <wp:extent cx="2322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0"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20" w:type="dxa"/>
            <w:vAlign w:val="bottom"/>
          </w:tcPr>
          <w:p>
            <w:pPr>
              <w:spacing w:after="0"/>
              <w:rPr>
                <w:sz w:val="13"/>
                <w:szCs w:val="13"/>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340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color w:val="auto"/>
              </w:rPr>
              <w:t>Common Stock, par value $2.50 per share</w:t>
            </w:r>
          </w:p>
        </w:tc>
        <w:tc>
          <w:tcPr>
            <w:tcW w:w="960" w:type="dxa"/>
            <w:vAlign w:val="bottom"/>
          </w:tcPr>
          <w:p>
            <w:pPr>
              <w:spacing w:after="0"/>
              <w:rPr>
                <w:sz w:val="18"/>
                <w:szCs w:val="18"/>
                <w:color w:val="auto"/>
              </w:rPr>
            </w:pPr>
          </w:p>
        </w:tc>
        <w:tc>
          <w:tcPr>
            <w:tcW w:w="282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rPr>
              <w:t>HAL</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 Texas, Inc.</w:t>
            </w:r>
          </w:p>
        </w:tc>
      </w:tr>
    </w:tbl>
    <w:p>
      <w:pPr>
        <w:spacing w:after="0" w:line="200" w:lineRule="exact"/>
        <w:rPr>
          <w:sz w:val="24"/>
          <w:szCs w:val="24"/>
          <w:color w:val="auto"/>
        </w:rPr>
      </w:pPr>
    </w:p>
    <w:p>
      <w:pPr>
        <w:spacing w:after="0" w:line="35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840"/>
        <w:spacing w:after="0" w:line="207" w:lineRule="exact"/>
        <w:tabs>
          <w:tab w:leader="none" w:pos="109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5.07.</w:t>
      </w:r>
      <w:r>
        <w:rPr>
          <w:rFonts w:ascii="Times New Roman" w:cs="Times New Roman" w:eastAsia="Times New Roman" w:hAnsi="Times New Roman"/>
          <w:sz w:val="18"/>
          <w:szCs w:val="18"/>
          <w:b w:val="1"/>
          <w:bCs w:val="1"/>
          <w:color w:val="auto"/>
        </w:rPr>
        <w:t xml:space="preserve"> Submission of Matters to a Vote of Security Holders.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20, 2026, Halliburton Company (“Halliburton”) held its Annual Meeting of Shareholders. Shareholders were asked to consider and act upon:</w:t>
      </w:r>
    </w:p>
    <w:p>
      <w:pPr>
        <w:spacing w:after="0" w:line="239"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KPMG LLP as principal independent public accountants to examine the financial statements and books and records of Halliburton for the year 2026;</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basis Halliburton's executive compensation;</w:t>
      </w:r>
    </w:p>
    <w:p>
      <w:pPr>
        <w:ind w:left="640" w:hanging="308"/>
        <w:spacing w:after="0" w:line="219"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Halliburton Energy Services, Inc. charter amendment;</w:t>
      </w:r>
    </w:p>
    <w:p>
      <w:pPr>
        <w:ind w:left="640" w:hanging="308"/>
        <w:spacing w:after="0" w:line="23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and restate the Halliburton Company Stock and Incentive Plan; and</w:t>
      </w: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and restate the Halliburton Company Employee Stock Purchase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each matter are set out below.</w:t>
      </w:r>
    </w:p>
    <w:p>
      <w:pPr>
        <w:spacing w:after="0" w:line="291" w:lineRule="exact"/>
        <w:rPr>
          <w:sz w:val="20"/>
          <w:szCs w:val="20"/>
          <w:color w:val="auto"/>
        </w:rPr>
      </w:pPr>
    </w:p>
    <w:p>
      <w:pPr>
        <w:ind w:left="520" w:hanging="219"/>
        <w:spacing w:after="0"/>
        <w:tabs>
          <w:tab w:leader="none" w:pos="5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All Director nominees were elected at the Annual Meeting.</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22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For</w:t>
            </w:r>
          </w:p>
        </w:tc>
        <w:tc>
          <w:tcPr>
            <w:tcW w:w="620" w:type="dxa"/>
            <w:vAlign w:val="bottom"/>
          </w:tcPr>
          <w:p>
            <w:pPr>
              <w:spacing w:after="0"/>
              <w:rPr>
                <w:sz w:val="17"/>
                <w:szCs w:val="17"/>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Against</w:t>
            </w:r>
          </w:p>
        </w:tc>
        <w:tc>
          <w:tcPr>
            <w:tcW w:w="22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Abstain</w:t>
            </w:r>
          </w:p>
        </w:tc>
        <w:tc>
          <w:tcPr>
            <w:tcW w:w="540" w:type="dxa"/>
            <w:vAlign w:val="bottom"/>
          </w:tcPr>
          <w:p>
            <w:pPr>
              <w:spacing w:after="0"/>
              <w:rPr>
                <w:sz w:val="17"/>
                <w:szCs w:val="17"/>
                <w:color w:val="auto"/>
              </w:rPr>
            </w:pPr>
          </w:p>
        </w:tc>
        <w:tc>
          <w:tcPr>
            <w:tcW w:w="12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Broker</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gridSpan w:val="4"/>
          </w:tcPr>
          <w:p>
            <w:pPr>
              <w:jc w:val="right"/>
              <w:ind w:right="500"/>
              <w:spacing w:after="0" w:line="182" w:lineRule="exact"/>
              <w:rPr>
                <w:sz w:val="20"/>
                <w:szCs w:val="20"/>
                <w:color w:val="auto"/>
              </w:rPr>
            </w:pPr>
            <w:r>
              <w:rPr>
                <w:rFonts w:ascii="Times New Roman" w:cs="Times New Roman" w:eastAsia="Times New Roman" w:hAnsi="Times New Roman"/>
                <w:sz w:val="18"/>
                <w:szCs w:val="18"/>
                <w:color w:val="auto"/>
                <w:w w:val="93"/>
              </w:rPr>
              <w:t>Non-Votes</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A.F. Al Khayyal</w:t>
            </w:r>
          </w:p>
        </w:tc>
        <w:tc>
          <w:tcPr>
            <w:tcW w:w="1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60" w:type="dxa"/>
            <w:vAlign w:val="bottom"/>
            <w:vMerge w:val="continue"/>
          </w:tcPr>
          <w:p>
            <w:pPr>
              <w:spacing w:after="0"/>
              <w:rPr>
                <w:sz w:val="24"/>
                <w:szCs w:val="24"/>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619,883,885</w:t>
            </w:r>
          </w:p>
        </w:tc>
        <w:tc>
          <w:tcPr>
            <w:tcW w:w="40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11,213,978</w:t>
            </w:r>
          </w:p>
        </w:tc>
        <w:tc>
          <w:tcPr>
            <w:tcW w:w="400" w:type="dxa"/>
            <w:vAlign w:val="bottom"/>
          </w:tcPr>
          <w:p>
            <w:pPr>
              <w:spacing w:after="0"/>
              <w:rPr>
                <w:sz w:val="24"/>
                <w:szCs w:val="24"/>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932,599</w:t>
            </w:r>
          </w:p>
        </w:tc>
        <w:tc>
          <w:tcPr>
            <w:tcW w:w="4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W.E. Albrecht</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622,799,328</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8,346,068</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885,066</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M.K. Banks</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615,534,123</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15,246,464</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1,249,875</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E.M. Cummings</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623,197,722</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7,946,408</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886,332</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M.S. Gerber</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608,697,500</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22,436,434</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896,528</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T.A. Leach</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619,917,948</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7,940,092</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4,172,422</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R.A. Malone</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590,160,463</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37,705,146</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4,164,853</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J.A. Miller</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599,536,039</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31,594,732</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899,691</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J.S. Slocum</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624,926,490</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6,181,575</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922,397</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M.S. Smith</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608,905,689</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18,563,203</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4,561,570</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J.L. Weiss</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624,122,565</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7,045,282</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862,615</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T.M. Edwards Young</w:t>
            </w: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539,002,964</w:t>
            </w:r>
          </w:p>
        </w:tc>
        <w:tc>
          <w:tcPr>
            <w:tcW w:w="4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92,123,434</w:t>
            </w:r>
          </w:p>
        </w:tc>
        <w:tc>
          <w:tcPr>
            <w:tcW w:w="4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904,064</w:t>
            </w:r>
          </w:p>
        </w:tc>
        <w:tc>
          <w:tcPr>
            <w:tcW w:w="44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79,598,195</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480" w:right="120" w:hanging="405"/>
        <w:spacing w:after="0" w:line="253" w:lineRule="auto"/>
        <w:tabs>
          <w:tab w:leader="none" w:pos="4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Ratification of the appointment of auditors: </w:t>
      </w:r>
      <w:r>
        <w:rPr>
          <w:rFonts w:ascii="Times New Roman" w:cs="Times New Roman" w:eastAsia="Times New Roman" w:hAnsi="Times New Roman"/>
          <w:sz w:val="18"/>
          <w:szCs w:val="18"/>
          <w:color w:val="auto"/>
        </w:rPr>
        <w:t>The proposal to ratify the appointment of KPMG LLP as principal independent public accountants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examine the financial statements and books and records of Halliburton for the year ending December 31, 2026 was approved.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674,149,410</w:t>
            </w:r>
          </w:p>
        </w:tc>
        <w:tc>
          <w:tcPr>
            <w:tcW w:w="120" w:type="dxa"/>
            <w:vAlign w:val="bottom"/>
          </w:tcPr>
          <w:p>
            <w:pPr>
              <w:spacing w:after="0"/>
              <w:rPr>
                <w:sz w:val="22"/>
                <w:szCs w:val="22"/>
                <w:color w:val="auto"/>
              </w:rPr>
            </w:pPr>
          </w:p>
        </w:tc>
      </w:tr>
      <w:tr>
        <w:trPr>
          <w:trHeight w:val="236"/>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Against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36,742,407</w:t>
            </w:r>
          </w:p>
        </w:tc>
        <w:tc>
          <w:tcPr>
            <w:tcW w:w="120" w:type="dxa"/>
            <w:vAlign w:val="bottom"/>
          </w:tcPr>
          <w:p>
            <w:pPr>
              <w:spacing w:after="0"/>
              <w:rPr>
                <w:sz w:val="20"/>
                <w:szCs w:val="20"/>
                <w:color w:val="auto"/>
              </w:rPr>
            </w:pPr>
          </w:p>
        </w:tc>
      </w:tr>
      <w:tr>
        <w:trPr>
          <w:trHeight w:val="237"/>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Abstain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736,840</w:t>
            </w:r>
          </w:p>
        </w:tc>
        <w:tc>
          <w:tcPr>
            <w:tcW w:w="120" w:type="dxa"/>
            <w:vAlign w:val="bottom"/>
          </w:tcPr>
          <w:p>
            <w:pPr>
              <w:spacing w:after="0"/>
              <w:rPr>
                <w:sz w:val="20"/>
                <w:szCs w:val="20"/>
                <w:color w:val="auto"/>
              </w:rPr>
            </w:pPr>
          </w:p>
        </w:tc>
      </w:tr>
      <w:tr>
        <w:trPr>
          <w:trHeight w:val="236"/>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Broker Non-Votes</w:t>
            </w:r>
          </w:p>
        </w:tc>
        <w:tc>
          <w:tcPr>
            <w:tcW w:w="22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N/A</w:t>
            </w:r>
          </w:p>
        </w:tc>
      </w:tr>
      <w:tr>
        <w:trPr>
          <w:trHeight w:val="2674"/>
        </w:trPr>
        <w:tc>
          <w:tcPr>
            <w:tcW w:w="9020" w:type="dxa"/>
            <w:vAlign w:val="bottom"/>
            <w:tcBorders>
              <w:bottom w:val="single" w:sz="8" w:color="9A9A9A"/>
            </w:tcBorders>
          </w:tcPr>
          <w:p>
            <w:pPr>
              <w:spacing w:after="0"/>
              <w:rPr>
                <w:sz w:val="24"/>
                <w:szCs w:val="24"/>
                <w:color w:val="auto"/>
              </w:rPr>
            </w:pPr>
          </w:p>
        </w:tc>
        <w:tc>
          <w:tcPr>
            <w:tcW w:w="21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line="200" w:lineRule="exact"/>
        <w:rPr>
          <w:sz w:val="20"/>
          <w:szCs w:val="20"/>
          <w:color w:val="auto"/>
        </w:rPr>
      </w:pPr>
    </w:p>
    <w:p>
      <w:pPr>
        <w:spacing w:after="0" w:line="262" w:lineRule="exact"/>
        <w:rPr>
          <w:sz w:val="20"/>
          <w:szCs w:val="20"/>
          <w:color w:val="auto"/>
        </w:rPr>
      </w:pPr>
    </w:p>
    <w:p>
      <w:pPr>
        <w:ind w:left="480" w:right="60" w:hanging="405"/>
        <w:spacing w:after="0" w:line="268" w:lineRule="auto"/>
        <w:tabs>
          <w:tab w:leader="none" w:pos="529"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Advisory approval of executive compensation: </w:t>
      </w:r>
      <w:r>
        <w:rPr>
          <w:rFonts w:ascii="Times New Roman" w:cs="Times New Roman" w:eastAsia="Times New Roman" w:hAnsi="Times New Roman"/>
          <w:sz w:val="18"/>
          <w:szCs w:val="18"/>
          <w:color w:val="auto"/>
        </w:rPr>
        <w:t>The proposal to approve on an advisory basis Halliburton’s executive compensation as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proxy statement was approved.</w:t>
      </w:r>
    </w:p>
    <w:p>
      <w:pPr>
        <w:spacing w:after="0" w:line="120" w:lineRule="exact"/>
        <w:rPr>
          <w:sz w:val="20"/>
          <w:szCs w:val="20"/>
          <w:color w:val="auto"/>
        </w:rPr>
      </w:pPr>
    </w:p>
    <w:tbl>
      <w:tblPr>
        <w:tblLayout w:type="fixed"/>
        <w:tblInd w:w="440" w:type="dxa"/>
        <w:tblCellMar>
          <w:top w:w="0" w:type="dxa"/>
          <w:left w:w="0" w:type="dxa"/>
          <w:bottom w:w="0" w:type="dxa"/>
          <w:right w:w="0" w:type="dxa"/>
        </w:tblCellMar>
      </w:tblPr>
      <w:tr>
        <w:trPr>
          <w:trHeight w:val="261"/>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608,197,911</w:t>
            </w:r>
          </w:p>
        </w:tc>
      </w:tr>
      <w:tr>
        <w:trPr>
          <w:trHeight w:val="23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21,910,320</w:t>
            </w:r>
          </w:p>
        </w:tc>
      </w:tr>
      <w:tr>
        <w:trPr>
          <w:trHeight w:val="23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1,922,231</w:t>
            </w:r>
          </w:p>
        </w:tc>
      </w:tr>
      <w:tr>
        <w:trPr>
          <w:trHeight w:val="23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79,598,195</w:t>
            </w:r>
          </w:p>
        </w:tc>
      </w:tr>
    </w:tbl>
    <w:p>
      <w:pPr>
        <w:spacing w:after="0" w:line="344" w:lineRule="exact"/>
        <w:rPr>
          <w:sz w:val="20"/>
          <w:szCs w:val="20"/>
          <w:color w:val="auto"/>
        </w:rPr>
      </w:pPr>
    </w:p>
    <w:p>
      <w:pPr>
        <w:ind w:left="480" w:right="40" w:hanging="179"/>
        <w:spacing w:after="0" w:line="268" w:lineRule="auto"/>
        <w:tabs>
          <w:tab w:leader="none" w:pos="529"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Approval of the Halliburton Energy Services, Inc. charter amendment: </w:t>
      </w:r>
      <w:r>
        <w:rPr>
          <w:rFonts w:ascii="Times New Roman" w:cs="Times New Roman" w:eastAsia="Times New Roman" w:hAnsi="Times New Roman"/>
          <w:sz w:val="18"/>
          <w:szCs w:val="18"/>
          <w:color w:val="auto"/>
        </w:rPr>
        <w:t>The proposal to approve the Halliburton Energy Services, Inc.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was approved.</w:t>
      </w:r>
    </w:p>
    <w:p>
      <w:pPr>
        <w:spacing w:after="0" w:line="120" w:lineRule="exact"/>
        <w:rPr>
          <w:sz w:val="20"/>
          <w:szCs w:val="20"/>
          <w:color w:val="auto"/>
        </w:rPr>
      </w:pPr>
    </w:p>
    <w:tbl>
      <w:tblPr>
        <w:tblLayout w:type="fixed"/>
        <w:tblInd w:w="440" w:type="dxa"/>
        <w:tblCellMar>
          <w:top w:w="0" w:type="dxa"/>
          <w:left w:w="0" w:type="dxa"/>
          <w:bottom w:w="0" w:type="dxa"/>
          <w:right w:w="0" w:type="dxa"/>
        </w:tblCellMar>
      </w:tblPr>
      <w:tr>
        <w:trPr>
          <w:trHeight w:val="261"/>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629,853,331</w:t>
            </w:r>
          </w:p>
        </w:tc>
      </w:tr>
      <w:tr>
        <w:trPr>
          <w:trHeight w:val="23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1,221,691</w:t>
            </w:r>
          </w:p>
        </w:tc>
      </w:tr>
      <w:tr>
        <w:trPr>
          <w:trHeight w:val="23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955,440</w:t>
            </w:r>
          </w:p>
        </w:tc>
      </w:tr>
      <w:tr>
        <w:trPr>
          <w:trHeight w:val="23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79,598,195</w:t>
            </w:r>
          </w:p>
        </w:tc>
      </w:tr>
    </w:tbl>
    <w:p>
      <w:pPr>
        <w:spacing w:after="0" w:line="358" w:lineRule="exact"/>
        <w:rPr>
          <w:sz w:val="20"/>
          <w:szCs w:val="20"/>
          <w:color w:val="auto"/>
        </w:rPr>
      </w:pPr>
    </w:p>
    <w:p>
      <w:pPr>
        <w:ind w:left="480" w:right="40" w:hanging="179"/>
        <w:spacing w:after="0" w:line="268" w:lineRule="auto"/>
        <w:tabs>
          <w:tab w:leader="none" w:pos="529"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Amendment and Restatement of the Halliburton Company Stock and Incentive Plan: </w:t>
      </w:r>
      <w:r>
        <w:rPr>
          <w:rFonts w:ascii="Times New Roman" w:cs="Times New Roman" w:eastAsia="Times New Roman" w:hAnsi="Times New Roman"/>
          <w:sz w:val="18"/>
          <w:szCs w:val="18"/>
          <w:color w:val="auto"/>
        </w:rPr>
        <w:t>The proposal to amend and restate the Halliburton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and Incentive Plan was approved.</w:t>
      </w:r>
    </w:p>
    <w:p>
      <w:pPr>
        <w:spacing w:after="0" w:line="107" w:lineRule="exact"/>
        <w:rPr>
          <w:sz w:val="20"/>
          <w:szCs w:val="20"/>
          <w:color w:val="auto"/>
        </w:rPr>
      </w:pPr>
    </w:p>
    <w:tbl>
      <w:tblPr>
        <w:tblLayout w:type="fixed"/>
        <w:tblInd w:w="440" w:type="dxa"/>
        <w:tblCellMar>
          <w:top w:w="0" w:type="dxa"/>
          <w:left w:w="0" w:type="dxa"/>
          <w:bottom w:w="0" w:type="dxa"/>
          <w:right w:w="0" w:type="dxa"/>
        </w:tblCellMar>
      </w:tblPr>
      <w:tr>
        <w:trPr>
          <w:trHeight w:val="261"/>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595,921,363</w:t>
            </w:r>
          </w:p>
        </w:tc>
      </w:tr>
      <w:tr>
        <w:trPr>
          <w:trHeight w:val="23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34,184,673</w:t>
            </w:r>
          </w:p>
        </w:tc>
      </w:tr>
      <w:tr>
        <w:trPr>
          <w:trHeight w:val="23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1,924,426</w:t>
            </w:r>
          </w:p>
        </w:tc>
      </w:tr>
      <w:tr>
        <w:trPr>
          <w:trHeight w:val="23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79,598,195</w:t>
            </w:r>
          </w:p>
        </w:tc>
      </w:tr>
    </w:tbl>
    <w:p>
      <w:pPr>
        <w:spacing w:after="0" w:line="358" w:lineRule="exact"/>
        <w:rPr>
          <w:sz w:val="20"/>
          <w:szCs w:val="20"/>
          <w:color w:val="auto"/>
        </w:rPr>
      </w:pPr>
    </w:p>
    <w:p>
      <w:pPr>
        <w:ind w:left="480" w:right="60" w:hanging="179"/>
        <w:spacing w:after="0" w:line="268" w:lineRule="auto"/>
        <w:tabs>
          <w:tab w:leader="none" w:pos="529"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Amendment and Restatement of the Halliburton Company Employee Stock Purchase Plan: </w:t>
      </w:r>
      <w:r>
        <w:rPr>
          <w:rFonts w:ascii="Times New Roman" w:cs="Times New Roman" w:eastAsia="Times New Roman" w:hAnsi="Times New Roman"/>
          <w:sz w:val="18"/>
          <w:szCs w:val="18"/>
          <w:color w:val="auto"/>
        </w:rPr>
        <w:t>The proposal to amend and restate the Halliburton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Employee Stock Purchase Plan was approved.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626,889,047</w:t>
            </w:r>
          </w:p>
        </w:tc>
        <w:tc>
          <w:tcPr>
            <w:tcW w:w="120" w:type="dxa"/>
            <w:vAlign w:val="bottom"/>
          </w:tcPr>
          <w:p>
            <w:pPr>
              <w:spacing w:after="0"/>
              <w:rPr>
                <w:sz w:val="22"/>
                <w:szCs w:val="22"/>
                <w:color w:val="auto"/>
              </w:rPr>
            </w:pPr>
          </w:p>
        </w:tc>
      </w:tr>
      <w:tr>
        <w:trPr>
          <w:trHeight w:val="237"/>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Against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4,286,717</w:t>
            </w:r>
          </w:p>
        </w:tc>
        <w:tc>
          <w:tcPr>
            <w:tcW w:w="120" w:type="dxa"/>
            <w:vAlign w:val="bottom"/>
          </w:tcPr>
          <w:p>
            <w:pPr>
              <w:spacing w:after="0"/>
              <w:rPr>
                <w:sz w:val="20"/>
                <w:szCs w:val="20"/>
                <w:color w:val="auto"/>
              </w:rPr>
            </w:pPr>
          </w:p>
        </w:tc>
      </w:tr>
      <w:tr>
        <w:trPr>
          <w:trHeight w:val="236"/>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Abstain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854,698</w:t>
            </w:r>
          </w:p>
        </w:tc>
        <w:tc>
          <w:tcPr>
            <w:tcW w:w="120" w:type="dxa"/>
            <w:vAlign w:val="bottom"/>
          </w:tcPr>
          <w:p>
            <w:pPr>
              <w:spacing w:after="0"/>
              <w:rPr>
                <w:sz w:val="20"/>
                <w:szCs w:val="20"/>
                <w:color w:val="auto"/>
              </w:rPr>
            </w:pPr>
          </w:p>
        </w:tc>
      </w:tr>
      <w:tr>
        <w:trPr>
          <w:trHeight w:val="237"/>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Broker Non-Votes</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79,598,195</w:t>
            </w:r>
          </w:p>
        </w:tc>
        <w:tc>
          <w:tcPr>
            <w:tcW w:w="120" w:type="dxa"/>
            <w:vAlign w:val="bottom"/>
          </w:tcPr>
          <w:p>
            <w:pPr>
              <w:spacing w:after="0"/>
              <w:rPr>
                <w:sz w:val="20"/>
                <w:szCs w:val="20"/>
                <w:color w:val="auto"/>
              </w:rPr>
            </w:pPr>
          </w:p>
        </w:tc>
      </w:tr>
      <w:tr>
        <w:trPr>
          <w:trHeight w:val="959"/>
        </w:trPr>
        <w:tc>
          <w:tcPr>
            <w:tcW w:w="90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HALLIBURTON COMPANY</w:t>
      </w:r>
    </w:p>
    <w:p>
      <w:pPr>
        <w:spacing w:after="0" w:line="387" w:lineRule="exact"/>
        <w:rPr>
          <w:sz w:val="20"/>
          <w:szCs w:val="20"/>
          <w:color w:val="auto"/>
        </w:rPr>
      </w:pPr>
    </w:p>
    <w:p>
      <w:pPr>
        <w:ind w:left="20"/>
        <w:spacing w:after="0"/>
        <w:tabs>
          <w:tab w:leader="none" w:pos="4740" w:val="left"/>
          <w:tab w:leader="none" w:pos="528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Pamela 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34290</wp:posOffset>
            </wp:positionV>
            <wp:extent cx="3780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Pamela L. Taylor</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Vice President, Public Law and Assistant Secretary</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2026-05-20T15:31:21Z</dcterms:created>
  <dcterms:modified xsi:type="dcterms:W3CDTF">2026-05-20T15:31:21Z</dcterms:modified>
</cp:coreProperties>
</file>