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8"/>
          <w:szCs w:val="18"/>
          <w:b w:val="1"/>
          <w:bCs w:val="1"/>
          <w:color w:val="auto"/>
        </w:rPr>
        <w:t>UNITED STATES</w:t>
      </w:r>
    </w:p>
    <w:p>
      <w:pPr>
        <w:spacing w:after="0" w:line="90"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0"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Washington, DC 20549</w:t>
      </w:r>
    </w:p>
    <w:p>
      <w:pPr>
        <w:spacing w:after="0" w:line="183" w:lineRule="exact"/>
        <w:rPr>
          <w:sz w:val="24"/>
          <w:szCs w:val="24"/>
          <w:color w:val="auto"/>
        </w:rPr>
      </w:pPr>
    </w:p>
    <w:p>
      <w:pPr>
        <w:jc w:val="center"/>
        <w:ind w:right="-1040"/>
        <w:spacing w:after="0"/>
        <w:rPr>
          <w:sz w:val="20"/>
          <w:szCs w:val="20"/>
          <w:color w:val="auto"/>
        </w:rPr>
      </w:pPr>
      <w:r>
        <w:rPr>
          <w:rFonts w:ascii="Arial" w:cs="Arial" w:eastAsia="Arial" w:hAnsi="Arial"/>
          <w:sz w:val="29"/>
          <w:szCs w:val="29"/>
          <w:b w:val="1"/>
          <w:bCs w:val="1"/>
          <w:color w:val="auto"/>
        </w:rPr>
        <w:t>SCHEDULE 14A</w:t>
      </w:r>
    </w:p>
    <w:p>
      <w:pPr>
        <w:spacing w:after="0" w:line="222"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OF THE SECURITIES EXCHANGE ACT OF 1934</w:t>
      </w:r>
    </w:p>
    <w:p>
      <w:pPr>
        <w:jc w:val="center"/>
        <w:ind w:right="-1040"/>
        <w:spacing w:after="0"/>
        <w:tabs>
          <w:tab w:leader="none" w:pos="24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789940</wp:posOffset>
            </wp:positionH>
            <wp:positionV relativeFrom="paragraph">
              <wp:posOffset>126365</wp:posOffset>
            </wp:positionV>
            <wp:extent cx="214630" cy="214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58" w:lineRule="exact"/>
        <w:rPr>
          <w:sz w:val="24"/>
          <w:szCs w:val="24"/>
          <w:color w:val="auto"/>
        </w:rPr>
      </w:pPr>
    </w:p>
    <w:p>
      <w:pPr>
        <w:jc w:val="right"/>
        <w:ind w:right="379"/>
        <w:spacing w:after="0"/>
        <w:rPr>
          <w:sz w:val="20"/>
          <w:szCs w:val="20"/>
          <w:color w:val="auto"/>
        </w:rPr>
      </w:pPr>
      <w:r>
        <w:rPr>
          <w:rFonts w:ascii="Arial" w:cs="Arial" w:eastAsia="Arial" w:hAnsi="Arial"/>
          <w:sz w:val="18"/>
          <w:szCs w:val="18"/>
          <w:color w:val="auto"/>
        </w:rPr>
        <w:t xml:space="preserve">Filed by the Registrant                          </w:t>
      </w:r>
      <w:r>
        <w:rPr>
          <w:sz w:val="1"/>
          <w:szCs w:val="1"/>
          <w:color w:val="auto"/>
        </w:rPr>
        <w:drawing>
          <wp:inline distT="0" distB="0" distL="0" distR="0">
            <wp:extent cx="214630" cy="2146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630" cy="214630"/>
                    </a:xfrm>
                    <a:prstGeom prst="rect">
                      <a:avLst/>
                    </a:prstGeom>
                    <a:noFill/>
                    <a:ln>
                      <a:noFill/>
                    </a:ln>
                  </pic:spPr>
                </pic:pic>
              </a:graphicData>
            </a:graphic>
          </wp:inline>
        </w:drawing>
      </w:r>
      <w:r>
        <w:rPr>
          <w:rFonts w:ascii="Arial" w:cs="Arial" w:eastAsia="Arial" w:hAnsi="Arial"/>
          <w:sz w:val="18"/>
          <w:szCs w:val="18"/>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117475</wp:posOffset>
            </wp:positionV>
            <wp:extent cx="7132320" cy="1440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440180"/>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w:t>
      </w:r>
    </w:p>
    <w:p>
      <w:pPr>
        <w:spacing w:after="0" w:line="189" w:lineRule="exact"/>
        <w:rPr>
          <w:sz w:val="24"/>
          <w:szCs w:val="24"/>
          <w:color w:val="auto"/>
        </w:rPr>
      </w:pPr>
    </w:p>
    <w:p>
      <w:pPr>
        <w:ind w:left="560"/>
        <w:spacing w:after="0"/>
        <w:rPr>
          <w:sz w:val="20"/>
          <w:szCs w:val="20"/>
          <w:color w:val="auto"/>
        </w:rPr>
      </w:pPr>
      <w:r>
        <w:rPr>
          <w:rFonts w:ascii="Arial" w:cs="Arial" w:eastAsia="Arial" w:hAnsi="Arial"/>
          <w:sz w:val="18"/>
          <w:szCs w:val="18"/>
          <w:color w:val="auto"/>
        </w:rPr>
        <w:t>Preliminary Proxy Statement</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Confidential, for Use of the Commission Only (as permitted by Rule 14A-6(E)(2))</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Definitive Proxy Statement</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Definitive Additional Materials</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Soliciting Material under §240.14a-12</w:t>
      </w:r>
    </w:p>
    <w:p>
      <w:pPr>
        <w:spacing w:after="0" w:line="210" w:lineRule="exact"/>
        <w:rPr>
          <w:sz w:val="24"/>
          <w:szCs w:val="24"/>
          <w:color w:val="auto"/>
        </w:rPr>
      </w:pPr>
    </w:p>
    <w:p>
      <w:pPr>
        <w:ind w:left="4520"/>
        <w:spacing w:after="0"/>
        <w:rPr>
          <w:sz w:val="20"/>
          <w:szCs w:val="20"/>
          <w:color w:val="auto"/>
        </w:rPr>
      </w:pPr>
      <w:r>
        <w:rPr>
          <w:rFonts w:ascii="Arial" w:cs="Arial" w:eastAsia="Arial" w:hAnsi="Arial"/>
          <w:sz w:val="29"/>
          <w:szCs w:val="29"/>
          <w:b w:val="1"/>
          <w:bCs w:val="1"/>
          <w:color w:val="auto"/>
        </w:rPr>
        <w:t>HALLIBURTON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1184275</wp:posOffset>
            </wp:positionH>
            <wp:positionV relativeFrom="paragraph">
              <wp:posOffset>153035</wp:posOffset>
            </wp:positionV>
            <wp:extent cx="4705985"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0598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040"/>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198" w:lineRule="exact"/>
        <w:rPr>
          <w:sz w:val="24"/>
          <w:szCs w:val="24"/>
          <w:color w:val="auto"/>
        </w:rPr>
      </w:pPr>
    </w:p>
    <w:p>
      <w:pPr>
        <w:jc w:val="center"/>
        <w:ind w:right="-104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50800</wp:posOffset>
            </wp:positionV>
            <wp:extent cx="7132320" cy="942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942975"/>
                    </a:xfrm>
                    <a:prstGeom prst="rect">
                      <a:avLst/>
                    </a:prstGeom>
                    <a:noFill/>
                  </pic:spPr>
                </pic:pic>
              </a:graphicData>
            </a:graphic>
          </wp:anchor>
        </w:drawing>
      </w:r>
    </w:p>
    <w:p>
      <w:pPr>
        <w:spacing w:after="0" w:line="7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Payment of Filing Fee (Check all boxes that apply):</w:t>
      </w:r>
    </w:p>
    <w:p>
      <w:pPr>
        <w:spacing w:after="0" w:line="189" w:lineRule="exact"/>
        <w:rPr>
          <w:sz w:val="24"/>
          <w:szCs w:val="24"/>
          <w:color w:val="auto"/>
        </w:rPr>
      </w:pPr>
    </w:p>
    <w:p>
      <w:pPr>
        <w:ind w:left="600"/>
        <w:spacing w:after="0"/>
        <w:rPr>
          <w:sz w:val="20"/>
          <w:szCs w:val="20"/>
          <w:color w:val="auto"/>
        </w:rPr>
      </w:pPr>
      <w:r>
        <w:rPr>
          <w:rFonts w:ascii="Arial" w:cs="Arial" w:eastAsia="Arial" w:hAnsi="Arial"/>
          <w:sz w:val="18"/>
          <w:szCs w:val="18"/>
          <w:b w:val="1"/>
          <w:bCs w:val="1"/>
          <w:color w:val="auto"/>
        </w:rPr>
        <w:t>No fee required.</w:t>
      </w:r>
    </w:p>
    <w:p>
      <w:pPr>
        <w:spacing w:after="0" w:line="185" w:lineRule="exact"/>
        <w:rPr>
          <w:sz w:val="24"/>
          <w:szCs w:val="24"/>
          <w:color w:val="auto"/>
        </w:rPr>
      </w:pPr>
    </w:p>
    <w:p>
      <w:pPr>
        <w:ind w:left="600"/>
        <w:spacing w:after="0"/>
        <w:rPr>
          <w:sz w:val="20"/>
          <w:szCs w:val="20"/>
          <w:color w:val="auto"/>
        </w:rPr>
      </w:pPr>
      <w:r>
        <w:rPr>
          <w:rFonts w:ascii="Arial" w:cs="Arial" w:eastAsia="Arial" w:hAnsi="Arial"/>
          <w:sz w:val="18"/>
          <w:szCs w:val="18"/>
          <w:b w:val="1"/>
          <w:bCs w:val="1"/>
          <w:color w:val="auto"/>
        </w:rPr>
        <w:t>Fee paid previously with preliminary materials.</w:t>
      </w:r>
    </w:p>
    <w:p>
      <w:pPr>
        <w:spacing w:after="0" w:line="185" w:lineRule="exact"/>
        <w:rPr>
          <w:sz w:val="24"/>
          <w:szCs w:val="24"/>
          <w:color w:val="auto"/>
        </w:rPr>
      </w:pPr>
    </w:p>
    <w:p>
      <w:pPr>
        <w:ind w:left="600"/>
        <w:spacing w:after="0"/>
        <w:rPr>
          <w:sz w:val="20"/>
          <w:szCs w:val="20"/>
          <w:color w:val="auto"/>
        </w:rPr>
      </w:pPr>
      <w:r>
        <w:rPr>
          <w:rFonts w:ascii="Arial" w:cs="Arial" w:eastAsia="Arial" w:hAnsi="Arial"/>
          <w:sz w:val="18"/>
          <w:szCs w:val="18"/>
          <w:b w:val="1"/>
          <w:bCs w:val="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180340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079"/>
          </w:cols>
          <w:pgMar w:left="380" w:top="229"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9138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9138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7"/>
          <w:szCs w:val="47"/>
          <w:b w:val="1"/>
          <w:bCs w:val="1"/>
          <w:color w:val="CB233C"/>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t xml:space="preserve">To Our Valued </w:t>
      </w:r>
      <w:r>
        <w:rPr>
          <w:rFonts w:ascii="Arial" w:cs="Arial" w:eastAsia="Arial" w:hAnsi="Arial"/>
          <w:sz w:val="47"/>
          <w:szCs w:val="47"/>
          <w:b w:val="1"/>
          <w:bCs w:val="1"/>
          <w:color w:val="000000"/>
        </w:rPr>
        <w:t>Shareholders:</w:t>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CB233C"/>
        </w:rPr>
        <w:t>April 5, 2022</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Dear Fellow Shareholders: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On behalf of our Board of Directors, management team, and more than 40,000 employees, thank you for your investment in Halliburton.</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Energy markets in 2021 demonstrated the importance of oil and gas to fueling economic recovery and to sustaining the quality of life for people everywhere. Halliburton’s value proposition, core competencies, and service delivery play a vital role in the reliability, affordability, and sustainability of oil and gas for a growing world population. Halliburton also delivered technology to help reduce emissions for ourselves and our customers while enabling future low carbon technology through our cleaner and more affordable energy accelerator, Halliburton Labs.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2021, oil and gas demand accelerated, marking the beginning of an energy upcycle. Halliburton’s solid strategy execution delivered outperformance in every part of our business – safety, service quality, and financial results. Our clear strategy to deliver profitable international growth, maximize cash flow in North America, deploy new digital and automation technology, increase capital efficiency, and advance a sustainable energy future drove our financial outperformance, and created value for our shareholders.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refreshed shareholder outreach efforts made sure we met with and heard from you about Halliburton and our performance. During 2021, we communicated with shareholders collectively representing approximately 60% of our outstanding shares and held face-to-face video calls with shareholders representing about 40% of our shares. Our Compensation Committee Chair, Murry Gerber or Lead Independent Director, Bob Malone attended these calls, along with members of senior management. That outreach also included engagement with the two largest proxy advisors, ISS and Glass Lewis. The information each of you shared with us is integral to the Board’s decision-making process and your views help inform our Company’s policies, practices, and disclosures.</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Your vote is important regardless of how many shares you own. Whether or not you plan to attend our annual meeting on May 18, 2022, at our corporate offices in Houston, Texas, please review the proxy materials and vote as soon as possible. </w:t>
      </w:r>
      <w:r>
        <w:rPr>
          <w:rFonts w:ascii="Arial" w:cs="Arial" w:eastAsia="Arial" w:hAnsi="Arial"/>
          <w:sz w:val="16"/>
          <w:szCs w:val="16"/>
          <w:color w:val="auto"/>
        </w:rPr>
        <w:t>You may do so by phone, online, or if you</w:t>
      </w:r>
      <w:r>
        <w:rPr>
          <w:rFonts w:ascii="Arial" w:cs="Arial" w:eastAsia="Arial" w:hAnsi="Arial"/>
          <w:sz w:val="16"/>
          <w:szCs w:val="16"/>
          <w:b w:val="1"/>
          <w:bCs w:val="1"/>
          <w:color w:val="auto"/>
        </w:rPr>
        <w:t xml:space="preserve"> </w:t>
      </w:r>
      <w:r>
        <w:rPr>
          <w:rFonts w:ascii="Arial" w:cs="Arial" w:eastAsia="Arial" w:hAnsi="Arial"/>
          <w:sz w:val="16"/>
          <w:szCs w:val="16"/>
          <w:color w:val="auto"/>
        </w:rPr>
        <w:t>received a paper proxy, through the mail. See the Notice of Annual Meeting for instructions on how to vote.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Board of Directors, thank you for the confidence you place in Halliburton.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114425"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4425" cy="3600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149225</wp:posOffset>
            </wp:positionV>
            <wp:extent cx="1885950"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595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20" w:type="dxa"/>
            <w:vAlign w:val="bottom"/>
          </w:tcPr>
          <w:p>
            <w:pPr>
              <w:spacing w:after="0"/>
              <w:rPr>
                <w:sz w:val="20"/>
                <w:szCs w:val="20"/>
                <w:color w:val="auto"/>
              </w:rPr>
            </w:pPr>
            <w:r>
              <w:rPr>
                <w:rFonts w:ascii="Arial" w:cs="Arial" w:eastAsia="Arial" w:hAnsi="Arial"/>
                <w:sz w:val="16"/>
                <w:szCs w:val="16"/>
                <w:b w:val="1"/>
                <w:bCs w:val="1"/>
                <w:color w:val="CB233C"/>
              </w:rPr>
              <w:t>Jeffrey A. Miller</w:t>
            </w:r>
          </w:p>
        </w:tc>
        <w:tc>
          <w:tcPr>
            <w:tcW w:w="7220" w:type="dxa"/>
            <w:vAlign w:val="bottom"/>
          </w:tcPr>
          <w:p>
            <w:pPr>
              <w:ind w:left="1840"/>
              <w:spacing w:after="0"/>
              <w:rPr>
                <w:sz w:val="20"/>
                <w:szCs w:val="20"/>
                <w:color w:val="auto"/>
              </w:rPr>
            </w:pPr>
            <w:r>
              <w:rPr>
                <w:rFonts w:ascii="Arial" w:cs="Arial" w:eastAsia="Arial" w:hAnsi="Arial"/>
                <w:sz w:val="16"/>
                <w:szCs w:val="16"/>
                <w:b w:val="1"/>
                <w:bCs w:val="1"/>
                <w:color w:val="CB233C"/>
              </w:rPr>
              <w:t>Robert A. Malone</w:t>
            </w:r>
          </w:p>
        </w:tc>
      </w:tr>
      <w:tr>
        <w:trPr>
          <w:trHeight w:val="215"/>
        </w:trPr>
        <w:tc>
          <w:tcPr>
            <w:tcW w:w="4020" w:type="dxa"/>
            <w:vAlign w:val="bottom"/>
          </w:tcPr>
          <w:p>
            <w:pPr>
              <w:spacing w:after="0"/>
              <w:rPr>
                <w:sz w:val="20"/>
                <w:szCs w:val="20"/>
                <w:color w:val="auto"/>
              </w:rPr>
            </w:pPr>
            <w:r>
              <w:rPr>
                <w:rFonts w:ascii="Arial" w:cs="Arial" w:eastAsia="Arial" w:hAnsi="Arial"/>
                <w:sz w:val="16"/>
                <w:szCs w:val="16"/>
                <w:color w:val="auto"/>
              </w:rPr>
              <w:t>Chairman, President and CEO</w:t>
            </w:r>
          </w:p>
        </w:tc>
        <w:tc>
          <w:tcPr>
            <w:tcW w:w="7220" w:type="dxa"/>
            <w:vAlign w:val="bottom"/>
          </w:tcPr>
          <w:p>
            <w:pPr>
              <w:ind w:left="1840"/>
              <w:spacing w:after="0"/>
              <w:rPr>
                <w:sz w:val="20"/>
                <w:szCs w:val="20"/>
                <w:color w:val="auto"/>
              </w:rPr>
            </w:pPr>
            <w:r>
              <w:rPr>
                <w:rFonts w:ascii="Arial" w:cs="Arial" w:eastAsia="Arial" w:hAnsi="Arial"/>
                <w:sz w:val="16"/>
                <w:szCs w:val="16"/>
                <w:color w:val="auto"/>
              </w:rPr>
              <w:t>Lead Independent Director</w:t>
            </w:r>
          </w:p>
        </w:tc>
      </w:tr>
      <w:tr>
        <w:trPr>
          <w:trHeight w:val="2790"/>
        </w:trPr>
        <w:tc>
          <w:tcPr>
            <w:tcW w:w="4020" w:type="dxa"/>
            <w:vAlign w:val="bottom"/>
            <w:tcBorders>
              <w:bottom w:val="single" w:sz="8" w:color="C0C0C0"/>
            </w:tcBorders>
          </w:tcPr>
          <w:p>
            <w:pPr>
              <w:spacing w:after="0"/>
              <w:rPr>
                <w:sz w:val="24"/>
                <w:szCs w:val="24"/>
                <w:color w:val="auto"/>
              </w:rPr>
            </w:pPr>
          </w:p>
        </w:tc>
        <w:tc>
          <w:tcPr>
            <w:tcW w:w="7220" w:type="dxa"/>
            <w:vAlign w:val="bottom"/>
            <w:tcBorders>
              <w:bottom w:val="single" w:sz="8" w:color="C0C0C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-1671320</wp:posOffset>
            </wp:positionV>
            <wp:extent cx="1285875" cy="1482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5875" cy="148272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-1671320</wp:posOffset>
            </wp:positionV>
            <wp:extent cx="1285875" cy="1482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5875" cy="148272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3" w:name="page4"/>
    <w:bookmarkEnd w:id="3"/>
    <w:p>
      <w:pPr>
        <w:spacing w:after="0"/>
        <w:rPr>
          <w:sz w:val="20"/>
          <w:szCs w:val="20"/>
          <w:color w:val="auto"/>
        </w:rPr>
      </w:pPr>
      <w:r>
        <w:rPr>
          <w:rFonts w:ascii="Arial" w:cs="Arial" w:eastAsia="Arial" w:hAnsi="Arial"/>
          <w:sz w:val="40"/>
          <w:szCs w:val="40"/>
          <w:b w:val="1"/>
          <w:bCs w:val="1"/>
          <w:color w:val="CB233C"/>
        </w:rPr>
        <w:t xml:space="preserve">Table </w:t>
      </w:r>
      <w:r>
        <w:rPr>
          <w:rFonts w:ascii="Arial" w:cs="Arial" w:eastAsia="Arial" w:hAnsi="Arial"/>
          <w:sz w:val="40"/>
          <w:szCs w:val="40"/>
          <w:b w:val="1"/>
          <w:bCs w:val="1"/>
          <w:color w:val="000000"/>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20955</wp:posOffset>
            </wp:positionV>
            <wp:extent cx="4963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6316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900" w:type="dxa"/>
            <w:vAlign w:val="bottom"/>
          </w:tcPr>
          <w:p>
            <w:pPr>
              <w:spacing w:after="0"/>
              <w:rPr>
                <w:rFonts w:ascii="Arial" w:cs="Arial" w:eastAsia="Arial" w:hAnsi="Arial"/>
                <w:sz w:val="18"/>
                <w:szCs w:val="18"/>
                <w:b w:val="1"/>
                <w:bCs w:val="1"/>
                <w:color w:val="CB233C"/>
              </w:rPr>
            </w:pPr>
            <w:hyperlink w:anchor="page3">
              <w:r>
                <w:rPr>
                  <w:rFonts w:ascii="Arial" w:cs="Arial" w:eastAsia="Arial" w:hAnsi="Arial"/>
                  <w:sz w:val="18"/>
                  <w:szCs w:val="18"/>
                  <w:b w:val="1"/>
                  <w:bCs w:val="1"/>
                  <w:color w:val="CB233C"/>
                </w:rPr>
                <w:t>Letter from the Chairman, President and CEO and Lead Independent Director</w:t>
              </w:r>
            </w:hyperlink>
          </w:p>
        </w:tc>
        <w:tc>
          <w:tcPr>
            <w:tcW w:w="2340" w:type="dxa"/>
            <w:vAlign w:val="bottom"/>
          </w:tcPr>
          <w:p>
            <w:pPr>
              <w:spacing w:after="0"/>
              <w:rPr>
                <w:sz w:val="21"/>
                <w:szCs w:val="21"/>
                <w:color w:val="auto"/>
              </w:rPr>
            </w:pPr>
          </w:p>
        </w:tc>
      </w:tr>
      <w:tr>
        <w:trPr>
          <w:trHeight w:val="418"/>
        </w:trPr>
        <w:tc>
          <w:tcPr>
            <w:tcW w:w="8900" w:type="dxa"/>
            <w:vAlign w:val="bottom"/>
          </w:tcPr>
          <w:p>
            <w:pPr>
              <w:spacing w:after="0"/>
              <w:rPr>
                <w:rFonts w:ascii="Arial" w:cs="Arial" w:eastAsia="Arial" w:hAnsi="Arial"/>
                <w:sz w:val="18"/>
                <w:szCs w:val="18"/>
                <w:b w:val="1"/>
                <w:bCs w:val="1"/>
                <w:color w:val="CB233C"/>
              </w:rPr>
            </w:pPr>
            <w:hyperlink w:anchor="page6">
              <w:r>
                <w:rPr>
                  <w:rFonts w:ascii="Arial" w:cs="Arial" w:eastAsia="Arial" w:hAnsi="Arial"/>
                  <w:sz w:val="18"/>
                  <w:szCs w:val="18"/>
                  <w:b w:val="1"/>
                  <w:bCs w:val="1"/>
                  <w:color w:val="CB233C"/>
                </w:rPr>
                <w:t>Notice of Annual Meeting of Shareholders</w:t>
              </w:r>
            </w:hyperlink>
          </w:p>
        </w:tc>
        <w:tc>
          <w:tcPr>
            <w:tcW w:w="2340" w:type="dxa"/>
            <w:vAlign w:val="bottom"/>
          </w:tcPr>
          <w:p>
            <w:pPr>
              <w:jc w:val="right"/>
              <w:spacing w:after="0"/>
              <w:rPr>
                <w:rFonts w:ascii="Arial" w:cs="Arial" w:eastAsia="Arial" w:hAnsi="Arial"/>
                <w:sz w:val="18"/>
                <w:szCs w:val="18"/>
                <w:b w:val="1"/>
                <w:bCs w:val="1"/>
                <w:color w:val="CB233C"/>
              </w:rPr>
            </w:pPr>
            <w:hyperlink w:anchor="page6">
              <w:r>
                <w:rPr>
                  <w:rFonts w:ascii="Arial" w:cs="Arial" w:eastAsia="Arial" w:hAnsi="Arial"/>
                  <w:sz w:val="18"/>
                  <w:szCs w:val="18"/>
                  <w:b w:val="1"/>
                  <w:bCs w:val="1"/>
                  <w:color w:val="CB233C"/>
                </w:rPr>
                <w:t>1</w:t>
              </w:r>
            </w:hyperlink>
          </w:p>
        </w:tc>
      </w:tr>
      <w:tr>
        <w:trPr>
          <w:trHeight w:val="392"/>
        </w:trPr>
        <w:tc>
          <w:tcPr>
            <w:tcW w:w="8900" w:type="dxa"/>
            <w:vAlign w:val="bottom"/>
          </w:tcPr>
          <w:p>
            <w:pPr>
              <w:spacing w:after="0"/>
              <w:rPr>
                <w:rFonts w:ascii="Arial" w:cs="Arial" w:eastAsia="Arial" w:hAnsi="Arial"/>
                <w:sz w:val="18"/>
                <w:szCs w:val="18"/>
                <w:b w:val="1"/>
                <w:bCs w:val="1"/>
                <w:color w:val="CB233C"/>
              </w:rPr>
            </w:pPr>
            <w:hyperlink w:anchor="page7">
              <w:r>
                <w:rPr>
                  <w:rFonts w:ascii="Arial" w:cs="Arial" w:eastAsia="Arial" w:hAnsi="Arial"/>
                  <w:sz w:val="18"/>
                  <w:szCs w:val="18"/>
                  <w:b w:val="1"/>
                  <w:bCs w:val="1"/>
                  <w:color w:val="CB233C"/>
                </w:rPr>
                <w:t>Proxy Statement Summary</w:t>
              </w:r>
            </w:hyperlink>
          </w:p>
        </w:tc>
        <w:tc>
          <w:tcPr>
            <w:tcW w:w="2340" w:type="dxa"/>
            <w:vAlign w:val="bottom"/>
          </w:tcPr>
          <w:p>
            <w:pPr>
              <w:jc w:val="right"/>
              <w:spacing w:after="0"/>
              <w:rPr>
                <w:rFonts w:ascii="Arial" w:cs="Arial" w:eastAsia="Arial" w:hAnsi="Arial"/>
                <w:sz w:val="18"/>
                <w:szCs w:val="18"/>
                <w:b w:val="1"/>
                <w:bCs w:val="1"/>
                <w:color w:val="CB233C"/>
              </w:rPr>
            </w:pPr>
            <w:hyperlink w:anchor="page7">
              <w:r>
                <w:rPr>
                  <w:rFonts w:ascii="Arial" w:cs="Arial" w:eastAsia="Arial" w:hAnsi="Arial"/>
                  <w:sz w:val="18"/>
                  <w:szCs w:val="18"/>
                  <w:b w:val="1"/>
                  <w:bCs w:val="1"/>
                  <w:color w:val="CB233C"/>
                </w:rPr>
                <w:t>2</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7">
              <w:r>
                <w:rPr>
                  <w:rFonts w:ascii="Arial" w:cs="Arial" w:eastAsia="Arial" w:hAnsi="Arial"/>
                  <w:sz w:val="16"/>
                  <w:szCs w:val="16"/>
                  <w:color w:val="auto"/>
                </w:rPr>
                <w:t>2021 Strategic Priorities</w:t>
              </w:r>
            </w:hyperlink>
          </w:p>
        </w:tc>
        <w:tc>
          <w:tcPr>
            <w:tcW w:w="2340" w:type="dxa"/>
            <w:vAlign w:val="bottom"/>
          </w:tcPr>
          <w:p>
            <w:pPr>
              <w:jc w:val="right"/>
              <w:spacing w:after="0"/>
              <w:rPr>
                <w:rFonts w:ascii="Arial" w:cs="Arial" w:eastAsia="Arial" w:hAnsi="Arial"/>
                <w:sz w:val="16"/>
                <w:szCs w:val="16"/>
                <w:color w:val="auto"/>
              </w:rPr>
            </w:pPr>
            <w:hyperlink w:anchor="page7">
              <w:r>
                <w:rPr>
                  <w:rFonts w:ascii="Arial" w:cs="Arial" w:eastAsia="Arial" w:hAnsi="Arial"/>
                  <w:sz w:val="16"/>
                  <w:szCs w:val="16"/>
                  <w:color w:val="auto"/>
                </w:rPr>
                <w:t>2</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7">
              <w:r>
                <w:rPr>
                  <w:rFonts w:ascii="Arial" w:cs="Arial" w:eastAsia="Arial" w:hAnsi="Arial"/>
                  <w:sz w:val="16"/>
                  <w:szCs w:val="16"/>
                  <w:color w:val="auto"/>
                </w:rPr>
                <w:t>2021 Performance Overview</w:t>
              </w:r>
            </w:hyperlink>
          </w:p>
        </w:tc>
        <w:tc>
          <w:tcPr>
            <w:tcW w:w="2340" w:type="dxa"/>
            <w:vAlign w:val="bottom"/>
          </w:tcPr>
          <w:p>
            <w:pPr>
              <w:jc w:val="right"/>
              <w:spacing w:after="0"/>
              <w:rPr>
                <w:rFonts w:ascii="Arial" w:cs="Arial" w:eastAsia="Arial" w:hAnsi="Arial"/>
                <w:sz w:val="16"/>
                <w:szCs w:val="16"/>
                <w:color w:val="auto"/>
              </w:rPr>
            </w:pPr>
            <w:hyperlink w:anchor="page7">
              <w:r>
                <w:rPr>
                  <w:rFonts w:ascii="Arial" w:cs="Arial" w:eastAsia="Arial" w:hAnsi="Arial"/>
                  <w:sz w:val="16"/>
                  <w:szCs w:val="16"/>
                  <w:color w:val="auto"/>
                </w:rPr>
                <w:t>2</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8">
              <w:r>
                <w:rPr>
                  <w:rFonts w:ascii="Arial" w:cs="Arial" w:eastAsia="Arial" w:hAnsi="Arial"/>
                  <w:sz w:val="16"/>
                  <w:szCs w:val="16"/>
                  <w:color w:val="auto"/>
                </w:rPr>
                <w:t>Our 2022 Board Nominees</w:t>
              </w:r>
            </w:hyperlink>
          </w:p>
        </w:tc>
        <w:tc>
          <w:tcPr>
            <w:tcW w:w="2340" w:type="dxa"/>
            <w:vAlign w:val="bottom"/>
          </w:tcPr>
          <w:p>
            <w:pPr>
              <w:jc w:val="right"/>
              <w:spacing w:after="0"/>
              <w:rPr>
                <w:rFonts w:ascii="Arial" w:cs="Arial" w:eastAsia="Arial" w:hAnsi="Arial"/>
                <w:sz w:val="16"/>
                <w:szCs w:val="16"/>
                <w:color w:val="auto"/>
              </w:rPr>
            </w:pPr>
            <w:hyperlink w:anchor="page8">
              <w:r>
                <w:rPr>
                  <w:rFonts w:ascii="Arial" w:cs="Arial" w:eastAsia="Arial" w:hAnsi="Arial"/>
                  <w:sz w:val="16"/>
                  <w:szCs w:val="16"/>
                  <w:color w:val="auto"/>
                </w:rPr>
                <w:t>3</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8">
              <w:r>
                <w:rPr>
                  <w:rFonts w:ascii="Arial" w:cs="Arial" w:eastAsia="Arial" w:hAnsi="Arial"/>
                  <w:sz w:val="16"/>
                  <w:szCs w:val="16"/>
                  <w:color w:val="auto"/>
                </w:rPr>
                <w:t>Our 2021 Named Executive Officers</w:t>
              </w:r>
            </w:hyperlink>
          </w:p>
        </w:tc>
        <w:tc>
          <w:tcPr>
            <w:tcW w:w="2340" w:type="dxa"/>
            <w:vAlign w:val="bottom"/>
          </w:tcPr>
          <w:p>
            <w:pPr>
              <w:jc w:val="right"/>
              <w:spacing w:after="0"/>
              <w:rPr>
                <w:rFonts w:ascii="Arial" w:cs="Arial" w:eastAsia="Arial" w:hAnsi="Arial"/>
                <w:sz w:val="16"/>
                <w:szCs w:val="16"/>
                <w:color w:val="auto"/>
              </w:rPr>
            </w:pPr>
            <w:hyperlink w:anchor="page8">
              <w:r>
                <w:rPr>
                  <w:rFonts w:ascii="Arial" w:cs="Arial" w:eastAsia="Arial" w:hAnsi="Arial"/>
                  <w:sz w:val="16"/>
                  <w:szCs w:val="16"/>
                  <w:color w:val="auto"/>
                </w:rPr>
                <w:t>3</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9">
              <w:r>
                <w:rPr>
                  <w:rFonts w:ascii="Arial" w:cs="Arial" w:eastAsia="Arial" w:hAnsi="Arial"/>
                  <w:sz w:val="16"/>
                  <w:szCs w:val="16"/>
                  <w:color w:val="auto"/>
                </w:rPr>
                <w:t>Our Executive Compensation Program</w:t>
              </w:r>
            </w:hyperlink>
          </w:p>
        </w:tc>
        <w:tc>
          <w:tcPr>
            <w:tcW w:w="2340" w:type="dxa"/>
            <w:vAlign w:val="bottom"/>
          </w:tcPr>
          <w:p>
            <w:pPr>
              <w:jc w:val="right"/>
              <w:spacing w:after="0"/>
              <w:rPr>
                <w:rFonts w:ascii="Arial" w:cs="Arial" w:eastAsia="Arial" w:hAnsi="Arial"/>
                <w:sz w:val="16"/>
                <w:szCs w:val="16"/>
                <w:color w:val="auto"/>
              </w:rPr>
            </w:pPr>
            <w:hyperlink w:anchor="page9">
              <w:r>
                <w:rPr>
                  <w:rFonts w:ascii="Arial" w:cs="Arial" w:eastAsia="Arial" w:hAnsi="Arial"/>
                  <w:sz w:val="16"/>
                  <w:szCs w:val="16"/>
                  <w:color w:val="auto"/>
                </w:rPr>
                <w:t>4</w:t>
              </w:r>
            </w:hyperlink>
          </w:p>
        </w:tc>
      </w:tr>
      <w:tr>
        <w:trPr>
          <w:trHeight w:val="215"/>
        </w:trPr>
        <w:tc>
          <w:tcPr>
            <w:tcW w:w="8900" w:type="dxa"/>
            <w:vAlign w:val="bottom"/>
          </w:tcPr>
          <w:p>
            <w:pPr>
              <w:ind w:left="180"/>
              <w:spacing w:after="0"/>
              <w:rPr>
                <w:rFonts w:ascii="Arial" w:cs="Arial" w:eastAsia="Arial" w:hAnsi="Arial"/>
                <w:sz w:val="16"/>
                <w:szCs w:val="16"/>
                <w:color w:val="auto"/>
              </w:rPr>
            </w:pPr>
            <w:hyperlink w:anchor="page10">
              <w:r>
                <w:rPr>
                  <w:rFonts w:ascii="Arial" w:cs="Arial" w:eastAsia="Arial" w:hAnsi="Arial"/>
                  <w:sz w:val="16"/>
                  <w:szCs w:val="16"/>
                  <w:color w:val="auto"/>
                </w:rPr>
                <w:t>Our Year-round Shareholder Engagement</w:t>
              </w:r>
            </w:hyperlink>
          </w:p>
        </w:tc>
        <w:tc>
          <w:tcPr>
            <w:tcW w:w="2340" w:type="dxa"/>
            <w:vAlign w:val="bottom"/>
          </w:tcPr>
          <w:p>
            <w:pPr>
              <w:jc w:val="right"/>
              <w:spacing w:after="0"/>
              <w:rPr>
                <w:rFonts w:ascii="Arial" w:cs="Arial" w:eastAsia="Arial" w:hAnsi="Arial"/>
                <w:sz w:val="16"/>
                <w:szCs w:val="16"/>
                <w:color w:val="auto"/>
              </w:rPr>
            </w:pPr>
            <w:hyperlink w:anchor="page10">
              <w:r>
                <w:rPr>
                  <w:rFonts w:ascii="Arial" w:cs="Arial" w:eastAsia="Arial" w:hAnsi="Arial"/>
                  <w:sz w:val="16"/>
                  <w:szCs w:val="16"/>
                  <w:color w:val="auto"/>
                </w:rPr>
                <w:t>5</w:t>
              </w:r>
            </w:hyperlink>
          </w:p>
        </w:tc>
      </w:tr>
      <w:tr>
        <w:trPr>
          <w:trHeight w:val="406"/>
        </w:trPr>
        <w:tc>
          <w:tcPr>
            <w:tcW w:w="8900" w:type="dxa"/>
            <w:vAlign w:val="bottom"/>
          </w:tcPr>
          <w:p>
            <w:pPr>
              <w:spacing w:after="0"/>
              <w:rPr>
                <w:rFonts w:ascii="Arial" w:cs="Arial" w:eastAsia="Arial" w:hAnsi="Arial"/>
                <w:sz w:val="18"/>
                <w:szCs w:val="18"/>
                <w:b w:val="1"/>
                <w:bCs w:val="1"/>
                <w:color w:val="CB233C"/>
              </w:rPr>
            </w:pPr>
            <w:hyperlink w:anchor="page11">
              <w:r>
                <w:rPr>
                  <w:rFonts w:ascii="Arial" w:cs="Arial" w:eastAsia="Arial" w:hAnsi="Arial"/>
                  <w:sz w:val="18"/>
                  <w:szCs w:val="18"/>
                  <w:b w:val="1"/>
                  <w:bCs w:val="1"/>
                  <w:color w:val="CB233C"/>
                </w:rPr>
                <w:t>Corporate Governance</w:t>
              </w:r>
            </w:hyperlink>
          </w:p>
        </w:tc>
        <w:tc>
          <w:tcPr>
            <w:tcW w:w="2340" w:type="dxa"/>
            <w:vAlign w:val="bottom"/>
          </w:tcPr>
          <w:p>
            <w:pPr>
              <w:jc w:val="right"/>
              <w:spacing w:after="0"/>
              <w:rPr>
                <w:rFonts w:ascii="Arial" w:cs="Arial" w:eastAsia="Arial" w:hAnsi="Arial"/>
                <w:sz w:val="18"/>
                <w:szCs w:val="18"/>
                <w:b w:val="1"/>
                <w:bCs w:val="1"/>
                <w:color w:val="CB233C"/>
              </w:rPr>
            </w:pPr>
            <w:hyperlink w:anchor="page11">
              <w:r>
                <w:rPr>
                  <w:rFonts w:ascii="Arial" w:cs="Arial" w:eastAsia="Arial" w:hAnsi="Arial"/>
                  <w:sz w:val="18"/>
                  <w:szCs w:val="18"/>
                  <w:b w:val="1"/>
                  <w:bCs w:val="1"/>
                  <w:color w:val="CB233C"/>
                </w:rPr>
                <w:t>6</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11">
              <w:r>
                <w:rPr>
                  <w:rFonts w:ascii="Arial" w:cs="Arial" w:eastAsia="Arial" w:hAnsi="Arial"/>
                  <w:sz w:val="16"/>
                  <w:szCs w:val="16"/>
                  <w:color w:val="auto"/>
                </w:rPr>
                <w:t>Corporate Governance Guidelines and Committee Charters</w:t>
              </w:r>
            </w:hyperlink>
          </w:p>
        </w:tc>
        <w:tc>
          <w:tcPr>
            <w:tcW w:w="2340" w:type="dxa"/>
            <w:vAlign w:val="bottom"/>
          </w:tcPr>
          <w:p>
            <w:pPr>
              <w:jc w:val="right"/>
              <w:spacing w:after="0"/>
              <w:rPr>
                <w:rFonts w:ascii="Arial" w:cs="Arial" w:eastAsia="Arial" w:hAnsi="Arial"/>
                <w:sz w:val="16"/>
                <w:szCs w:val="16"/>
                <w:color w:val="auto"/>
              </w:rPr>
            </w:pPr>
            <w:hyperlink w:anchor="page11">
              <w:r>
                <w:rPr>
                  <w:rFonts w:ascii="Arial" w:cs="Arial" w:eastAsia="Arial" w:hAnsi="Arial"/>
                  <w:sz w:val="16"/>
                  <w:szCs w:val="16"/>
                  <w:color w:val="auto"/>
                </w:rPr>
                <w:t>6</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11">
              <w:r>
                <w:rPr>
                  <w:rFonts w:ascii="Arial" w:cs="Arial" w:eastAsia="Arial" w:hAnsi="Arial"/>
                  <w:sz w:val="16"/>
                  <w:szCs w:val="16"/>
                  <w:color w:val="auto"/>
                </w:rPr>
                <w:t>Code of Business Conduct</w:t>
              </w:r>
            </w:hyperlink>
          </w:p>
        </w:tc>
        <w:tc>
          <w:tcPr>
            <w:tcW w:w="2340" w:type="dxa"/>
            <w:vAlign w:val="bottom"/>
          </w:tcPr>
          <w:p>
            <w:pPr>
              <w:jc w:val="right"/>
              <w:spacing w:after="0"/>
              <w:rPr>
                <w:rFonts w:ascii="Arial" w:cs="Arial" w:eastAsia="Arial" w:hAnsi="Arial"/>
                <w:sz w:val="16"/>
                <w:szCs w:val="16"/>
                <w:color w:val="auto"/>
              </w:rPr>
            </w:pPr>
            <w:hyperlink w:anchor="page11">
              <w:r>
                <w:rPr>
                  <w:rFonts w:ascii="Arial" w:cs="Arial" w:eastAsia="Arial" w:hAnsi="Arial"/>
                  <w:sz w:val="16"/>
                  <w:szCs w:val="16"/>
                  <w:color w:val="auto"/>
                </w:rPr>
                <w:t>6</w:t>
              </w:r>
            </w:hyperlink>
          </w:p>
        </w:tc>
      </w:tr>
      <w:tr>
        <w:trPr>
          <w:trHeight w:val="215"/>
        </w:trPr>
        <w:tc>
          <w:tcPr>
            <w:tcW w:w="8900" w:type="dxa"/>
            <w:vAlign w:val="bottom"/>
          </w:tcPr>
          <w:p>
            <w:pPr>
              <w:ind w:left="180"/>
              <w:spacing w:after="0"/>
              <w:rPr>
                <w:rFonts w:ascii="Arial" w:cs="Arial" w:eastAsia="Arial" w:hAnsi="Arial"/>
                <w:sz w:val="16"/>
                <w:szCs w:val="16"/>
                <w:color w:val="auto"/>
              </w:rPr>
            </w:pPr>
            <w:hyperlink w:anchor="page11">
              <w:r>
                <w:rPr>
                  <w:rFonts w:ascii="Arial" w:cs="Arial" w:eastAsia="Arial" w:hAnsi="Arial"/>
                  <w:sz w:val="16"/>
                  <w:szCs w:val="16"/>
                  <w:color w:val="auto"/>
                </w:rPr>
                <w:t>Related Persons Transactions Policy</w:t>
              </w:r>
            </w:hyperlink>
          </w:p>
        </w:tc>
        <w:tc>
          <w:tcPr>
            <w:tcW w:w="2340" w:type="dxa"/>
            <w:vAlign w:val="bottom"/>
          </w:tcPr>
          <w:p>
            <w:pPr>
              <w:jc w:val="right"/>
              <w:spacing w:after="0"/>
              <w:rPr>
                <w:rFonts w:ascii="Arial" w:cs="Arial" w:eastAsia="Arial" w:hAnsi="Arial"/>
                <w:sz w:val="16"/>
                <w:szCs w:val="16"/>
                <w:color w:val="auto"/>
              </w:rPr>
            </w:pPr>
            <w:hyperlink w:anchor="page11">
              <w:r>
                <w:rPr>
                  <w:rFonts w:ascii="Arial" w:cs="Arial" w:eastAsia="Arial" w:hAnsi="Arial"/>
                  <w:sz w:val="16"/>
                  <w:szCs w:val="16"/>
                  <w:color w:val="auto"/>
                </w:rPr>
                <w:t>6</w:t>
              </w:r>
            </w:hyperlink>
          </w:p>
        </w:tc>
      </w:tr>
      <w:tr>
        <w:trPr>
          <w:trHeight w:val="406"/>
        </w:trPr>
        <w:tc>
          <w:tcPr>
            <w:tcW w:w="8900" w:type="dxa"/>
            <w:vAlign w:val="bottom"/>
          </w:tcPr>
          <w:p>
            <w:pPr>
              <w:spacing w:after="0"/>
              <w:rPr>
                <w:rFonts w:ascii="Arial" w:cs="Arial" w:eastAsia="Arial" w:hAnsi="Arial"/>
                <w:sz w:val="18"/>
                <w:szCs w:val="18"/>
                <w:b w:val="1"/>
                <w:bCs w:val="1"/>
                <w:color w:val="CB233C"/>
              </w:rPr>
            </w:pPr>
            <w:hyperlink w:anchor="page12">
              <w:r>
                <w:rPr>
                  <w:rFonts w:ascii="Arial" w:cs="Arial" w:eastAsia="Arial" w:hAnsi="Arial"/>
                  <w:sz w:val="18"/>
                  <w:szCs w:val="18"/>
                  <w:b w:val="1"/>
                  <w:bCs w:val="1"/>
                  <w:color w:val="CB233C"/>
                </w:rPr>
                <w:t>The Board of Directors and Standing Committees of Directors</w:t>
              </w:r>
            </w:hyperlink>
          </w:p>
        </w:tc>
        <w:tc>
          <w:tcPr>
            <w:tcW w:w="2340" w:type="dxa"/>
            <w:vAlign w:val="bottom"/>
          </w:tcPr>
          <w:p>
            <w:pPr>
              <w:jc w:val="right"/>
              <w:spacing w:after="0"/>
              <w:rPr>
                <w:rFonts w:ascii="Arial" w:cs="Arial" w:eastAsia="Arial" w:hAnsi="Arial"/>
                <w:sz w:val="18"/>
                <w:szCs w:val="18"/>
                <w:b w:val="1"/>
                <w:bCs w:val="1"/>
                <w:color w:val="CB233C"/>
              </w:rPr>
            </w:pPr>
            <w:hyperlink w:anchor="page12">
              <w:r>
                <w:rPr>
                  <w:rFonts w:ascii="Arial" w:cs="Arial" w:eastAsia="Arial" w:hAnsi="Arial"/>
                  <w:sz w:val="18"/>
                  <w:szCs w:val="18"/>
                  <w:b w:val="1"/>
                  <w:bCs w:val="1"/>
                  <w:color w:val="CB233C"/>
                </w:rPr>
                <w:t>7</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12">
              <w:r>
                <w:rPr>
                  <w:rFonts w:ascii="Arial" w:cs="Arial" w:eastAsia="Arial" w:hAnsi="Arial"/>
                  <w:sz w:val="16"/>
                  <w:szCs w:val="16"/>
                  <w:color w:val="auto"/>
                </w:rPr>
                <w:t>Board Leadership</w:t>
              </w:r>
            </w:hyperlink>
          </w:p>
        </w:tc>
        <w:tc>
          <w:tcPr>
            <w:tcW w:w="2340" w:type="dxa"/>
            <w:vAlign w:val="bottom"/>
          </w:tcPr>
          <w:p>
            <w:pPr>
              <w:jc w:val="right"/>
              <w:spacing w:after="0"/>
              <w:rPr>
                <w:rFonts w:ascii="Arial" w:cs="Arial" w:eastAsia="Arial" w:hAnsi="Arial"/>
                <w:sz w:val="16"/>
                <w:szCs w:val="16"/>
                <w:color w:val="auto"/>
              </w:rPr>
            </w:pPr>
            <w:hyperlink w:anchor="page12">
              <w:r>
                <w:rPr>
                  <w:rFonts w:ascii="Arial" w:cs="Arial" w:eastAsia="Arial" w:hAnsi="Arial"/>
                  <w:sz w:val="16"/>
                  <w:szCs w:val="16"/>
                  <w:color w:val="auto"/>
                </w:rPr>
                <w:t>7</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13">
              <w:r>
                <w:rPr>
                  <w:rFonts w:ascii="Arial" w:cs="Arial" w:eastAsia="Arial" w:hAnsi="Arial"/>
                  <w:sz w:val="16"/>
                  <w:szCs w:val="16"/>
                  <w:color w:val="auto"/>
                </w:rPr>
                <w:t>Board and Committee Oversight</w:t>
              </w:r>
            </w:hyperlink>
          </w:p>
        </w:tc>
        <w:tc>
          <w:tcPr>
            <w:tcW w:w="2340" w:type="dxa"/>
            <w:vAlign w:val="bottom"/>
          </w:tcPr>
          <w:p>
            <w:pPr>
              <w:jc w:val="right"/>
              <w:spacing w:after="0"/>
              <w:rPr>
                <w:rFonts w:ascii="Arial" w:cs="Arial" w:eastAsia="Arial" w:hAnsi="Arial"/>
                <w:sz w:val="16"/>
                <w:szCs w:val="16"/>
                <w:color w:val="auto"/>
              </w:rPr>
            </w:pPr>
            <w:hyperlink w:anchor="page13">
              <w:r>
                <w:rPr>
                  <w:rFonts w:ascii="Arial" w:cs="Arial" w:eastAsia="Arial" w:hAnsi="Arial"/>
                  <w:sz w:val="16"/>
                  <w:szCs w:val="16"/>
                  <w:color w:val="auto"/>
                </w:rPr>
                <w:t>8</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15">
              <w:r>
                <w:rPr>
                  <w:rFonts w:ascii="Arial" w:cs="Arial" w:eastAsia="Arial" w:hAnsi="Arial"/>
                  <w:sz w:val="16"/>
                  <w:szCs w:val="16"/>
                  <w:color w:val="auto"/>
                </w:rPr>
                <w:t>Members of the Committees of Our Board of Directors</w:t>
              </w:r>
            </w:hyperlink>
          </w:p>
        </w:tc>
        <w:tc>
          <w:tcPr>
            <w:tcW w:w="2340" w:type="dxa"/>
            <w:vAlign w:val="bottom"/>
          </w:tcPr>
          <w:p>
            <w:pPr>
              <w:jc w:val="right"/>
              <w:spacing w:after="0"/>
              <w:rPr>
                <w:rFonts w:ascii="Arial" w:cs="Arial" w:eastAsia="Arial" w:hAnsi="Arial"/>
                <w:sz w:val="16"/>
                <w:szCs w:val="16"/>
                <w:color w:val="auto"/>
              </w:rPr>
            </w:pPr>
            <w:hyperlink w:anchor="page15">
              <w:r>
                <w:rPr>
                  <w:rFonts w:ascii="Arial" w:cs="Arial" w:eastAsia="Arial" w:hAnsi="Arial"/>
                  <w:sz w:val="16"/>
                  <w:szCs w:val="16"/>
                  <w:color w:val="auto"/>
                </w:rPr>
                <w:t>10</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15">
              <w:r>
                <w:rPr>
                  <w:rFonts w:ascii="Arial" w:cs="Arial" w:eastAsia="Arial" w:hAnsi="Arial"/>
                  <w:sz w:val="16"/>
                  <w:szCs w:val="16"/>
                  <w:color w:val="auto"/>
                </w:rPr>
                <w:t>Board Attendance</w:t>
              </w:r>
            </w:hyperlink>
          </w:p>
        </w:tc>
        <w:tc>
          <w:tcPr>
            <w:tcW w:w="2340" w:type="dxa"/>
            <w:vAlign w:val="bottom"/>
          </w:tcPr>
          <w:p>
            <w:pPr>
              <w:jc w:val="right"/>
              <w:spacing w:after="0"/>
              <w:rPr>
                <w:rFonts w:ascii="Arial" w:cs="Arial" w:eastAsia="Arial" w:hAnsi="Arial"/>
                <w:sz w:val="16"/>
                <w:szCs w:val="16"/>
                <w:color w:val="auto"/>
              </w:rPr>
            </w:pPr>
            <w:hyperlink w:anchor="page15">
              <w:r>
                <w:rPr>
                  <w:rFonts w:ascii="Arial" w:cs="Arial" w:eastAsia="Arial" w:hAnsi="Arial"/>
                  <w:sz w:val="16"/>
                  <w:szCs w:val="16"/>
                  <w:color w:val="auto"/>
                </w:rPr>
                <w:t>10</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16">
              <w:r>
                <w:rPr>
                  <w:rFonts w:ascii="Arial" w:cs="Arial" w:eastAsia="Arial" w:hAnsi="Arial"/>
                  <w:sz w:val="16"/>
                  <w:szCs w:val="16"/>
                  <w:color w:val="auto"/>
                </w:rPr>
                <w:t>Evaluation of Board and Director Performance</w:t>
              </w:r>
            </w:hyperlink>
          </w:p>
        </w:tc>
        <w:tc>
          <w:tcPr>
            <w:tcW w:w="2340" w:type="dxa"/>
            <w:vAlign w:val="bottom"/>
          </w:tcPr>
          <w:p>
            <w:pPr>
              <w:jc w:val="right"/>
              <w:spacing w:after="0"/>
              <w:rPr>
                <w:rFonts w:ascii="Arial" w:cs="Arial" w:eastAsia="Arial" w:hAnsi="Arial"/>
                <w:sz w:val="16"/>
                <w:szCs w:val="16"/>
                <w:color w:val="auto"/>
              </w:rPr>
            </w:pPr>
            <w:hyperlink w:anchor="page16">
              <w:r>
                <w:rPr>
                  <w:rFonts w:ascii="Arial" w:cs="Arial" w:eastAsia="Arial" w:hAnsi="Arial"/>
                  <w:sz w:val="16"/>
                  <w:szCs w:val="16"/>
                  <w:color w:val="auto"/>
                </w:rPr>
                <w:t>11</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17">
              <w:r>
                <w:rPr>
                  <w:rFonts w:ascii="Arial" w:cs="Arial" w:eastAsia="Arial" w:hAnsi="Arial"/>
                  <w:sz w:val="16"/>
                  <w:szCs w:val="16"/>
                  <w:color w:val="auto"/>
                </w:rPr>
                <w:t>Shareholder Nominations of Directors</w:t>
              </w:r>
            </w:hyperlink>
          </w:p>
        </w:tc>
        <w:tc>
          <w:tcPr>
            <w:tcW w:w="2340" w:type="dxa"/>
            <w:vAlign w:val="bottom"/>
          </w:tcPr>
          <w:p>
            <w:pPr>
              <w:jc w:val="right"/>
              <w:spacing w:after="0"/>
              <w:rPr>
                <w:rFonts w:ascii="Arial" w:cs="Arial" w:eastAsia="Arial" w:hAnsi="Arial"/>
                <w:sz w:val="16"/>
                <w:szCs w:val="16"/>
                <w:color w:val="auto"/>
              </w:rPr>
            </w:pPr>
            <w:hyperlink w:anchor="page17">
              <w:r>
                <w:rPr>
                  <w:rFonts w:ascii="Arial" w:cs="Arial" w:eastAsia="Arial" w:hAnsi="Arial"/>
                  <w:sz w:val="16"/>
                  <w:szCs w:val="16"/>
                  <w:color w:val="auto"/>
                </w:rPr>
                <w:t>12</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17">
              <w:r>
                <w:rPr>
                  <w:rFonts w:ascii="Arial" w:cs="Arial" w:eastAsia="Arial" w:hAnsi="Arial"/>
                  <w:sz w:val="16"/>
                  <w:szCs w:val="16"/>
                  <w:color w:val="auto"/>
                </w:rPr>
                <w:t>Qualifications of Directors</w:t>
              </w:r>
            </w:hyperlink>
          </w:p>
        </w:tc>
        <w:tc>
          <w:tcPr>
            <w:tcW w:w="2340" w:type="dxa"/>
            <w:vAlign w:val="bottom"/>
          </w:tcPr>
          <w:p>
            <w:pPr>
              <w:jc w:val="right"/>
              <w:spacing w:after="0"/>
              <w:rPr>
                <w:rFonts w:ascii="Arial" w:cs="Arial" w:eastAsia="Arial" w:hAnsi="Arial"/>
                <w:sz w:val="16"/>
                <w:szCs w:val="16"/>
                <w:color w:val="auto"/>
              </w:rPr>
            </w:pPr>
            <w:hyperlink w:anchor="page17">
              <w:r>
                <w:rPr>
                  <w:rFonts w:ascii="Arial" w:cs="Arial" w:eastAsia="Arial" w:hAnsi="Arial"/>
                  <w:sz w:val="16"/>
                  <w:szCs w:val="16"/>
                  <w:color w:val="auto"/>
                </w:rPr>
                <w:t>12</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18">
              <w:r>
                <w:rPr>
                  <w:rFonts w:ascii="Arial" w:cs="Arial" w:eastAsia="Arial" w:hAnsi="Arial"/>
                  <w:sz w:val="16"/>
                  <w:szCs w:val="16"/>
                  <w:color w:val="auto"/>
                </w:rPr>
                <w:t>Board Refreshment</w:t>
              </w:r>
            </w:hyperlink>
          </w:p>
        </w:tc>
        <w:tc>
          <w:tcPr>
            <w:tcW w:w="2340" w:type="dxa"/>
            <w:vAlign w:val="bottom"/>
          </w:tcPr>
          <w:p>
            <w:pPr>
              <w:jc w:val="right"/>
              <w:spacing w:after="0"/>
              <w:rPr>
                <w:rFonts w:ascii="Arial" w:cs="Arial" w:eastAsia="Arial" w:hAnsi="Arial"/>
                <w:sz w:val="16"/>
                <w:szCs w:val="16"/>
                <w:color w:val="auto"/>
              </w:rPr>
            </w:pPr>
            <w:hyperlink w:anchor="page18">
              <w:r>
                <w:rPr>
                  <w:rFonts w:ascii="Arial" w:cs="Arial" w:eastAsia="Arial" w:hAnsi="Arial"/>
                  <w:sz w:val="16"/>
                  <w:szCs w:val="16"/>
                  <w:color w:val="auto"/>
                </w:rPr>
                <w:t>13</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18">
              <w:r>
                <w:rPr>
                  <w:rFonts w:ascii="Arial" w:cs="Arial" w:eastAsia="Arial" w:hAnsi="Arial"/>
                  <w:sz w:val="16"/>
                  <w:szCs w:val="16"/>
                  <w:color w:val="auto"/>
                </w:rPr>
                <w:t>Shareholder Engagement</w:t>
              </w:r>
            </w:hyperlink>
          </w:p>
        </w:tc>
        <w:tc>
          <w:tcPr>
            <w:tcW w:w="2340" w:type="dxa"/>
            <w:vAlign w:val="bottom"/>
          </w:tcPr>
          <w:p>
            <w:pPr>
              <w:jc w:val="right"/>
              <w:spacing w:after="0"/>
              <w:rPr>
                <w:rFonts w:ascii="Arial" w:cs="Arial" w:eastAsia="Arial" w:hAnsi="Arial"/>
                <w:sz w:val="16"/>
                <w:szCs w:val="16"/>
                <w:color w:val="auto"/>
              </w:rPr>
            </w:pPr>
            <w:hyperlink w:anchor="page18">
              <w:r>
                <w:rPr>
                  <w:rFonts w:ascii="Arial" w:cs="Arial" w:eastAsia="Arial" w:hAnsi="Arial"/>
                  <w:sz w:val="16"/>
                  <w:szCs w:val="16"/>
                  <w:color w:val="auto"/>
                </w:rPr>
                <w:t>13</w:t>
              </w:r>
            </w:hyperlink>
          </w:p>
        </w:tc>
      </w:tr>
      <w:tr>
        <w:trPr>
          <w:trHeight w:val="215"/>
        </w:trPr>
        <w:tc>
          <w:tcPr>
            <w:tcW w:w="8900" w:type="dxa"/>
            <w:vAlign w:val="bottom"/>
          </w:tcPr>
          <w:p>
            <w:pPr>
              <w:ind w:left="180"/>
              <w:spacing w:after="0"/>
              <w:rPr>
                <w:rFonts w:ascii="Arial" w:cs="Arial" w:eastAsia="Arial" w:hAnsi="Arial"/>
                <w:sz w:val="16"/>
                <w:szCs w:val="16"/>
                <w:color w:val="auto"/>
              </w:rPr>
            </w:pPr>
            <w:hyperlink w:anchor="page19">
              <w:r>
                <w:rPr>
                  <w:rFonts w:ascii="Arial" w:cs="Arial" w:eastAsia="Arial" w:hAnsi="Arial"/>
                  <w:sz w:val="16"/>
                  <w:szCs w:val="16"/>
                  <w:color w:val="auto"/>
                </w:rPr>
                <w:t>Communication to the Board</w:t>
              </w:r>
            </w:hyperlink>
          </w:p>
        </w:tc>
        <w:tc>
          <w:tcPr>
            <w:tcW w:w="2340" w:type="dxa"/>
            <w:vAlign w:val="bottom"/>
          </w:tcPr>
          <w:p>
            <w:pPr>
              <w:jc w:val="right"/>
              <w:spacing w:after="0"/>
              <w:rPr>
                <w:rFonts w:ascii="Arial" w:cs="Arial" w:eastAsia="Arial" w:hAnsi="Arial"/>
                <w:sz w:val="16"/>
                <w:szCs w:val="16"/>
                <w:color w:val="auto"/>
              </w:rPr>
            </w:pPr>
            <w:hyperlink w:anchor="page19">
              <w:r>
                <w:rPr>
                  <w:rFonts w:ascii="Arial" w:cs="Arial" w:eastAsia="Arial" w:hAnsi="Arial"/>
                  <w:sz w:val="16"/>
                  <w:szCs w:val="16"/>
                  <w:color w:val="auto"/>
                </w:rPr>
                <w:t>14</w:t>
              </w:r>
            </w:hyperlink>
          </w:p>
        </w:tc>
      </w:tr>
      <w:tr>
        <w:trPr>
          <w:trHeight w:val="406"/>
        </w:trPr>
        <w:tc>
          <w:tcPr>
            <w:tcW w:w="8900" w:type="dxa"/>
            <w:vAlign w:val="bottom"/>
          </w:tcPr>
          <w:p>
            <w:pPr>
              <w:spacing w:after="0"/>
              <w:rPr>
                <w:rFonts w:ascii="Arial" w:cs="Arial" w:eastAsia="Arial" w:hAnsi="Arial"/>
                <w:sz w:val="18"/>
                <w:szCs w:val="18"/>
                <w:b w:val="1"/>
                <w:bCs w:val="1"/>
                <w:color w:val="CB233C"/>
              </w:rPr>
            </w:pPr>
            <w:hyperlink w:anchor="page20">
              <w:r>
                <w:rPr>
                  <w:rFonts w:ascii="Arial" w:cs="Arial" w:eastAsia="Arial" w:hAnsi="Arial"/>
                  <w:sz w:val="18"/>
                  <w:szCs w:val="18"/>
                  <w:b w:val="1"/>
                  <w:bCs w:val="1"/>
                  <w:color w:val="CB233C"/>
                </w:rPr>
                <w:t xml:space="preserve">Proposal No. 1 </w:t>
              </w:r>
              <w:r>
                <w:rPr>
                  <w:rFonts w:ascii="Arial" w:cs="Arial" w:eastAsia="Arial" w:hAnsi="Arial"/>
                  <w:sz w:val="18"/>
                  <w:szCs w:val="18"/>
                  <w:color w:val="000000"/>
                </w:rPr>
                <w:t>Election of Directors</w:t>
              </w:r>
            </w:hyperlink>
          </w:p>
        </w:tc>
        <w:tc>
          <w:tcPr>
            <w:tcW w:w="2340" w:type="dxa"/>
            <w:vAlign w:val="bottom"/>
          </w:tcPr>
          <w:p>
            <w:pPr>
              <w:jc w:val="right"/>
              <w:spacing w:after="0"/>
              <w:rPr>
                <w:rFonts w:ascii="Arial" w:cs="Arial" w:eastAsia="Arial" w:hAnsi="Arial"/>
                <w:sz w:val="18"/>
                <w:szCs w:val="18"/>
                <w:b w:val="1"/>
                <w:bCs w:val="1"/>
                <w:color w:val="CB233C"/>
              </w:rPr>
            </w:pPr>
            <w:hyperlink w:anchor="page20">
              <w:r>
                <w:rPr>
                  <w:rFonts w:ascii="Arial" w:cs="Arial" w:eastAsia="Arial" w:hAnsi="Arial"/>
                  <w:sz w:val="18"/>
                  <w:szCs w:val="18"/>
                  <w:b w:val="1"/>
                  <w:bCs w:val="1"/>
                  <w:color w:val="CB233C"/>
                </w:rPr>
                <w:t>15</w:t>
              </w:r>
            </w:hyperlink>
          </w:p>
        </w:tc>
      </w:tr>
      <w:tr>
        <w:trPr>
          <w:trHeight w:val="215"/>
        </w:trPr>
        <w:tc>
          <w:tcPr>
            <w:tcW w:w="8900" w:type="dxa"/>
            <w:vAlign w:val="bottom"/>
          </w:tcPr>
          <w:p>
            <w:pPr>
              <w:ind w:left="180"/>
              <w:spacing w:after="0"/>
              <w:rPr>
                <w:rFonts w:ascii="Arial" w:cs="Arial" w:eastAsia="Arial" w:hAnsi="Arial"/>
                <w:sz w:val="16"/>
                <w:szCs w:val="16"/>
                <w:color w:val="auto"/>
              </w:rPr>
            </w:pPr>
            <w:hyperlink w:anchor="page22">
              <w:r>
                <w:rPr>
                  <w:rFonts w:ascii="Arial" w:cs="Arial" w:eastAsia="Arial" w:hAnsi="Arial"/>
                  <w:sz w:val="16"/>
                  <w:szCs w:val="16"/>
                  <w:color w:val="auto"/>
                </w:rPr>
                <w:t>Information about Nominees for Director</w:t>
              </w:r>
            </w:hyperlink>
          </w:p>
        </w:tc>
        <w:tc>
          <w:tcPr>
            <w:tcW w:w="2340" w:type="dxa"/>
            <w:vAlign w:val="bottom"/>
          </w:tcPr>
          <w:p>
            <w:pPr>
              <w:jc w:val="right"/>
              <w:spacing w:after="0"/>
              <w:rPr>
                <w:rFonts w:ascii="Arial" w:cs="Arial" w:eastAsia="Arial" w:hAnsi="Arial"/>
                <w:sz w:val="16"/>
                <w:szCs w:val="16"/>
                <w:color w:val="auto"/>
              </w:rPr>
            </w:pPr>
            <w:hyperlink w:anchor="page22">
              <w:r>
                <w:rPr>
                  <w:rFonts w:ascii="Arial" w:cs="Arial" w:eastAsia="Arial" w:hAnsi="Arial"/>
                  <w:sz w:val="16"/>
                  <w:szCs w:val="16"/>
                  <w:color w:val="auto"/>
                </w:rPr>
                <w:t>17</w:t>
              </w:r>
            </w:hyperlink>
          </w:p>
        </w:tc>
      </w:tr>
      <w:tr>
        <w:trPr>
          <w:trHeight w:val="406"/>
        </w:trPr>
        <w:tc>
          <w:tcPr>
            <w:tcW w:w="8900" w:type="dxa"/>
            <w:vAlign w:val="bottom"/>
          </w:tcPr>
          <w:p>
            <w:pPr>
              <w:spacing w:after="0"/>
              <w:rPr>
                <w:rFonts w:ascii="Arial" w:cs="Arial" w:eastAsia="Arial" w:hAnsi="Arial"/>
                <w:sz w:val="18"/>
                <w:szCs w:val="18"/>
                <w:b w:val="1"/>
                <w:bCs w:val="1"/>
                <w:color w:val="CB233C"/>
              </w:rPr>
            </w:pPr>
            <w:hyperlink w:anchor="page26">
              <w:r>
                <w:rPr>
                  <w:rFonts w:ascii="Arial" w:cs="Arial" w:eastAsia="Arial" w:hAnsi="Arial"/>
                  <w:sz w:val="18"/>
                  <w:szCs w:val="18"/>
                  <w:b w:val="1"/>
                  <w:bCs w:val="1"/>
                  <w:color w:val="CB233C"/>
                </w:rPr>
                <w:t>Directors’ Compensation</w:t>
              </w:r>
            </w:hyperlink>
          </w:p>
        </w:tc>
        <w:tc>
          <w:tcPr>
            <w:tcW w:w="2340" w:type="dxa"/>
            <w:vAlign w:val="bottom"/>
          </w:tcPr>
          <w:p>
            <w:pPr>
              <w:jc w:val="right"/>
              <w:spacing w:after="0"/>
              <w:rPr>
                <w:rFonts w:ascii="Arial" w:cs="Arial" w:eastAsia="Arial" w:hAnsi="Arial"/>
                <w:sz w:val="18"/>
                <w:szCs w:val="18"/>
                <w:b w:val="1"/>
                <w:bCs w:val="1"/>
                <w:color w:val="CB233C"/>
              </w:rPr>
            </w:pPr>
            <w:hyperlink w:anchor="page26">
              <w:r>
                <w:rPr>
                  <w:rFonts w:ascii="Arial" w:cs="Arial" w:eastAsia="Arial" w:hAnsi="Arial"/>
                  <w:sz w:val="18"/>
                  <w:szCs w:val="18"/>
                  <w:b w:val="1"/>
                  <w:bCs w:val="1"/>
                  <w:color w:val="CB233C"/>
                </w:rPr>
                <w:t>21</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26">
              <w:r>
                <w:rPr>
                  <w:rFonts w:ascii="Arial" w:cs="Arial" w:eastAsia="Arial" w:hAnsi="Arial"/>
                  <w:sz w:val="16"/>
                  <w:szCs w:val="16"/>
                  <w:color w:val="auto"/>
                </w:rPr>
                <w:t>Directors’ Fees</w:t>
              </w:r>
            </w:hyperlink>
          </w:p>
        </w:tc>
        <w:tc>
          <w:tcPr>
            <w:tcW w:w="2340" w:type="dxa"/>
            <w:vAlign w:val="bottom"/>
          </w:tcPr>
          <w:p>
            <w:pPr>
              <w:jc w:val="right"/>
              <w:spacing w:after="0"/>
              <w:rPr>
                <w:rFonts w:ascii="Arial" w:cs="Arial" w:eastAsia="Arial" w:hAnsi="Arial"/>
                <w:sz w:val="16"/>
                <w:szCs w:val="16"/>
                <w:color w:val="auto"/>
              </w:rPr>
            </w:pPr>
            <w:hyperlink w:anchor="page26">
              <w:r>
                <w:rPr>
                  <w:rFonts w:ascii="Arial" w:cs="Arial" w:eastAsia="Arial" w:hAnsi="Arial"/>
                  <w:sz w:val="16"/>
                  <w:szCs w:val="16"/>
                  <w:color w:val="auto"/>
                </w:rPr>
                <w:t>21</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26">
              <w:r>
                <w:rPr>
                  <w:rFonts w:ascii="Arial" w:cs="Arial" w:eastAsia="Arial" w:hAnsi="Arial"/>
                  <w:sz w:val="16"/>
                  <w:szCs w:val="16"/>
                  <w:color w:val="auto"/>
                </w:rPr>
                <w:t>Directors’ Equity Awards</w:t>
              </w:r>
            </w:hyperlink>
          </w:p>
        </w:tc>
        <w:tc>
          <w:tcPr>
            <w:tcW w:w="2340" w:type="dxa"/>
            <w:vAlign w:val="bottom"/>
          </w:tcPr>
          <w:p>
            <w:pPr>
              <w:jc w:val="right"/>
              <w:spacing w:after="0"/>
              <w:rPr>
                <w:rFonts w:ascii="Arial" w:cs="Arial" w:eastAsia="Arial" w:hAnsi="Arial"/>
                <w:sz w:val="16"/>
                <w:szCs w:val="16"/>
                <w:color w:val="auto"/>
              </w:rPr>
            </w:pPr>
            <w:hyperlink w:anchor="page26">
              <w:r>
                <w:rPr>
                  <w:rFonts w:ascii="Arial" w:cs="Arial" w:eastAsia="Arial" w:hAnsi="Arial"/>
                  <w:sz w:val="16"/>
                  <w:szCs w:val="16"/>
                  <w:color w:val="auto"/>
                </w:rPr>
                <w:t>21</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26">
              <w:r>
                <w:rPr>
                  <w:rFonts w:ascii="Arial" w:cs="Arial" w:eastAsia="Arial" w:hAnsi="Arial"/>
                  <w:sz w:val="16"/>
                  <w:szCs w:val="16"/>
                  <w:color w:val="auto"/>
                </w:rPr>
                <w:t>Directors’ Deferred Compensation Plan</w:t>
              </w:r>
            </w:hyperlink>
          </w:p>
        </w:tc>
        <w:tc>
          <w:tcPr>
            <w:tcW w:w="2340" w:type="dxa"/>
            <w:vAlign w:val="bottom"/>
          </w:tcPr>
          <w:p>
            <w:pPr>
              <w:jc w:val="right"/>
              <w:spacing w:after="0"/>
              <w:rPr>
                <w:rFonts w:ascii="Arial" w:cs="Arial" w:eastAsia="Arial" w:hAnsi="Arial"/>
                <w:sz w:val="16"/>
                <w:szCs w:val="16"/>
                <w:color w:val="auto"/>
              </w:rPr>
            </w:pPr>
            <w:hyperlink w:anchor="page26">
              <w:r>
                <w:rPr>
                  <w:rFonts w:ascii="Arial" w:cs="Arial" w:eastAsia="Arial" w:hAnsi="Arial"/>
                  <w:sz w:val="16"/>
                  <w:szCs w:val="16"/>
                  <w:color w:val="auto"/>
                </w:rPr>
                <w:t>21</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27">
              <w:r>
                <w:rPr>
                  <w:rFonts w:ascii="Arial" w:cs="Arial" w:eastAsia="Arial" w:hAnsi="Arial"/>
                  <w:sz w:val="16"/>
                  <w:szCs w:val="16"/>
                  <w:color w:val="auto"/>
                </w:rPr>
                <w:t>Directors’ Stock Ownership Requirements</w:t>
              </w:r>
            </w:hyperlink>
          </w:p>
        </w:tc>
        <w:tc>
          <w:tcPr>
            <w:tcW w:w="2340" w:type="dxa"/>
            <w:vAlign w:val="bottom"/>
          </w:tcPr>
          <w:p>
            <w:pPr>
              <w:jc w:val="right"/>
              <w:spacing w:after="0"/>
              <w:rPr>
                <w:rFonts w:ascii="Arial" w:cs="Arial" w:eastAsia="Arial" w:hAnsi="Arial"/>
                <w:sz w:val="16"/>
                <w:szCs w:val="16"/>
                <w:color w:val="auto"/>
              </w:rPr>
            </w:pPr>
            <w:hyperlink w:anchor="page27">
              <w:r>
                <w:rPr>
                  <w:rFonts w:ascii="Arial" w:cs="Arial" w:eastAsia="Arial" w:hAnsi="Arial"/>
                  <w:sz w:val="16"/>
                  <w:szCs w:val="16"/>
                  <w:color w:val="auto"/>
                </w:rPr>
                <w:t>22</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27">
              <w:r>
                <w:rPr>
                  <w:rFonts w:ascii="Arial" w:cs="Arial" w:eastAsia="Arial" w:hAnsi="Arial"/>
                  <w:sz w:val="16"/>
                  <w:szCs w:val="16"/>
                  <w:color w:val="auto"/>
                </w:rPr>
                <w:t>Director Clawback Policy</w:t>
              </w:r>
            </w:hyperlink>
          </w:p>
        </w:tc>
        <w:tc>
          <w:tcPr>
            <w:tcW w:w="2340" w:type="dxa"/>
            <w:vAlign w:val="bottom"/>
          </w:tcPr>
          <w:p>
            <w:pPr>
              <w:jc w:val="right"/>
              <w:spacing w:after="0"/>
              <w:rPr>
                <w:rFonts w:ascii="Arial" w:cs="Arial" w:eastAsia="Arial" w:hAnsi="Arial"/>
                <w:sz w:val="16"/>
                <w:szCs w:val="16"/>
                <w:color w:val="auto"/>
              </w:rPr>
            </w:pPr>
            <w:hyperlink w:anchor="page27">
              <w:r>
                <w:rPr>
                  <w:rFonts w:ascii="Arial" w:cs="Arial" w:eastAsia="Arial" w:hAnsi="Arial"/>
                  <w:sz w:val="16"/>
                  <w:szCs w:val="16"/>
                  <w:color w:val="auto"/>
                </w:rPr>
                <w:t>22</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27">
              <w:r>
                <w:rPr>
                  <w:rFonts w:ascii="Arial" w:cs="Arial" w:eastAsia="Arial" w:hAnsi="Arial"/>
                  <w:sz w:val="16"/>
                  <w:szCs w:val="16"/>
                  <w:color w:val="auto"/>
                </w:rPr>
                <w:t>Matching Programs</w:t>
              </w:r>
            </w:hyperlink>
          </w:p>
        </w:tc>
        <w:tc>
          <w:tcPr>
            <w:tcW w:w="2340" w:type="dxa"/>
            <w:vAlign w:val="bottom"/>
          </w:tcPr>
          <w:p>
            <w:pPr>
              <w:jc w:val="right"/>
              <w:spacing w:after="0"/>
              <w:rPr>
                <w:rFonts w:ascii="Arial" w:cs="Arial" w:eastAsia="Arial" w:hAnsi="Arial"/>
                <w:sz w:val="16"/>
                <w:szCs w:val="16"/>
                <w:color w:val="auto"/>
              </w:rPr>
            </w:pPr>
            <w:hyperlink w:anchor="page27">
              <w:r>
                <w:rPr>
                  <w:rFonts w:ascii="Arial" w:cs="Arial" w:eastAsia="Arial" w:hAnsi="Arial"/>
                  <w:sz w:val="16"/>
                  <w:szCs w:val="16"/>
                  <w:color w:val="auto"/>
                </w:rPr>
                <w:t>22</w:t>
              </w:r>
            </w:hyperlink>
          </w:p>
        </w:tc>
      </w:tr>
      <w:tr>
        <w:trPr>
          <w:trHeight w:val="215"/>
        </w:trPr>
        <w:tc>
          <w:tcPr>
            <w:tcW w:w="8900" w:type="dxa"/>
            <w:vAlign w:val="bottom"/>
          </w:tcPr>
          <w:p>
            <w:pPr>
              <w:ind w:left="180"/>
              <w:spacing w:after="0"/>
              <w:rPr>
                <w:rFonts w:ascii="Arial" w:cs="Arial" w:eastAsia="Arial" w:hAnsi="Arial"/>
                <w:sz w:val="16"/>
                <w:szCs w:val="16"/>
                <w:color w:val="auto"/>
              </w:rPr>
            </w:pPr>
            <w:hyperlink w:anchor="page28">
              <w:r>
                <w:rPr>
                  <w:rFonts w:ascii="Arial" w:cs="Arial" w:eastAsia="Arial" w:hAnsi="Arial"/>
                  <w:sz w:val="16"/>
                  <w:szCs w:val="16"/>
                  <w:color w:val="auto"/>
                </w:rPr>
                <w:t>2021 Director Compensation</w:t>
              </w:r>
            </w:hyperlink>
          </w:p>
        </w:tc>
        <w:tc>
          <w:tcPr>
            <w:tcW w:w="2340" w:type="dxa"/>
            <w:vAlign w:val="bottom"/>
          </w:tcPr>
          <w:p>
            <w:pPr>
              <w:jc w:val="right"/>
              <w:spacing w:after="0"/>
              <w:rPr>
                <w:rFonts w:ascii="Arial" w:cs="Arial" w:eastAsia="Arial" w:hAnsi="Arial"/>
                <w:sz w:val="16"/>
                <w:szCs w:val="16"/>
                <w:color w:val="auto"/>
              </w:rPr>
            </w:pPr>
            <w:hyperlink w:anchor="page28">
              <w:r>
                <w:rPr>
                  <w:rFonts w:ascii="Arial" w:cs="Arial" w:eastAsia="Arial" w:hAnsi="Arial"/>
                  <w:sz w:val="16"/>
                  <w:szCs w:val="16"/>
                  <w:color w:val="auto"/>
                </w:rPr>
                <w:t>23</w:t>
              </w:r>
            </w:hyperlink>
          </w:p>
        </w:tc>
      </w:tr>
      <w:tr>
        <w:trPr>
          <w:trHeight w:val="406"/>
        </w:trPr>
        <w:tc>
          <w:tcPr>
            <w:tcW w:w="8900" w:type="dxa"/>
            <w:vAlign w:val="bottom"/>
          </w:tcPr>
          <w:p>
            <w:pPr>
              <w:spacing w:after="0"/>
              <w:rPr>
                <w:rFonts w:ascii="Arial" w:cs="Arial" w:eastAsia="Arial" w:hAnsi="Arial"/>
                <w:sz w:val="18"/>
                <w:szCs w:val="18"/>
                <w:b w:val="1"/>
                <w:bCs w:val="1"/>
                <w:color w:val="CB233C"/>
              </w:rPr>
            </w:pPr>
            <w:hyperlink w:anchor="page30">
              <w:r>
                <w:rPr>
                  <w:rFonts w:ascii="Arial" w:cs="Arial" w:eastAsia="Arial" w:hAnsi="Arial"/>
                  <w:sz w:val="18"/>
                  <w:szCs w:val="18"/>
                  <w:b w:val="1"/>
                  <w:bCs w:val="1"/>
                  <w:color w:val="CB233C"/>
                </w:rPr>
                <w:t>Stock Ownership Information</w:t>
              </w:r>
            </w:hyperlink>
          </w:p>
        </w:tc>
        <w:tc>
          <w:tcPr>
            <w:tcW w:w="2340" w:type="dxa"/>
            <w:vAlign w:val="bottom"/>
          </w:tcPr>
          <w:p>
            <w:pPr>
              <w:jc w:val="right"/>
              <w:spacing w:after="0"/>
              <w:rPr>
                <w:rFonts w:ascii="Arial" w:cs="Arial" w:eastAsia="Arial" w:hAnsi="Arial"/>
                <w:sz w:val="18"/>
                <w:szCs w:val="18"/>
                <w:b w:val="1"/>
                <w:bCs w:val="1"/>
                <w:color w:val="CB233C"/>
              </w:rPr>
            </w:pPr>
            <w:hyperlink w:anchor="page30">
              <w:r>
                <w:rPr>
                  <w:rFonts w:ascii="Arial" w:cs="Arial" w:eastAsia="Arial" w:hAnsi="Arial"/>
                  <w:sz w:val="18"/>
                  <w:szCs w:val="18"/>
                  <w:b w:val="1"/>
                  <w:bCs w:val="1"/>
                  <w:color w:val="CB233C"/>
                </w:rPr>
                <w:t>25</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30">
              <w:r>
                <w:rPr>
                  <w:rFonts w:ascii="Arial" w:cs="Arial" w:eastAsia="Arial" w:hAnsi="Arial"/>
                  <w:sz w:val="16"/>
                  <w:szCs w:val="16"/>
                  <w:color w:val="auto"/>
                </w:rPr>
                <w:t>Delinquent Section 16(a) Reports</w:t>
              </w:r>
            </w:hyperlink>
          </w:p>
        </w:tc>
        <w:tc>
          <w:tcPr>
            <w:tcW w:w="2340" w:type="dxa"/>
            <w:vAlign w:val="bottom"/>
          </w:tcPr>
          <w:p>
            <w:pPr>
              <w:jc w:val="right"/>
              <w:spacing w:after="0"/>
              <w:rPr>
                <w:rFonts w:ascii="Arial" w:cs="Arial" w:eastAsia="Arial" w:hAnsi="Arial"/>
                <w:sz w:val="16"/>
                <w:szCs w:val="16"/>
                <w:color w:val="auto"/>
              </w:rPr>
            </w:pPr>
            <w:hyperlink w:anchor="page30">
              <w:r>
                <w:rPr>
                  <w:rFonts w:ascii="Arial" w:cs="Arial" w:eastAsia="Arial" w:hAnsi="Arial"/>
                  <w:sz w:val="16"/>
                  <w:szCs w:val="16"/>
                  <w:color w:val="auto"/>
                </w:rPr>
                <w:t>25</w:t>
              </w:r>
            </w:hyperlink>
          </w:p>
        </w:tc>
      </w:tr>
      <w:tr>
        <w:trPr>
          <w:trHeight w:val="215"/>
        </w:trPr>
        <w:tc>
          <w:tcPr>
            <w:tcW w:w="8900" w:type="dxa"/>
            <w:vAlign w:val="bottom"/>
          </w:tcPr>
          <w:p>
            <w:pPr>
              <w:ind w:left="180"/>
              <w:spacing w:after="0"/>
              <w:rPr>
                <w:rFonts w:ascii="Arial" w:cs="Arial" w:eastAsia="Arial" w:hAnsi="Arial"/>
                <w:sz w:val="16"/>
                <w:szCs w:val="16"/>
                <w:color w:val="auto"/>
              </w:rPr>
            </w:pPr>
            <w:hyperlink w:anchor="page30">
              <w:r>
                <w:rPr>
                  <w:rFonts w:ascii="Arial" w:cs="Arial" w:eastAsia="Arial" w:hAnsi="Arial"/>
                  <w:sz w:val="16"/>
                  <w:szCs w:val="16"/>
                  <w:color w:val="auto"/>
                </w:rPr>
                <w:t>Stock Ownership of Certain Beneficial Owners and Management</w:t>
              </w:r>
            </w:hyperlink>
          </w:p>
        </w:tc>
        <w:tc>
          <w:tcPr>
            <w:tcW w:w="2340" w:type="dxa"/>
            <w:vAlign w:val="bottom"/>
          </w:tcPr>
          <w:p>
            <w:pPr>
              <w:jc w:val="right"/>
              <w:spacing w:after="0"/>
              <w:rPr>
                <w:rFonts w:ascii="Arial" w:cs="Arial" w:eastAsia="Arial" w:hAnsi="Arial"/>
                <w:sz w:val="16"/>
                <w:szCs w:val="16"/>
                <w:color w:val="auto"/>
              </w:rPr>
            </w:pPr>
            <w:hyperlink w:anchor="page30">
              <w:r>
                <w:rPr>
                  <w:rFonts w:ascii="Arial" w:cs="Arial" w:eastAsia="Arial" w:hAnsi="Arial"/>
                  <w:sz w:val="16"/>
                  <w:szCs w:val="16"/>
                  <w:color w:val="auto"/>
                </w:rPr>
                <w:t>25</w:t>
              </w:r>
            </w:hyperlink>
          </w:p>
        </w:tc>
      </w:tr>
      <w:tr>
        <w:trPr>
          <w:trHeight w:val="432"/>
        </w:trPr>
        <w:tc>
          <w:tcPr>
            <w:tcW w:w="8900" w:type="dxa"/>
            <w:vAlign w:val="bottom"/>
          </w:tcPr>
          <w:p>
            <w:pPr>
              <w:spacing w:after="0"/>
              <w:rPr>
                <w:rFonts w:ascii="Arial" w:cs="Arial" w:eastAsia="Arial" w:hAnsi="Arial"/>
                <w:sz w:val="18"/>
                <w:szCs w:val="18"/>
                <w:b w:val="1"/>
                <w:bCs w:val="1"/>
                <w:color w:val="CB233C"/>
              </w:rPr>
            </w:pPr>
            <w:hyperlink w:anchor="page32">
              <w:r>
                <w:rPr>
                  <w:rFonts w:ascii="Arial" w:cs="Arial" w:eastAsia="Arial" w:hAnsi="Arial"/>
                  <w:sz w:val="18"/>
                  <w:szCs w:val="18"/>
                  <w:b w:val="1"/>
                  <w:bCs w:val="1"/>
                  <w:color w:val="CB233C"/>
                </w:rPr>
                <w:t xml:space="preserve">Proposal No. 2 </w:t>
              </w:r>
              <w:r>
                <w:rPr>
                  <w:rFonts w:ascii="Arial" w:cs="Arial" w:eastAsia="Arial" w:hAnsi="Arial"/>
                  <w:sz w:val="18"/>
                  <w:szCs w:val="18"/>
                  <w:color w:val="000000"/>
                </w:rPr>
                <w:t>Ratification of Selection of Principal Independent Public Accountants</w:t>
              </w:r>
            </w:hyperlink>
          </w:p>
        </w:tc>
        <w:tc>
          <w:tcPr>
            <w:tcW w:w="2340" w:type="dxa"/>
            <w:vAlign w:val="bottom"/>
          </w:tcPr>
          <w:p>
            <w:pPr>
              <w:jc w:val="right"/>
              <w:spacing w:after="0"/>
              <w:rPr>
                <w:rFonts w:ascii="Arial" w:cs="Arial" w:eastAsia="Arial" w:hAnsi="Arial"/>
                <w:sz w:val="18"/>
                <w:szCs w:val="18"/>
                <w:b w:val="1"/>
                <w:bCs w:val="1"/>
                <w:color w:val="CB233C"/>
              </w:rPr>
            </w:pPr>
            <w:hyperlink w:anchor="page32">
              <w:r>
                <w:rPr>
                  <w:rFonts w:ascii="Arial" w:cs="Arial" w:eastAsia="Arial" w:hAnsi="Arial"/>
                  <w:sz w:val="18"/>
                  <w:szCs w:val="18"/>
                  <w:b w:val="1"/>
                  <w:bCs w:val="1"/>
                  <w:color w:val="CB233C"/>
                </w:rPr>
                <w:t>27</w:t>
              </w:r>
            </w:hyperlink>
          </w:p>
        </w:tc>
      </w:tr>
      <w:tr>
        <w:trPr>
          <w:trHeight w:val="419"/>
        </w:trPr>
        <w:tc>
          <w:tcPr>
            <w:tcW w:w="8900" w:type="dxa"/>
            <w:vAlign w:val="bottom"/>
          </w:tcPr>
          <w:p>
            <w:pPr>
              <w:spacing w:after="0"/>
              <w:rPr>
                <w:rFonts w:ascii="Arial" w:cs="Arial" w:eastAsia="Arial" w:hAnsi="Arial"/>
                <w:sz w:val="18"/>
                <w:szCs w:val="18"/>
                <w:b w:val="1"/>
                <w:bCs w:val="1"/>
                <w:color w:val="CB233C"/>
              </w:rPr>
            </w:pPr>
            <w:hyperlink w:anchor="page33">
              <w:r>
                <w:rPr>
                  <w:rFonts w:ascii="Arial" w:cs="Arial" w:eastAsia="Arial" w:hAnsi="Arial"/>
                  <w:sz w:val="18"/>
                  <w:szCs w:val="18"/>
                  <w:b w:val="1"/>
                  <w:bCs w:val="1"/>
                  <w:color w:val="CB233C"/>
                </w:rPr>
                <w:t>Audit Committee Report</w:t>
              </w:r>
            </w:hyperlink>
          </w:p>
        </w:tc>
        <w:tc>
          <w:tcPr>
            <w:tcW w:w="2340" w:type="dxa"/>
            <w:vAlign w:val="bottom"/>
          </w:tcPr>
          <w:p>
            <w:pPr>
              <w:jc w:val="right"/>
              <w:spacing w:after="0"/>
              <w:rPr>
                <w:rFonts w:ascii="Arial" w:cs="Arial" w:eastAsia="Arial" w:hAnsi="Arial"/>
                <w:sz w:val="18"/>
                <w:szCs w:val="18"/>
                <w:b w:val="1"/>
                <w:bCs w:val="1"/>
                <w:color w:val="CB233C"/>
              </w:rPr>
            </w:pPr>
            <w:hyperlink w:anchor="page33">
              <w:r>
                <w:rPr>
                  <w:rFonts w:ascii="Arial" w:cs="Arial" w:eastAsia="Arial" w:hAnsi="Arial"/>
                  <w:sz w:val="18"/>
                  <w:szCs w:val="18"/>
                  <w:b w:val="1"/>
                  <w:bCs w:val="1"/>
                  <w:color w:val="CB233C"/>
                </w:rPr>
                <w:t>28</w:t>
              </w:r>
            </w:hyperlink>
          </w:p>
        </w:tc>
      </w:tr>
      <w:tr>
        <w:trPr>
          <w:trHeight w:val="418"/>
        </w:trPr>
        <w:tc>
          <w:tcPr>
            <w:tcW w:w="8900" w:type="dxa"/>
            <w:vAlign w:val="bottom"/>
          </w:tcPr>
          <w:p>
            <w:pPr>
              <w:spacing w:after="0"/>
              <w:rPr>
                <w:rFonts w:ascii="Arial" w:cs="Arial" w:eastAsia="Arial" w:hAnsi="Arial"/>
                <w:sz w:val="18"/>
                <w:szCs w:val="18"/>
                <w:b w:val="1"/>
                <w:bCs w:val="1"/>
                <w:color w:val="CB233C"/>
              </w:rPr>
            </w:pPr>
            <w:hyperlink w:anchor="page34">
              <w:r>
                <w:rPr>
                  <w:rFonts w:ascii="Arial" w:cs="Arial" w:eastAsia="Arial" w:hAnsi="Arial"/>
                  <w:sz w:val="18"/>
                  <w:szCs w:val="18"/>
                  <w:b w:val="1"/>
                  <w:bCs w:val="1"/>
                  <w:color w:val="CB233C"/>
                </w:rPr>
                <w:t>Fees Paid to KPMG LLP</w:t>
              </w:r>
            </w:hyperlink>
          </w:p>
        </w:tc>
        <w:tc>
          <w:tcPr>
            <w:tcW w:w="2340" w:type="dxa"/>
            <w:vAlign w:val="bottom"/>
          </w:tcPr>
          <w:p>
            <w:pPr>
              <w:jc w:val="right"/>
              <w:spacing w:after="0"/>
              <w:rPr>
                <w:rFonts w:ascii="Arial" w:cs="Arial" w:eastAsia="Arial" w:hAnsi="Arial"/>
                <w:sz w:val="18"/>
                <w:szCs w:val="18"/>
                <w:b w:val="1"/>
                <w:bCs w:val="1"/>
                <w:color w:val="CB233C"/>
              </w:rPr>
            </w:pPr>
            <w:hyperlink w:anchor="page34">
              <w:r>
                <w:rPr>
                  <w:rFonts w:ascii="Arial" w:cs="Arial" w:eastAsia="Arial" w:hAnsi="Arial"/>
                  <w:sz w:val="18"/>
                  <w:szCs w:val="18"/>
                  <w:b w:val="1"/>
                  <w:bCs w:val="1"/>
                  <w:color w:val="CB233C"/>
                </w:rPr>
                <w:t>29</w:t>
              </w:r>
            </w:hyperlink>
          </w:p>
        </w:tc>
      </w:tr>
      <w:tr>
        <w:trPr>
          <w:trHeight w:val="419"/>
        </w:trPr>
        <w:tc>
          <w:tcPr>
            <w:tcW w:w="8900" w:type="dxa"/>
            <w:vAlign w:val="bottom"/>
          </w:tcPr>
          <w:p>
            <w:pPr>
              <w:spacing w:after="0"/>
              <w:rPr>
                <w:rFonts w:ascii="Arial" w:cs="Arial" w:eastAsia="Arial" w:hAnsi="Arial"/>
                <w:sz w:val="18"/>
                <w:szCs w:val="18"/>
                <w:b w:val="1"/>
                <w:bCs w:val="1"/>
                <w:color w:val="CB233C"/>
              </w:rPr>
            </w:pPr>
            <w:hyperlink w:anchor="page35">
              <w:r>
                <w:rPr>
                  <w:rFonts w:ascii="Arial" w:cs="Arial" w:eastAsia="Arial" w:hAnsi="Arial"/>
                  <w:sz w:val="18"/>
                  <w:szCs w:val="18"/>
                  <w:b w:val="1"/>
                  <w:bCs w:val="1"/>
                  <w:color w:val="CB233C"/>
                </w:rPr>
                <w:t xml:space="preserve">Proposal No. 3 </w:t>
              </w:r>
              <w:r>
                <w:rPr>
                  <w:rFonts w:ascii="Arial" w:cs="Arial" w:eastAsia="Arial" w:hAnsi="Arial"/>
                  <w:sz w:val="18"/>
                  <w:szCs w:val="18"/>
                  <w:color w:val="000000"/>
                </w:rPr>
                <w:t>Advisory Approval of Executive Compensation</w:t>
              </w:r>
            </w:hyperlink>
          </w:p>
        </w:tc>
        <w:tc>
          <w:tcPr>
            <w:tcW w:w="2340" w:type="dxa"/>
            <w:vAlign w:val="bottom"/>
          </w:tcPr>
          <w:p>
            <w:pPr>
              <w:jc w:val="right"/>
              <w:spacing w:after="0"/>
              <w:rPr>
                <w:rFonts w:ascii="Arial" w:cs="Arial" w:eastAsia="Arial" w:hAnsi="Arial"/>
                <w:sz w:val="18"/>
                <w:szCs w:val="18"/>
                <w:b w:val="1"/>
                <w:bCs w:val="1"/>
                <w:color w:val="CB233C"/>
              </w:rPr>
            </w:pPr>
            <w:hyperlink w:anchor="page35">
              <w:r>
                <w:rPr>
                  <w:rFonts w:ascii="Arial" w:cs="Arial" w:eastAsia="Arial" w:hAnsi="Arial"/>
                  <w:sz w:val="18"/>
                  <w:szCs w:val="18"/>
                  <w:b w:val="1"/>
                  <w:bCs w:val="1"/>
                  <w:color w:val="CB233C"/>
                </w:rPr>
                <w:t>30</w:t>
              </w:r>
            </w:hyperlink>
          </w:p>
        </w:tc>
      </w:tr>
      <w:tr>
        <w:trPr>
          <w:trHeight w:val="419"/>
        </w:trPr>
        <w:tc>
          <w:tcPr>
            <w:tcW w:w="8900" w:type="dxa"/>
            <w:vAlign w:val="bottom"/>
          </w:tcPr>
          <w:p>
            <w:pPr>
              <w:spacing w:after="0"/>
              <w:rPr>
                <w:rFonts w:ascii="Arial" w:cs="Arial" w:eastAsia="Arial" w:hAnsi="Arial"/>
                <w:sz w:val="18"/>
                <w:szCs w:val="18"/>
                <w:b w:val="1"/>
                <w:bCs w:val="1"/>
                <w:color w:val="CB233C"/>
              </w:rPr>
            </w:pPr>
            <w:hyperlink w:anchor="page35">
              <w:r>
                <w:rPr>
                  <w:rFonts w:ascii="Arial" w:cs="Arial" w:eastAsia="Arial" w:hAnsi="Arial"/>
                  <w:sz w:val="18"/>
                  <w:szCs w:val="18"/>
                  <w:b w:val="1"/>
                  <w:bCs w:val="1"/>
                  <w:color w:val="CB233C"/>
                </w:rPr>
                <w:t>Compensation Committee Report</w:t>
              </w:r>
            </w:hyperlink>
          </w:p>
        </w:tc>
        <w:tc>
          <w:tcPr>
            <w:tcW w:w="2340" w:type="dxa"/>
            <w:vAlign w:val="bottom"/>
          </w:tcPr>
          <w:p>
            <w:pPr>
              <w:jc w:val="right"/>
              <w:spacing w:after="0"/>
              <w:rPr>
                <w:rFonts w:ascii="Arial" w:cs="Arial" w:eastAsia="Arial" w:hAnsi="Arial"/>
                <w:sz w:val="18"/>
                <w:szCs w:val="18"/>
                <w:b w:val="1"/>
                <w:bCs w:val="1"/>
                <w:color w:val="CB233C"/>
              </w:rPr>
            </w:pPr>
            <w:hyperlink w:anchor="page35">
              <w:r>
                <w:rPr>
                  <w:rFonts w:ascii="Arial" w:cs="Arial" w:eastAsia="Arial" w:hAnsi="Arial"/>
                  <w:sz w:val="18"/>
                  <w:szCs w:val="18"/>
                  <w:b w:val="1"/>
                  <w:bCs w:val="1"/>
                  <w:color w:val="CB233C"/>
                </w:rPr>
                <w:t>30</w:t>
              </w:r>
            </w:hyperlink>
          </w:p>
        </w:tc>
      </w:tr>
      <w:tr>
        <w:trPr>
          <w:trHeight w:val="392"/>
        </w:trPr>
        <w:tc>
          <w:tcPr>
            <w:tcW w:w="8900" w:type="dxa"/>
            <w:vAlign w:val="bottom"/>
          </w:tcPr>
          <w:p>
            <w:pPr>
              <w:spacing w:after="0"/>
              <w:rPr>
                <w:rFonts w:ascii="Arial" w:cs="Arial" w:eastAsia="Arial" w:hAnsi="Arial"/>
                <w:sz w:val="18"/>
                <w:szCs w:val="18"/>
                <w:b w:val="1"/>
                <w:bCs w:val="1"/>
                <w:color w:val="CB233C"/>
              </w:rPr>
            </w:pPr>
            <w:hyperlink w:anchor="page36">
              <w:r>
                <w:rPr>
                  <w:rFonts w:ascii="Arial" w:cs="Arial" w:eastAsia="Arial" w:hAnsi="Arial"/>
                  <w:sz w:val="18"/>
                  <w:szCs w:val="18"/>
                  <w:b w:val="1"/>
                  <w:bCs w:val="1"/>
                  <w:color w:val="CB233C"/>
                </w:rPr>
                <w:t>Compensation Discussion and Analysis</w:t>
              </w:r>
            </w:hyperlink>
          </w:p>
        </w:tc>
        <w:tc>
          <w:tcPr>
            <w:tcW w:w="2340" w:type="dxa"/>
            <w:vAlign w:val="bottom"/>
          </w:tcPr>
          <w:p>
            <w:pPr>
              <w:jc w:val="right"/>
              <w:spacing w:after="0"/>
              <w:rPr>
                <w:rFonts w:ascii="Arial" w:cs="Arial" w:eastAsia="Arial" w:hAnsi="Arial"/>
                <w:sz w:val="18"/>
                <w:szCs w:val="18"/>
                <w:b w:val="1"/>
                <w:bCs w:val="1"/>
                <w:color w:val="CB233C"/>
              </w:rPr>
            </w:pPr>
            <w:hyperlink w:anchor="page36">
              <w:r>
                <w:rPr>
                  <w:rFonts w:ascii="Arial" w:cs="Arial" w:eastAsia="Arial" w:hAnsi="Arial"/>
                  <w:sz w:val="18"/>
                  <w:szCs w:val="18"/>
                  <w:b w:val="1"/>
                  <w:bCs w:val="1"/>
                  <w:color w:val="CB233C"/>
                </w:rPr>
                <w:t>31</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36">
              <w:r>
                <w:rPr>
                  <w:rFonts w:ascii="Arial" w:cs="Arial" w:eastAsia="Arial" w:hAnsi="Arial"/>
                  <w:sz w:val="16"/>
                  <w:szCs w:val="16"/>
                  <w:color w:val="auto"/>
                </w:rPr>
                <w:t>Compensation Committee Letter</w:t>
              </w:r>
            </w:hyperlink>
          </w:p>
        </w:tc>
        <w:tc>
          <w:tcPr>
            <w:tcW w:w="2340" w:type="dxa"/>
            <w:vAlign w:val="bottom"/>
          </w:tcPr>
          <w:p>
            <w:pPr>
              <w:jc w:val="right"/>
              <w:spacing w:after="0"/>
              <w:rPr>
                <w:rFonts w:ascii="Arial" w:cs="Arial" w:eastAsia="Arial" w:hAnsi="Arial"/>
                <w:sz w:val="16"/>
                <w:szCs w:val="16"/>
                <w:color w:val="auto"/>
              </w:rPr>
            </w:pPr>
            <w:hyperlink w:anchor="page36">
              <w:r>
                <w:rPr>
                  <w:rFonts w:ascii="Arial" w:cs="Arial" w:eastAsia="Arial" w:hAnsi="Arial"/>
                  <w:sz w:val="16"/>
                  <w:szCs w:val="16"/>
                  <w:color w:val="auto"/>
                </w:rPr>
                <w:t>31</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37">
              <w:r>
                <w:rPr>
                  <w:rFonts w:ascii="Arial" w:cs="Arial" w:eastAsia="Arial" w:hAnsi="Arial"/>
                  <w:sz w:val="16"/>
                  <w:szCs w:val="16"/>
                  <w:color w:val="auto"/>
                </w:rPr>
                <w:t>Enhancing Our Shareholder Outreach and Board Activity</w:t>
              </w:r>
            </w:hyperlink>
          </w:p>
        </w:tc>
        <w:tc>
          <w:tcPr>
            <w:tcW w:w="2340" w:type="dxa"/>
            <w:vAlign w:val="bottom"/>
          </w:tcPr>
          <w:p>
            <w:pPr>
              <w:jc w:val="right"/>
              <w:spacing w:after="0"/>
              <w:rPr>
                <w:rFonts w:ascii="Arial" w:cs="Arial" w:eastAsia="Arial" w:hAnsi="Arial"/>
                <w:sz w:val="16"/>
                <w:szCs w:val="16"/>
                <w:color w:val="auto"/>
              </w:rPr>
            </w:pPr>
            <w:hyperlink w:anchor="page37">
              <w:r>
                <w:rPr>
                  <w:rFonts w:ascii="Arial" w:cs="Arial" w:eastAsia="Arial" w:hAnsi="Arial"/>
                  <w:sz w:val="16"/>
                  <w:szCs w:val="16"/>
                  <w:color w:val="auto"/>
                </w:rPr>
                <w:t>32</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38">
              <w:r>
                <w:rPr>
                  <w:rFonts w:ascii="Arial" w:cs="Arial" w:eastAsia="Arial" w:hAnsi="Arial"/>
                  <w:sz w:val="16"/>
                  <w:szCs w:val="16"/>
                  <w:color w:val="auto"/>
                </w:rPr>
                <w:t>Straight from the Boardroom: Talking with Murry S. Gerber</w:t>
              </w:r>
            </w:hyperlink>
          </w:p>
        </w:tc>
        <w:tc>
          <w:tcPr>
            <w:tcW w:w="2340" w:type="dxa"/>
            <w:vAlign w:val="bottom"/>
          </w:tcPr>
          <w:p>
            <w:pPr>
              <w:jc w:val="right"/>
              <w:spacing w:after="0"/>
              <w:rPr>
                <w:rFonts w:ascii="Arial" w:cs="Arial" w:eastAsia="Arial" w:hAnsi="Arial"/>
                <w:sz w:val="16"/>
                <w:szCs w:val="16"/>
                <w:color w:val="auto"/>
              </w:rPr>
            </w:pPr>
            <w:hyperlink w:anchor="page38">
              <w:r>
                <w:rPr>
                  <w:rFonts w:ascii="Arial" w:cs="Arial" w:eastAsia="Arial" w:hAnsi="Arial"/>
                  <w:sz w:val="16"/>
                  <w:szCs w:val="16"/>
                  <w:color w:val="auto"/>
                </w:rPr>
                <w:t>33</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40">
              <w:r>
                <w:rPr>
                  <w:rFonts w:ascii="Arial" w:cs="Arial" w:eastAsia="Arial" w:hAnsi="Arial"/>
                  <w:sz w:val="16"/>
                  <w:szCs w:val="16"/>
                  <w:color w:val="auto"/>
                </w:rPr>
                <w:t>2021 CEO Compensation Overview</w:t>
              </w:r>
            </w:hyperlink>
          </w:p>
        </w:tc>
        <w:tc>
          <w:tcPr>
            <w:tcW w:w="2340" w:type="dxa"/>
            <w:vAlign w:val="bottom"/>
          </w:tcPr>
          <w:p>
            <w:pPr>
              <w:jc w:val="right"/>
              <w:spacing w:after="0"/>
              <w:rPr>
                <w:rFonts w:ascii="Arial" w:cs="Arial" w:eastAsia="Arial" w:hAnsi="Arial"/>
                <w:sz w:val="16"/>
                <w:szCs w:val="16"/>
                <w:color w:val="auto"/>
              </w:rPr>
            </w:pPr>
            <w:hyperlink w:anchor="page40">
              <w:r>
                <w:rPr>
                  <w:rFonts w:ascii="Arial" w:cs="Arial" w:eastAsia="Arial" w:hAnsi="Arial"/>
                  <w:sz w:val="16"/>
                  <w:szCs w:val="16"/>
                  <w:color w:val="auto"/>
                </w:rPr>
                <w:t>35</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43">
              <w:r>
                <w:rPr>
                  <w:rFonts w:ascii="Arial" w:cs="Arial" w:eastAsia="Arial" w:hAnsi="Arial"/>
                  <w:sz w:val="16"/>
                  <w:szCs w:val="16"/>
                  <w:color w:val="auto"/>
                </w:rPr>
                <w:t>2021 Performance Overview</w:t>
              </w:r>
            </w:hyperlink>
          </w:p>
        </w:tc>
        <w:tc>
          <w:tcPr>
            <w:tcW w:w="2340" w:type="dxa"/>
            <w:vAlign w:val="bottom"/>
          </w:tcPr>
          <w:p>
            <w:pPr>
              <w:jc w:val="right"/>
              <w:spacing w:after="0"/>
              <w:rPr>
                <w:rFonts w:ascii="Arial" w:cs="Arial" w:eastAsia="Arial" w:hAnsi="Arial"/>
                <w:sz w:val="16"/>
                <w:szCs w:val="16"/>
                <w:color w:val="auto"/>
              </w:rPr>
            </w:pPr>
            <w:hyperlink w:anchor="page43">
              <w:r>
                <w:rPr>
                  <w:rFonts w:ascii="Arial" w:cs="Arial" w:eastAsia="Arial" w:hAnsi="Arial"/>
                  <w:sz w:val="16"/>
                  <w:szCs w:val="16"/>
                  <w:color w:val="auto"/>
                </w:rPr>
                <w:t>38</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45">
              <w:r>
                <w:rPr>
                  <w:rFonts w:ascii="Arial" w:cs="Arial" w:eastAsia="Arial" w:hAnsi="Arial"/>
                  <w:sz w:val="16"/>
                  <w:szCs w:val="16"/>
                  <w:color w:val="auto"/>
                </w:rPr>
                <w:t>The Foundation of Our Executive Compensation Program</w:t>
              </w:r>
            </w:hyperlink>
          </w:p>
        </w:tc>
        <w:tc>
          <w:tcPr>
            <w:tcW w:w="2340" w:type="dxa"/>
            <w:vAlign w:val="bottom"/>
          </w:tcPr>
          <w:p>
            <w:pPr>
              <w:jc w:val="right"/>
              <w:spacing w:after="0"/>
              <w:rPr>
                <w:rFonts w:ascii="Arial" w:cs="Arial" w:eastAsia="Arial" w:hAnsi="Arial"/>
                <w:sz w:val="16"/>
                <w:szCs w:val="16"/>
                <w:color w:val="auto"/>
              </w:rPr>
            </w:pPr>
            <w:hyperlink w:anchor="page45">
              <w:r>
                <w:rPr>
                  <w:rFonts w:ascii="Arial" w:cs="Arial" w:eastAsia="Arial" w:hAnsi="Arial"/>
                  <w:sz w:val="16"/>
                  <w:szCs w:val="16"/>
                  <w:color w:val="auto"/>
                </w:rPr>
                <w:t>40</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47">
              <w:r>
                <w:rPr>
                  <w:rFonts w:ascii="Arial" w:cs="Arial" w:eastAsia="Arial" w:hAnsi="Arial"/>
                  <w:sz w:val="16"/>
                  <w:szCs w:val="16"/>
                  <w:color w:val="auto"/>
                </w:rPr>
                <w:t>Setting Executive Compensation</w:t>
              </w:r>
            </w:hyperlink>
          </w:p>
        </w:tc>
        <w:tc>
          <w:tcPr>
            <w:tcW w:w="2340" w:type="dxa"/>
            <w:vAlign w:val="bottom"/>
          </w:tcPr>
          <w:p>
            <w:pPr>
              <w:jc w:val="right"/>
              <w:spacing w:after="0"/>
              <w:rPr>
                <w:rFonts w:ascii="Arial" w:cs="Arial" w:eastAsia="Arial" w:hAnsi="Arial"/>
                <w:sz w:val="16"/>
                <w:szCs w:val="16"/>
                <w:color w:val="auto"/>
              </w:rPr>
            </w:pPr>
            <w:hyperlink w:anchor="page47">
              <w:r>
                <w:rPr>
                  <w:rFonts w:ascii="Arial" w:cs="Arial" w:eastAsia="Arial" w:hAnsi="Arial"/>
                  <w:sz w:val="16"/>
                  <w:szCs w:val="16"/>
                  <w:color w:val="auto"/>
                </w:rPr>
                <w:t>42</w:t>
              </w:r>
            </w:hyperlink>
          </w:p>
        </w:tc>
      </w:tr>
      <w:tr>
        <w:trPr>
          <w:trHeight w:val="202"/>
        </w:trPr>
        <w:tc>
          <w:tcPr>
            <w:tcW w:w="8900" w:type="dxa"/>
            <w:vAlign w:val="bottom"/>
          </w:tcPr>
          <w:p>
            <w:pPr>
              <w:ind w:left="180"/>
              <w:spacing w:after="0"/>
              <w:rPr>
                <w:rFonts w:ascii="Arial" w:cs="Arial" w:eastAsia="Arial" w:hAnsi="Arial"/>
                <w:sz w:val="16"/>
                <w:szCs w:val="16"/>
                <w:color w:val="auto"/>
              </w:rPr>
            </w:pPr>
            <w:hyperlink w:anchor="page49">
              <w:r>
                <w:rPr>
                  <w:rFonts w:ascii="Arial" w:cs="Arial" w:eastAsia="Arial" w:hAnsi="Arial"/>
                  <w:sz w:val="16"/>
                  <w:szCs w:val="16"/>
                  <w:color w:val="auto"/>
                </w:rPr>
                <w:t>2021 Executive Compensation Outcomes in Detail</w:t>
              </w:r>
            </w:hyperlink>
          </w:p>
        </w:tc>
        <w:tc>
          <w:tcPr>
            <w:tcW w:w="2340" w:type="dxa"/>
            <w:vAlign w:val="bottom"/>
          </w:tcPr>
          <w:p>
            <w:pPr>
              <w:jc w:val="right"/>
              <w:spacing w:after="0"/>
              <w:rPr>
                <w:rFonts w:ascii="Arial" w:cs="Arial" w:eastAsia="Arial" w:hAnsi="Arial"/>
                <w:sz w:val="16"/>
                <w:szCs w:val="16"/>
                <w:color w:val="auto"/>
              </w:rPr>
            </w:pPr>
            <w:hyperlink w:anchor="page49">
              <w:r>
                <w:rPr>
                  <w:rFonts w:ascii="Arial" w:cs="Arial" w:eastAsia="Arial" w:hAnsi="Arial"/>
                  <w:sz w:val="16"/>
                  <w:szCs w:val="16"/>
                  <w:color w:val="auto"/>
                </w:rPr>
                <w:t>44</w:t>
              </w:r>
            </w:hyperlink>
          </w:p>
        </w:tc>
      </w:tr>
      <w:tr>
        <w:trPr>
          <w:trHeight w:val="215"/>
        </w:trPr>
        <w:tc>
          <w:tcPr>
            <w:tcW w:w="8900" w:type="dxa"/>
            <w:vAlign w:val="bottom"/>
          </w:tcPr>
          <w:p>
            <w:pPr>
              <w:ind w:left="180"/>
              <w:spacing w:after="0"/>
              <w:rPr>
                <w:rFonts w:ascii="Arial" w:cs="Arial" w:eastAsia="Arial" w:hAnsi="Arial"/>
                <w:sz w:val="16"/>
                <w:szCs w:val="16"/>
                <w:color w:val="auto"/>
              </w:rPr>
            </w:pPr>
            <w:hyperlink w:anchor="page54">
              <w:r>
                <w:rPr>
                  <w:rFonts w:ascii="Arial" w:cs="Arial" w:eastAsia="Arial" w:hAnsi="Arial"/>
                  <w:sz w:val="16"/>
                  <w:szCs w:val="16"/>
                  <w:color w:val="auto"/>
                </w:rPr>
                <w:t>Other Executive Benefits and Policies</w:t>
              </w:r>
            </w:hyperlink>
          </w:p>
        </w:tc>
        <w:tc>
          <w:tcPr>
            <w:tcW w:w="2340" w:type="dxa"/>
            <w:vAlign w:val="bottom"/>
          </w:tcPr>
          <w:p>
            <w:pPr>
              <w:jc w:val="right"/>
              <w:spacing w:after="0"/>
              <w:rPr>
                <w:rFonts w:ascii="Arial" w:cs="Arial" w:eastAsia="Arial" w:hAnsi="Arial"/>
                <w:sz w:val="16"/>
                <w:szCs w:val="16"/>
                <w:color w:val="auto"/>
              </w:rPr>
            </w:pPr>
            <w:hyperlink w:anchor="page54">
              <w:r>
                <w:rPr>
                  <w:rFonts w:ascii="Arial" w:cs="Arial" w:eastAsia="Arial" w:hAnsi="Arial"/>
                  <w:sz w:val="16"/>
                  <w:szCs w:val="16"/>
                  <w:color w:val="auto"/>
                </w:rPr>
                <w:t>49</w:t>
              </w:r>
            </w:hyperlink>
          </w:p>
        </w:tc>
      </w:tr>
      <w:tr>
        <w:trPr>
          <w:trHeight w:val="406"/>
        </w:trPr>
        <w:tc>
          <w:tcPr>
            <w:tcW w:w="8900" w:type="dxa"/>
            <w:vAlign w:val="bottom"/>
          </w:tcPr>
          <w:p>
            <w:pPr>
              <w:spacing w:after="0"/>
              <w:rPr>
                <w:rFonts w:ascii="Arial" w:cs="Arial" w:eastAsia="Arial" w:hAnsi="Arial"/>
                <w:sz w:val="18"/>
                <w:szCs w:val="18"/>
                <w:b w:val="1"/>
                <w:bCs w:val="1"/>
                <w:color w:val="CB233C"/>
              </w:rPr>
            </w:pPr>
            <w:hyperlink w:anchor="page58">
              <w:r>
                <w:rPr>
                  <w:rFonts w:ascii="Arial" w:cs="Arial" w:eastAsia="Arial" w:hAnsi="Arial"/>
                  <w:sz w:val="18"/>
                  <w:szCs w:val="18"/>
                  <w:b w:val="1"/>
                  <w:bCs w:val="1"/>
                  <w:color w:val="CB233C"/>
                </w:rPr>
                <w:t>Executive Compensation Tables</w:t>
              </w:r>
            </w:hyperlink>
          </w:p>
        </w:tc>
        <w:tc>
          <w:tcPr>
            <w:tcW w:w="2340" w:type="dxa"/>
            <w:vAlign w:val="bottom"/>
          </w:tcPr>
          <w:p>
            <w:pPr>
              <w:jc w:val="right"/>
              <w:spacing w:after="0"/>
              <w:rPr>
                <w:rFonts w:ascii="Arial" w:cs="Arial" w:eastAsia="Arial" w:hAnsi="Arial"/>
                <w:sz w:val="18"/>
                <w:szCs w:val="18"/>
                <w:b w:val="1"/>
                <w:bCs w:val="1"/>
                <w:color w:val="CB233C"/>
              </w:rPr>
            </w:pPr>
            <w:hyperlink w:anchor="page58">
              <w:r>
                <w:rPr>
                  <w:rFonts w:ascii="Arial" w:cs="Arial" w:eastAsia="Arial" w:hAnsi="Arial"/>
                  <w:sz w:val="18"/>
                  <w:szCs w:val="18"/>
                  <w:b w:val="1"/>
                  <w:bCs w:val="1"/>
                  <w:color w:val="CB233C"/>
                </w:rPr>
                <w:t>53</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58">
              <w:r>
                <w:rPr>
                  <w:rFonts w:ascii="Arial" w:cs="Arial" w:eastAsia="Arial" w:hAnsi="Arial"/>
                  <w:sz w:val="16"/>
                  <w:szCs w:val="16"/>
                  <w:color w:val="auto"/>
                </w:rPr>
                <w:t>Summary Compensation Table</w:t>
              </w:r>
            </w:hyperlink>
          </w:p>
        </w:tc>
        <w:tc>
          <w:tcPr>
            <w:tcW w:w="2340" w:type="dxa"/>
            <w:vAlign w:val="bottom"/>
          </w:tcPr>
          <w:p>
            <w:pPr>
              <w:jc w:val="right"/>
              <w:spacing w:after="0"/>
              <w:rPr>
                <w:rFonts w:ascii="Arial" w:cs="Arial" w:eastAsia="Arial" w:hAnsi="Arial"/>
                <w:sz w:val="16"/>
                <w:szCs w:val="16"/>
                <w:color w:val="auto"/>
              </w:rPr>
            </w:pPr>
            <w:hyperlink w:anchor="page58">
              <w:r>
                <w:rPr>
                  <w:rFonts w:ascii="Arial" w:cs="Arial" w:eastAsia="Arial" w:hAnsi="Arial"/>
                  <w:sz w:val="16"/>
                  <w:szCs w:val="16"/>
                  <w:color w:val="auto"/>
                </w:rPr>
                <w:t>53</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59">
              <w:r>
                <w:rPr>
                  <w:rFonts w:ascii="Arial" w:cs="Arial" w:eastAsia="Arial" w:hAnsi="Arial"/>
                  <w:sz w:val="16"/>
                  <w:szCs w:val="16"/>
                  <w:color w:val="auto"/>
                </w:rPr>
                <w:t>Supplemental Table: All Other Compensation</w:t>
              </w:r>
            </w:hyperlink>
          </w:p>
        </w:tc>
        <w:tc>
          <w:tcPr>
            <w:tcW w:w="2340" w:type="dxa"/>
            <w:vAlign w:val="bottom"/>
          </w:tcPr>
          <w:p>
            <w:pPr>
              <w:jc w:val="right"/>
              <w:spacing w:after="0"/>
              <w:rPr>
                <w:rFonts w:ascii="Arial" w:cs="Arial" w:eastAsia="Arial" w:hAnsi="Arial"/>
                <w:sz w:val="16"/>
                <w:szCs w:val="16"/>
                <w:color w:val="auto"/>
              </w:rPr>
            </w:pPr>
            <w:hyperlink w:anchor="page59">
              <w:r>
                <w:rPr>
                  <w:rFonts w:ascii="Arial" w:cs="Arial" w:eastAsia="Arial" w:hAnsi="Arial"/>
                  <w:sz w:val="16"/>
                  <w:szCs w:val="16"/>
                  <w:color w:val="auto"/>
                </w:rPr>
                <w:t>54</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61">
              <w:r>
                <w:rPr>
                  <w:rFonts w:ascii="Arial" w:cs="Arial" w:eastAsia="Arial" w:hAnsi="Arial"/>
                  <w:sz w:val="16"/>
                  <w:szCs w:val="16"/>
                  <w:color w:val="auto"/>
                </w:rPr>
                <w:t>Grants of Plan-Based Awards in Fiscal 2021</w:t>
              </w:r>
            </w:hyperlink>
          </w:p>
        </w:tc>
        <w:tc>
          <w:tcPr>
            <w:tcW w:w="2340" w:type="dxa"/>
            <w:vAlign w:val="bottom"/>
          </w:tcPr>
          <w:p>
            <w:pPr>
              <w:jc w:val="right"/>
              <w:spacing w:after="0"/>
              <w:rPr>
                <w:rFonts w:ascii="Arial" w:cs="Arial" w:eastAsia="Arial" w:hAnsi="Arial"/>
                <w:sz w:val="16"/>
                <w:szCs w:val="16"/>
                <w:color w:val="auto"/>
              </w:rPr>
            </w:pPr>
            <w:hyperlink w:anchor="page61">
              <w:r>
                <w:rPr>
                  <w:rFonts w:ascii="Arial" w:cs="Arial" w:eastAsia="Arial" w:hAnsi="Arial"/>
                  <w:sz w:val="16"/>
                  <w:szCs w:val="16"/>
                  <w:color w:val="auto"/>
                </w:rPr>
                <w:t>56</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62">
              <w:r>
                <w:rPr>
                  <w:rFonts w:ascii="Arial" w:cs="Arial" w:eastAsia="Arial" w:hAnsi="Arial"/>
                  <w:sz w:val="16"/>
                  <w:szCs w:val="16"/>
                  <w:color w:val="auto"/>
                </w:rPr>
                <w:t>Outstanding Equity Awards at Fiscal Year End 2021</w:t>
              </w:r>
            </w:hyperlink>
          </w:p>
        </w:tc>
        <w:tc>
          <w:tcPr>
            <w:tcW w:w="2340" w:type="dxa"/>
            <w:vAlign w:val="bottom"/>
          </w:tcPr>
          <w:p>
            <w:pPr>
              <w:jc w:val="right"/>
              <w:spacing w:after="0"/>
              <w:rPr>
                <w:rFonts w:ascii="Arial" w:cs="Arial" w:eastAsia="Arial" w:hAnsi="Arial"/>
                <w:sz w:val="16"/>
                <w:szCs w:val="16"/>
                <w:color w:val="auto"/>
              </w:rPr>
            </w:pPr>
            <w:hyperlink w:anchor="page62">
              <w:r>
                <w:rPr>
                  <w:rFonts w:ascii="Arial" w:cs="Arial" w:eastAsia="Arial" w:hAnsi="Arial"/>
                  <w:sz w:val="16"/>
                  <w:szCs w:val="16"/>
                  <w:color w:val="auto"/>
                </w:rPr>
                <w:t>57</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64">
              <w:r>
                <w:rPr>
                  <w:rFonts w:ascii="Arial" w:cs="Arial" w:eastAsia="Arial" w:hAnsi="Arial"/>
                  <w:sz w:val="16"/>
                  <w:szCs w:val="16"/>
                  <w:color w:val="auto"/>
                </w:rPr>
                <w:t>2021 Option Exercises and Stock Vested</w:t>
              </w:r>
            </w:hyperlink>
          </w:p>
        </w:tc>
        <w:tc>
          <w:tcPr>
            <w:tcW w:w="2340" w:type="dxa"/>
            <w:vAlign w:val="bottom"/>
          </w:tcPr>
          <w:p>
            <w:pPr>
              <w:jc w:val="right"/>
              <w:spacing w:after="0"/>
              <w:rPr>
                <w:rFonts w:ascii="Arial" w:cs="Arial" w:eastAsia="Arial" w:hAnsi="Arial"/>
                <w:sz w:val="16"/>
                <w:szCs w:val="16"/>
                <w:color w:val="auto"/>
              </w:rPr>
            </w:pPr>
            <w:hyperlink w:anchor="page64">
              <w:r>
                <w:rPr>
                  <w:rFonts w:ascii="Arial" w:cs="Arial" w:eastAsia="Arial" w:hAnsi="Arial"/>
                  <w:sz w:val="16"/>
                  <w:szCs w:val="16"/>
                  <w:color w:val="auto"/>
                </w:rPr>
                <w:t>59</w:t>
              </w:r>
            </w:hyperlink>
          </w:p>
        </w:tc>
      </w:tr>
      <w:tr>
        <w:trPr>
          <w:trHeight w:val="202"/>
        </w:trPr>
        <w:tc>
          <w:tcPr>
            <w:tcW w:w="8900" w:type="dxa"/>
            <w:vAlign w:val="bottom"/>
          </w:tcPr>
          <w:p>
            <w:pPr>
              <w:ind w:left="180"/>
              <w:spacing w:after="0"/>
              <w:rPr>
                <w:rFonts w:ascii="Arial" w:cs="Arial" w:eastAsia="Arial" w:hAnsi="Arial"/>
                <w:sz w:val="16"/>
                <w:szCs w:val="16"/>
                <w:color w:val="auto"/>
              </w:rPr>
            </w:pPr>
            <w:hyperlink w:anchor="page64">
              <w:r>
                <w:rPr>
                  <w:rFonts w:ascii="Arial" w:cs="Arial" w:eastAsia="Arial" w:hAnsi="Arial"/>
                  <w:sz w:val="16"/>
                  <w:szCs w:val="16"/>
                  <w:color w:val="auto"/>
                </w:rPr>
                <w:t>2021 Nonqualified Deferred Compensation</w:t>
              </w:r>
            </w:hyperlink>
          </w:p>
        </w:tc>
        <w:tc>
          <w:tcPr>
            <w:tcW w:w="2340" w:type="dxa"/>
            <w:vAlign w:val="bottom"/>
          </w:tcPr>
          <w:p>
            <w:pPr>
              <w:jc w:val="right"/>
              <w:spacing w:after="0"/>
              <w:rPr>
                <w:rFonts w:ascii="Arial" w:cs="Arial" w:eastAsia="Arial" w:hAnsi="Arial"/>
                <w:sz w:val="16"/>
                <w:szCs w:val="16"/>
                <w:color w:val="auto"/>
              </w:rPr>
            </w:pPr>
            <w:hyperlink w:anchor="page64">
              <w:r>
                <w:rPr>
                  <w:rFonts w:ascii="Arial" w:cs="Arial" w:eastAsia="Arial" w:hAnsi="Arial"/>
                  <w:sz w:val="16"/>
                  <w:szCs w:val="16"/>
                  <w:color w:val="auto"/>
                </w:rPr>
                <w:t>59</w:t>
              </w:r>
            </w:hyperlink>
          </w:p>
        </w:tc>
      </w:tr>
      <w:tr>
        <w:trPr>
          <w:trHeight w:val="203"/>
        </w:trPr>
        <w:tc>
          <w:tcPr>
            <w:tcW w:w="8900" w:type="dxa"/>
            <w:vAlign w:val="bottom"/>
          </w:tcPr>
          <w:p>
            <w:pPr>
              <w:ind w:left="180"/>
              <w:spacing w:after="0"/>
              <w:rPr>
                <w:rFonts w:ascii="Arial" w:cs="Arial" w:eastAsia="Arial" w:hAnsi="Arial"/>
                <w:sz w:val="16"/>
                <w:szCs w:val="16"/>
                <w:color w:val="auto"/>
              </w:rPr>
            </w:pPr>
            <w:hyperlink w:anchor="page65">
              <w:r>
                <w:rPr>
                  <w:rFonts w:ascii="Arial" w:cs="Arial" w:eastAsia="Arial" w:hAnsi="Arial"/>
                  <w:sz w:val="16"/>
                  <w:szCs w:val="16"/>
                  <w:color w:val="auto"/>
                </w:rPr>
                <w:t>Employment Contracts and Change-in-Control Arrangements</w:t>
              </w:r>
            </w:hyperlink>
          </w:p>
        </w:tc>
        <w:tc>
          <w:tcPr>
            <w:tcW w:w="2340" w:type="dxa"/>
            <w:vAlign w:val="bottom"/>
          </w:tcPr>
          <w:p>
            <w:pPr>
              <w:jc w:val="right"/>
              <w:spacing w:after="0"/>
              <w:rPr>
                <w:rFonts w:ascii="Arial" w:cs="Arial" w:eastAsia="Arial" w:hAnsi="Arial"/>
                <w:sz w:val="16"/>
                <w:szCs w:val="16"/>
                <w:color w:val="auto"/>
              </w:rPr>
            </w:pPr>
            <w:hyperlink w:anchor="page65">
              <w:r>
                <w:rPr>
                  <w:rFonts w:ascii="Arial" w:cs="Arial" w:eastAsia="Arial" w:hAnsi="Arial"/>
                  <w:sz w:val="16"/>
                  <w:szCs w:val="16"/>
                  <w:color w:val="auto"/>
                </w:rPr>
                <w:t>60</w:t>
              </w:r>
            </w:hyperlink>
          </w:p>
        </w:tc>
      </w:tr>
      <w:tr>
        <w:trPr>
          <w:trHeight w:val="215"/>
        </w:trPr>
        <w:tc>
          <w:tcPr>
            <w:tcW w:w="8900" w:type="dxa"/>
            <w:vAlign w:val="bottom"/>
          </w:tcPr>
          <w:p>
            <w:pPr>
              <w:ind w:left="180"/>
              <w:spacing w:after="0"/>
              <w:rPr>
                <w:rFonts w:ascii="Arial" w:cs="Arial" w:eastAsia="Arial" w:hAnsi="Arial"/>
                <w:sz w:val="16"/>
                <w:szCs w:val="16"/>
                <w:color w:val="auto"/>
              </w:rPr>
            </w:pPr>
            <w:hyperlink w:anchor="page66">
              <w:r>
                <w:rPr>
                  <w:rFonts w:ascii="Arial" w:cs="Arial" w:eastAsia="Arial" w:hAnsi="Arial"/>
                  <w:sz w:val="16"/>
                  <w:szCs w:val="16"/>
                  <w:color w:val="auto"/>
                </w:rPr>
                <w:t>Post-Termination or Change-in-Control Payments</w:t>
              </w:r>
            </w:hyperlink>
          </w:p>
        </w:tc>
        <w:tc>
          <w:tcPr>
            <w:tcW w:w="2340" w:type="dxa"/>
            <w:vAlign w:val="bottom"/>
          </w:tcPr>
          <w:p>
            <w:pPr>
              <w:jc w:val="right"/>
              <w:spacing w:after="0"/>
              <w:rPr>
                <w:rFonts w:ascii="Arial" w:cs="Arial" w:eastAsia="Arial" w:hAnsi="Arial"/>
                <w:sz w:val="16"/>
                <w:szCs w:val="16"/>
                <w:color w:val="auto"/>
              </w:rPr>
            </w:pPr>
            <w:hyperlink w:anchor="page66">
              <w:r>
                <w:rPr>
                  <w:rFonts w:ascii="Arial" w:cs="Arial" w:eastAsia="Arial" w:hAnsi="Arial"/>
                  <w:sz w:val="16"/>
                  <w:szCs w:val="16"/>
                  <w:color w:val="auto"/>
                </w:rPr>
                <w:t>61</w:t>
              </w:r>
            </w:hyperlink>
          </w:p>
        </w:tc>
      </w:tr>
    </w:tbl>
    <w:p>
      <w:pPr>
        <w:sectPr>
          <w:pgSz w:w="11900" w:h="16838" w:orient="portrait"/>
          <w:cols w:equalWidth="0" w:num="1">
            <w:col w:w="11240"/>
          </w:cols>
          <w:pgMar w:left="320" w:top="389"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40" w:type="dxa"/>
            <w:vAlign w:val="bottom"/>
            <w:gridSpan w:val="2"/>
          </w:tcPr>
          <w:p>
            <w:pPr>
              <w:spacing w:after="0"/>
              <w:rPr>
                <w:rFonts w:ascii="Arial" w:cs="Arial" w:eastAsia="Arial" w:hAnsi="Arial"/>
                <w:sz w:val="18"/>
                <w:szCs w:val="18"/>
                <w:b w:val="1"/>
                <w:bCs w:val="1"/>
                <w:color w:val="CB233C"/>
              </w:rPr>
            </w:pPr>
            <w:hyperlink w:anchor="page69">
              <w:r>
                <w:rPr>
                  <w:rFonts w:ascii="Arial" w:cs="Arial" w:eastAsia="Arial" w:hAnsi="Arial"/>
                  <w:sz w:val="18"/>
                  <w:szCs w:val="18"/>
                  <w:b w:val="1"/>
                  <w:bCs w:val="1"/>
                  <w:color w:val="CB233C"/>
                </w:rPr>
                <w:t>Equity Compensation Plan Information</w:t>
              </w:r>
            </w:hyperlink>
          </w:p>
        </w:tc>
        <w:tc>
          <w:tcPr>
            <w:tcW w:w="3500" w:type="dxa"/>
            <w:vAlign w:val="bottom"/>
          </w:tcPr>
          <w:p>
            <w:pPr>
              <w:jc w:val="right"/>
              <w:spacing w:after="0"/>
              <w:rPr>
                <w:rFonts w:ascii="Arial" w:cs="Arial" w:eastAsia="Arial" w:hAnsi="Arial"/>
                <w:sz w:val="18"/>
                <w:szCs w:val="18"/>
                <w:b w:val="1"/>
                <w:bCs w:val="1"/>
                <w:color w:val="CB233C"/>
              </w:rPr>
            </w:pPr>
            <w:hyperlink w:anchor="page69">
              <w:r>
                <w:rPr>
                  <w:rFonts w:ascii="Arial" w:cs="Arial" w:eastAsia="Arial" w:hAnsi="Arial"/>
                  <w:sz w:val="18"/>
                  <w:szCs w:val="18"/>
                  <w:b w:val="1"/>
                  <w:bCs w:val="1"/>
                  <w:color w:val="CB233C"/>
                </w:rPr>
                <w:t>64</w:t>
              </w:r>
            </w:hyperlink>
          </w:p>
        </w:tc>
        <w:tc>
          <w:tcPr>
            <w:tcW w:w="0" w:type="dxa"/>
            <w:vAlign w:val="bottom"/>
          </w:tcPr>
          <w:p>
            <w:pPr>
              <w:spacing w:after="0"/>
              <w:rPr>
                <w:sz w:val="1"/>
                <w:szCs w:val="1"/>
                <w:color w:val="auto"/>
              </w:rPr>
            </w:pPr>
          </w:p>
        </w:tc>
      </w:tr>
      <w:tr>
        <w:trPr>
          <w:trHeight w:val="432"/>
        </w:trPr>
        <w:tc>
          <w:tcPr>
            <w:tcW w:w="7740" w:type="dxa"/>
            <w:vAlign w:val="bottom"/>
            <w:gridSpan w:val="2"/>
          </w:tcPr>
          <w:p>
            <w:pPr>
              <w:spacing w:after="0"/>
              <w:rPr>
                <w:rFonts w:ascii="Arial" w:cs="Arial" w:eastAsia="Arial" w:hAnsi="Arial"/>
                <w:sz w:val="18"/>
                <w:szCs w:val="18"/>
                <w:b w:val="1"/>
                <w:bCs w:val="1"/>
                <w:color w:val="CB233C"/>
              </w:rPr>
            </w:pPr>
            <w:hyperlink w:anchor="page69">
              <w:r>
                <w:rPr>
                  <w:rFonts w:ascii="Arial" w:cs="Arial" w:eastAsia="Arial" w:hAnsi="Arial"/>
                  <w:sz w:val="18"/>
                  <w:szCs w:val="18"/>
                  <w:b w:val="1"/>
                  <w:bCs w:val="1"/>
                  <w:color w:val="CB233C"/>
                </w:rPr>
                <w:t>CEO Pay Ratio</w:t>
              </w:r>
            </w:hyperlink>
          </w:p>
        </w:tc>
        <w:tc>
          <w:tcPr>
            <w:tcW w:w="3500" w:type="dxa"/>
            <w:vAlign w:val="bottom"/>
          </w:tcPr>
          <w:p>
            <w:pPr>
              <w:jc w:val="right"/>
              <w:spacing w:after="0"/>
              <w:rPr>
                <w:rFonts w:ascii="Arial" w:cs="Arial" w:eastAsia="Arial" w:hAnsi="Arial"/>
                <w:sz w:val="18"/>
                <w:szCs w:val="18"/>
                <w:b w:val="1"/>
                <w:bCs w:val="1"/>
                <w:color w:val="CB233C"/>
              </w:rPr>
            </w:pPr>
            <w:hyperlink w:anchor="page69">
              <w:r>
                <w:rPr>
                  <w:rFonts w:ascii="Arial" w:cs="Arial" w:eastAsia="Arial" w:hAnsi="Arial"/>
                  <w:sz w:val="18"/>
                  <w:szCs w:val="18"/>
                  <w:b w:val="1"/>
                  <w:bCs w:val="1"/>
                  <w:color w:val="CB233C"/>
                </w:rPr>
                <w:t>64</w:t>
              </w:r>
            </w:hyperlink>
          </w:p>
        </w:tc>
        <w:tc>
          <w:tcPr>
            <w:tcW w:w="0" w:type="dxa"/>
            <w:vAlign w:val="bottom"/>
          </w:tcPr>
          <w:p>
            <w:pPr>
              <w:spacing w:after="0"/>
              <w:rPr>
                <w:sz w:val="1"/>
                <w:szCs w:val="1"/>
                <w:color w:val="auto"/>
              </w:rPr>
            </w:pPr>
          </w:p>
        </w:tc>
      </w:tr>
      <w:tr>
        <w:trPr>
          <w:trHeight w:val="418"/>
        </w:trPr>
        <w:tc>
          <w:tcPr>
            <w:tcW w:w="7740" w:type="dxa"/>
            <w:vAlign w:val="bottom"/>
            <w:gridSpan w:val="2"/>
          </w:tcPr>
          <w:p>
            <w:pPr>
              <w:spacing w:after="0"/>
              <w:rPr>
                <w:rFonts w:ascii="Arial" w:cs="Arial" w:eastAsia="Arial" w:hAnsi="Arial"/>
                <w:sz w:val="18"/>
                <w:szCs w:val="18"/>
                <w:b w:val="1"/>
                <w:bCs w:val="1"/>
                <w:color w:val="CB233C"/>
              </w:rPr>
            </w:pPr>
            <w:hyperlink w:anchor="page70">
              <w:r>
                <w:rPr>
                  <w:rFonts w:ascii="Arial" w:cs="Arial" w:eastAsia="Arial" w:hAnsi="Arial"/>
                  <w:sz w:val="18"/>
                  <w:szCs w:val="18"/>
                  <w:b w:val="1"/>
                  <w:bCs w:val="1"/>
                  <w:color w:val="CB233C"/>
                </w:rPr>
                <w:t>General Information</w:t>
              </w:r>
            </w:hyperlink>
          </w:p>
        </w:tc>
        <w:tc>
          <w:tcPr>
            <w:tcW w:w="3500" w:type="dxa"/>
            <w:vAlign w:val="bottom"/>
          </w:tcPr>
          <w:p>
            <w:pPr>
              <w:jc w:val="right"/>
              <w:spacing w:after="0"/>
              <w:rPr>
                <w:rFonts w:ascii="Arial" w:cs="Arial" w:eastAsia="Arial" w:hAnsi="Arial"/>
                <w:sz w:val="18"/>
                <w:szCs w:val="18"/>
                <w:b w:val="1"/>
                <w:bCs w:val="1"/>
                <w:color w:val="CB233C"/>
              </w:rPr>
            </w:pPr>
            <w:hyperlink w:anchor="page70">
              <w:r>
                <w:rPr>
                  <w:rFonts w:ascii="Arial" w:cs="Arial" w:eastAsia="Arial" w:hAnsi="Arial"/>
                  <w:sz w:val="18"/>
                  <w:szCs w:val="18"/>
                  <w:b w:val="1"/>
                  <w:bCs w:val="1"/>
                  <w:color w:val="CB233C"/>
                </w:rPr>
                <w:t>65</w:t>
              </w:r>
            </w:hyperlink>
          </w:p>
        </w:tc>
        <w:tc>
          <w:tcPr>
            <w:tcW w:w="0" w:type="dxa"/>
            <w:vAlign w:val="bottom"/>
          </w:tcPr>
          <w:p>
            <w:pPr>
              <w:spacing w:after="0"/>
              <w:rPr>
                <w:sz w:val="1"/>
                <w:szCs w:val="1"/>
                <w:color w:val="auto"/>
              </w:rPr>
            </w:pPr>
          </w:p>
        </w:tc>
      </w:tr>
      <w:tr>
        <w:trPr>
          <w:trHeight w:val="392"/>
        </w:trPr>
        <w:tc>
          <w:tcPr>
            <w:tcW w:w="7740" w:type="dxa"/>
            <w:vAlign w:val="bottom"/>
            <w:gridSpan w:val="2"/>
          </w:tcPr>
          <w:p>
            <w:pPr>
              <w:spacing w:after="0"/>
              <w:rPr>
                <w:rFonts w:ascii="Arial" w:cs="Arial" w:eastAsia="Arial" w:hAnsi="Arial"/>
                <w:sz w:val="18"/>
                <w:szCs w:val="18"/>
                <w:b w:val="1"/>
                <w:bCs w:val="1"/>
                <w:color w:val="CB233C"/>
              </w:rPr>
            </w:pPr>
            <w:hyperlink w:anchor="page71">
              <w:r>
                <w:rPr>
                  <w:rFonts w:ascii="Arial" w:cs="Arial" w:eastAsia="Arial" w:hAnsi="Arial"/>
                  <w:sz w:val="18"/>
                  <w:szCs w:val="18"/>
                  <w:b w:val="1"/>
                  <w:bCs w:val="1"/>
                  <w:color w:val="CB233C"/>
                </w:rPr>
                <w:t>Additional Information</w:t>
              </w:r>
            </w:hyperlink>
          </w:p>
        </w:tc>
        <w:tc>
          <w:tcPr>
            <w:tcW w:w="3500" w:type="dxa"/>
            <w:vAlign w:val="bottom"/>
          </w:tcPr>
          <w:p>
            <w:pPr>
              <w:jc w:val="right"/>
              <w:spacing w:after="0"/>
              <w:rPr>
                <w:rFonts w:ascii="Arial" w:cs="Arial" w:eastAsia="Arial" w:hAnsi="Arial"/>
                <w:sz w:val="18"/>
                <w:szCs w:val="18"/>
                <w:b w:val="1"/>
                <w:bCs w:val="1"/>
                <w:color w:val="CB233C"/>
              </w:rPr>
            </w:pPr>
            <w:hyperlink w:anchor="page71">
              <w:r>
                <w:rPr>
                  <w:rFonts w:ascii="Arial" w:cs="Arial" w:eastAsia="Arial" w:hAnsi="Arial"/>
                  <w:sz w:val="18"/>
                  <w:szCs w:val="18"/>
                  <w:b w:val="1"/>
                  <w:bCs w:val="1"/>
                  <w:color w:val="CB233C"/>
                </w:rPr>
                <w:t>66</w:t>
              </w:r>
            </w:hyperlink>
          </w:p>
        </w:tc>
        <w:tc>
          <w:tcPr>
            <w:tcW w:w="0" w:type="dxa"/>
            <w:vAlign w:val="bottom"/>
          </w:tcPr>
          <w:p>
            <w:pPr>
              <w:spacing w:after="0"/>
              <w:rPr>
                <w:sz w:val="1"/>
                <w:szCs w:val="1"/>
                <w:color w:val="auto"/>
              </w:rPr>
            </w:pPr>
          </w:p>
        </w:tc>
      </w:tr>
      <w:tr>
        <w:trPr>
          <w:trHeight w:val="203"/>
        </w:trPr>
        <w:tc>
          <w:tcPr>
            <w:tcW w:w="7740" w:type="dxa"/>
            <w:vAlign w:val="bottom"/>
            <w:gridSpan w:val="2"/>
          </w:tcPr>
          <w:p>
            <w:pPr>
              <w:ind w:left="180"/>
              <w:spacing w:after="0"/>
              <w:rPr>
                <w:rFonts w:ascii="Arial" w:cs="Arial" w:eastAsia="Arial" w:hAnsi="Arial"/>
                <w:sz w:val="16"/>
                <w:szCs w:val="16"/>
                <w:color w:val="auto"/>
              </w:rPr>
            </w:pPr>
            <w:hyperlink w:anchor="page71">
              <w:r>
                <w:rPr>
                  <w:rFonts w:ascii="Arial" w:cs="Arial" w:eastAsia="Arial" w:hAnsi="Arial"/>
                  <w:sz w:val="16"/>
                  <w:szCs w:val="16"/>
                  <w:color w:val="auto"/>
                </w:rPr>
                <w:t>Involvement in Certain Legal Proceedings</w:t>
              </w:r>
            </w:hyperlink>
          </w:p>
        </w:tc>
        <w:tc>
          <w:tcPr>
            <w:tcW w:w="3500" w:type="dxa"/>
            <w:vAlign w:val="bottom"/>
          </w:tcPr>
          <w:p>
            <w:pPr>
              <w:jc w:val="right"/>
              <w:spacing w:after="0"/>
              <w:rPr>
                <w:rFonts w:ascii="Arial" w:cs="Arial" w:eastAsia="Arial" w:hAnsi="Arial"/>
                <w:sz w:val="16"/>
                <w:szCs w:val="16"/>
                <w:color w:val="auto"/>
              </w:rPr>
            </w:pPr>
            <w:hyperlink w:anchor="page71">
              <w:r>
                <w:rPr>
                  <w:rFonts w:ascii="Arial" w:cs="Arial" w:eastAsia="Arial" w:hAnsi="Arial"/>
                  <w:sz w:val="16"/>
                  <w:szCs w:val="16"/>
                  <w:color w:val="auto"/>
                </w:rPr>
                <w:t>66</w:t>
              </w:r>
            </w:hyperlink>
          </w:p>
        </w:tc>
        <w:tc>
          <w:tcPr>
            <w:tcW w:w="0" w:type="dxa"/>
            <w:vAlign w:val="bottom"/>
          </w:tcPr>
          <w:p>
            <w:pPr>
              <w:spacing w:after="0"/>
              <w:rPr>
                <w:sz w:val="1"/>
                <w:szCs w:val="1"/>
                <w:color w:val="auto"/>
              </w:rPr>
            </w:pPr>
          </w:p>
        </w:tc>
      </w:tr>
      <w:tr>
        <w:trPr>
          <w:trHeight w:val="203"/>
        </w:trPr>
        <w:tc>
          <w:tcPr>
            <w:tcW w:w="7740" w:type="dxa"/>
            <w:vAlign w:val="bottom"/>
            <w:gridSpan w:val="2"/>
          </w:tcPr>
          <w:p>
            <w:pPr>
              <w:ind w:left="180"/>
              <w:spacing w:after="0"/>
              <w:rPr>
                <w:rFonts w:ascii="Arial" w:cs="Arial" w:eastAsia="Arial" w:hAnsi="Arial"/>
                <w:sz w:val="16"/>
                <w:szCs w:val="16"/>
                <w:color w:val="auto"/>
              </w:rPr>
            </w:pPr>
            <w:hyperlink w:anchor="page71">
              <w:r>
                <w:rPr>
                  <w:rFonts w:ascii="Arial" w:cs="Arial" w:eastAsia="Arial" w:hAnsi="Arial"/>
                  <w:sz w:val="16"/>
                  <w:szCs w:val="16"/>
                  <w:color w:val="auto"/>
                </w:rPr>
                <w:t>Advance Notice Procedures and Shareholder Proposals</w:t>
              </w:r>
            </w:hyperlink>
          </w:p>
        </w:tc>
        <w:tc>
          <w:tcPr>
            <w:tcW w:w="3500" w:type="dxa"/>
            <w:vAlign w:val="bottom"/>
          </w:tcPr>
          <w:p>
            <w:pPr>
              <w:jc w:val="right"/>
              <w:spacing w:after="0"/>
              <w:rPr>
                <w:rFonts w:ascii="Arial" w:cs="Arial" w:eastAsia="Arial" w:hAnsi="Arial"/>
                <w:sz w:val="16"/>
                <w:szCs w:val="16"/>
                <w:color w:val="auto"/>
              </w:rPr>
            </w:pPr>
            <w:hyperlink w:anchor="page71">
              <w:r>
                <w:rPr>
                  <w:rFonts w:ascii="Arial" w:cs="Arial" w:eastAsia="Arial" w:hAnsi="Arial"/>
                  <w:sz w:val="16"/>
                  <w:szCs w:val="16"/>
                  <w:color w:val="auto"/>
                </w:rPr>
                <w:t>66</w:t>
              </w:r>
            </w:hyperlink>
          </w:p>
        </w:tc>
        <w:tc>
          <w:tcPr>
            <w:tcW w:w="0" w:type="dxa"/>
            <w:vAlign w:val="bottom"/>
          </w:tcPr>
          <w:p>
            <w:pPr>
              <w:spacing w:after="0"/>
              <w:rPr>
                <w:sz w:val="1"/>
                <w:szCs w:val="1"/>
                <w:color w:val="auto"/>
              </w:rPr>
            </w:pPr>
          </w:p>
        </w:tc>
      </w:tr>
      <w:tr>
        <w:trPr>
          <w:trHeight w:val="215"/>
        </w:trPr>
        <w:tc>
          <w:tcPr>
            <w:tcW w:w="7740" w:type="dxa"/>
            <w:vAlign w:val="bottom"/>
            <w:gridSpan w:val="2"/>
          </w:tcPr>
          <w:p>
            <w:pPr>
              <w:ind w:left="180"/>
              <w:spacing w:after="0"/>
              <w:rPr>
                <w:rFonts w:ascii="Arial" w:cs="Arial" w:eastAsia="Arial" w:hAnsi="Arial"/>
                <w:sz w:val="16"/>
                <w:szCs w:val="16"/>
                <w:color w:val="auto"/>
              </w:rPr>
            </w:pPr>
            <w:hyperlink w:anchor="page71">
              <w:r>
                <w:rPr>
                  <w:rFonts w:ascii="Arial" w:cs="Arial" w:eastAsia="Arial" w:hAnsi="Arial"/>
                  <w:sz w:val="16"/>
                  <w:szCs w:val="16"/>
                  <w:color w:val="auto"/>
                </w:rPr>
                <w:t>Proxy Solicitation Costs</w:t>
              </w:r>
            </w:hyperlink>
          </w:p>
        </w:tc>
        <w:tc>
          <w:tcPr>
            <w:tcW w:w="3500" w:type="dxa"/>
            <w:vAlign w:val="bottom"/>
          </w:tcPr>
          <w:p>
            <w:pPr>
              <w:jc w:val="right"/>
              <w:spacing w:after="0"/>
              <w:rPr>
                <w:rFonts w:ascii="Arial" w:cs="Arial" w:eastAsia="Arial" w:hAnsi="Arial"/>
                <w:sz w:val="16"/>
                <w:szCs w:val="16"/>
                <w:color w:val="auto"/>
              </w:rPr>
            </w:pPr>
            <w:hyperlink w:anchor="page71">
              <w:r>
                <w:rPr>
                  <w:rFonts w:ascii="Arial" w:cs="Arial" w:eastAsia="Arial" w:hAnsi="Arial"/>
                  <w:sz w:val="16"/>
                  <w:szCs w:val="16"/>
                  <w:color w:val="auto"/>
                </w:rPr>
                <w:t>66</w:t>
              </w:r>
            </w:hyperlink>
          </w:p>
        </w:tc>
        <w:tc>
          <w:tcPr>
            <w:tcW w:w="0" w:type="dxa"/>
            <w:vAlign w:val="bottom"/>
          </w:tcPr>
          <w:p>
            <w:pPr>
              <w:spacing w:after="0"/>
              <w:rPr>
                <w:sz w:val="1"/>
                <w:szCs w:val="1"/>
                <w:color w:val="auto"/>
              </w:rPr>
            </w:pPr>
          </w:p>
        </w:tc>
      </w:tr>
      <w:tr>
        <w:trPr>
          <w:trHeight w:val="433"/>
        </w:trPr>
        <w:tc>
          <w:tcPr>
            <w:tcW w:w="7740" w:type="dxa"/>
            <w:vAlign w:val="bottom"/>
            <w:gridSpan w:val="2"/>
          </w:tcPr>
          <w:p>
            <w:pPr>
              <w:spacing w:after="0"/>
              <w:rPr>
                <w:rFonts w:ascii="Arial" w:cs="Arial" w:eastAsia="Arial" w:hAnsi="Arial"/>
                <w:sz w:val="18"/>
                <w:szCs w:val="18"/>
                <w:b w:val="1"/>
                <w:bCs w:val="1"/>
                <w:color w:val="CB233C"/>
              </w:rPr>
            </w:pPr>
            <w:hyperlink w:anchor="page72">
              <w:r>
                <w:rPr>
                  <w:rFonts w:ascii="Arial" w:cs="Arial" w:eastAsia="Arial" w:hAnsi="Arial"/>
                  <w:sz w:val="18"/>
                  <w:szCs w:val="18"/>
                  <w:b w:val="1"/>
                  <w:bCs w:val="1"/>
                  <w:color w:val="CB233C"/>
                </w:rPr>
                <w:t>Other Matters</w:t>
              </w:r>
            </w:hyperlink>
          </w:p>
        </w:tc>
        <w:tc>
          <w:tcPr>
            <w:tcW w:w="3500" w:type="dxa"/>
            <w:vAlign w:val="bottom"/>
          </w:tcPr>
          <w:p>
            <w:pPr>
              <w:jc w:val="right"/>
              <w:spacing w:after="0"/>
              <w:rPr>
                <w:rFonts w:ascii="Arial" w:cs="Arial" w:eastAsia="Arial" w:hAnsi="Arial"/>
                <w:sz w:val="18"/>
                <w:szCs w:val="18"/>
                <w:b w:val="1"/>
                <w:bCs w:val="1"/>
                <w:color w:val="CB233C"/>
              </w:rPr>
            </w:pPr>
            <w:hyperlink w:anchor="page72">
              <w:r>
                <w:rPr>
                  <w:rFonts w:ascii="Arial" w:cs="Arial" w:eastAsia="Arial" w:hAnsi="Arial"/>
                  <w:sz w:val="18"/>
                  <w:szCs w:val="18"/>
                  <w:b w:val="1"/>
                  <w:bCs w:val="1"/>
                  <w:color w:val="CB233C"/>
                </w:rPr>
                <w:t>67</w:t>
              </w:r>
            </w:hyperlink>
          </w:p>
        </w:tc>
        <w:tc>
          <w:tcPr>
            <w:tcW w:w="0" w:type="dxa"/>
            <w:vAlign w:val="bottom"/>
          </w:tcPr>
          <w:p>
            <w:pPr>
              <w:spacing w:after="0"/>
              <w:rPr>
                <w:sz w:val="1"/>
                <w:szCs w:val="1"/>
                <w:color w:val="auto"/>
              </w:rPr>
            </w:pPr>
          </w:p>
        </w:tc>
      </w:tr>
      <w:tr>
        <w:trPr>
          <w:trHeight w:val="418"/>
        </w:trPr>
        <w:tc>
          <w:tcPr>
            <w:tcW w:w="7740" w:type="dxa"/>
            <w:vAlign w:val="bottom"/>
            <w:gridSpan w:val="2"/>
          </w:tcPr>
          <w:p>
            <w:pPr>
              <w:spacing w:after="0"/>
              <w:rPr>
                <w:rFonts w:ascii="Arial" w:cs="Arial" w:eastAsia="Arial" w:hAnsi="Arial"/>
                <w:sz w:val="18"/>
                <w:szCs w:val="18"/>
                <w:b w:val="1"/>
                <w:bCs w:val="1"/>
                <w:color w:val="CB233C"/>
              </w:rPr>
            </w:pPr>
            <w:hyperlink w:anchor="page73">
              <w:r>
                <w:rPr>
                  <w:rFonts w:ascii="Arial" w:cs="Arial" w:eastAsia="Arial" w:hAnsi="Arial"/>
                  <w:sz w:val="18"/>
                  <w:szCs w:val="18"/>
                  <w:b w:val="1"/>
                  <w:bCs w:val="1"/>
                  <w:color w:val="CB233C"/>
                </w:rPr>
                <w:t>Directions to the Halliburton Annual Meeting of Shareholders</w:t>
              </w:r>
            </w:hyperlink>
          </w:p>
        </w:tc>
        <w:tc>
          <w:tcPr>
            <w:tcW w:w="3500" w:type="dxa"/>
            <w:vAlign w:val="bottom"/>
          </w:tcPr>
          <w:p>
            <w:pPr>
              <w:jc w:val="right"/>
              <w:spacing w:after="0"/>
              <w:rPr>
                <w:rFonts w:ascii="Arial" w:cs="Arial" w:eastAsia="Arial" w:hAnsi="Arial"/>
                <w:sz w:val="18"/>
                <w:szCs w:val="18"/>
                <w:b w:val="1"/>
                <w:bCs w:val="1"/>
                <w:color w:val="CB233C"/>
              </w:rPr>
            </w:pPr>
            <w:hyperlink w:anchor="page73">
              <w:r>
                <w:rPr>
                  <w:rFonts w:ascii="Arial" w:cs="Arial" w:eastAsia="Arial" w:hAnsi="Arial"/>
                  <w:sz w:val="18"/>
                  <w:szCs w:val="18"/>
                  <w:b w:val="1"/>
                  <w:bCs w:val="1"/>
                  <w:color w:val="CB233C"/>
                </w:rPr>
                <w:t>68</w:t>
              </w:r>
            </w:hyperlink>
          </w:p>
        </w:tc>
        <w:tc>
          <w:tcPr>
            <w:tcW w:w="0" w:type="dxa"/>
            <w:vAlign w:val="bottom"/>
          </w:tcPr>
          <w:p>
            <w:pPr>
              <w:spacing w:after="0"/>
              <w:rPr>
                <w:sz w:val="1"/>
                <w:szCs w:val="1"/>
                <w:color w:val="auto"/>
              </w:rPr>
            </w:pPr>
          </w:p>
        </w:tc>
      </w:tr>
      <w:tr>
        <w:trPr>
          <w:trHeight w:val="258"/>
        </w:trPr>
        <w:tc>
          <w:tcPr>
            <w:tcW w:w="1740" w:type="dxa"/>
            <w:vAlign w:val="bottom"/>
            <w:vMerge w:val="restart"/>
          </w:tcPr>
          <w:p>
            <w:pPr>
              <w:spacing w:after="0"/>
              <w:rPr>
                <w:sz w:val="20"/>
                <w:szCs w:val="20"/>
                <w:color w:val="auto"/>
              </w:rPr>
            </w:pPr>
            <w:r>
              <w:rPr>
                <w:rFonts w:ascii="Arial" w:cs="Arial" w:eastAsia="Arial" w:hAnsi="Arial"/>
                <w:sz w:val="16"/>
                <w:szCs w:val="16"/>
                <w:b w:val="1"/>
                <w:bCs w:val="1"/>
                <w:color w:val="CB233C"/>
              </w:rPr>
              <w:t>www.halliburton.com</w:t>
            </w:r>
          </w:p>
        </w:tc>
        <w:tc>
          <w:tcPr>
            <w:tcW w:w="6000" w:type="dxa"/>
            <w:vAlign w:val="bottom"/>
            <w:tcBorders>
              <w:bottom w:val="single" w:sz="8" w:color="auto"/>
            </w:tcBorders>
          </w:tcPr>
          <w:p>
            <w:pPr>
              <w:spacing w:after="0"/>
              <w:rPr>
                <w:sz w:val="22"/>
                <w:szCs w:val="22"/>
                <w:color w:val="auto"/>
              </w:rPr>
            </w:pPr>
          </w:p>
        </w:tc>
        <w:tc>
          <w:tcPr>
            <w:tcW w:w="3500" w:type="dxa"/>
            <w:vAlign w:val="bottom"/>
            <w:vMerge w:val="restart"/>
          </w:tcPr>
          <w:p>
            <w:pPr>
              <w:jc w:val="right"/>
              <w:spacing w:after="0"/>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   ii</w:t>
            </w:r>
          </w:p>
        </w:tc>
        <w:tc>
          <w:tcPr>
            <w:tcW w:w="0" w:type="dxa"/>
            <w:vAlign w:val="bottom"/>
          </w:tcPr>
          <w:p>
            <w:pPr>
              <w:spacing w:after="0"/>
              <w:rPr>
                <w:sz w:val="1"/>
                <w:szCs w:val="1"/>
                <w:color w:val="auto"/>
              </w:rPr>
            </w:pPr>
          </w:p>
        </w:tc>
      </w:tr>
      <w:tr>
        <w:trPr>
          <w:trHeight w:val="94"/>
        </w:trPr>
        <w:tc>
          <w:tcPr>
            <w:tcW w:w="1740" w:type="dxa"/>
            <w:vAlign w:val="bottom"/>
            <w:vMerge w:val="continue"/>
          </w:tcPr>
          <w:p>
            <w:pPr>
              <w:spacing w:after="0"/>
              <w:rPr>
                <w:sz w:val="8"/>
                <w:szCs w:val="8"/>
                <w:color w:val="auto"/>
              </w:rPr>
            </w:pPr>
          </w:p>
        </w:tc>
        <w:tc>
          <w:tcPr>
            <w:tcW w:w="6000" w:type="dxa"/>
            <w:vAlign w:val="bottom"/>
          </w:tcPr>
          <w:p>
            <w:pPr>
              <w:spacing w:after="0"/>
              <w:rPr>
                <w:sz w:val="8"/>
                <w:szCs w:val="8"/>
                <w:color w:val="auto"/>
              </w:rPr>
            </w:pPr>
          </w:p>
        </w:tc>
        <w:tc>
          <w:tcPr>
            <w:tcW w:w="3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1740" w:type="dxa"/>
            <w:vAlign w:val="bottom"/>
            <w:tcBorders>
              <w:bottom w:val="single" w:sz="8" w:color="C0C0C0"/>
            </w:tcBorders>
          </w:tcPr>
          <w:p>
            <w:pPr>
              <w:spacing w:after="0"/>
              <w:rPr>
                <w:sz w:val="23"/>
                <w:szCs w:val="23"/>
                <w:color w:val="auto"/>
              </w:rPr>
            </w:pPr>
          </w:p>
        </w:tc>
        <w:tc>
          <w:tcPr>
            <w:tcW w:w="6000" w:type="dxa"/>
            <w:vAlign w:val="bottom"/>
            <w:tcBorders>
              <w:bottom w:val="single" w:sz="8" w:color="C0C0C0"/>
            </w:tcBorders>
          </w:tcPr>
          <w:p>
            <w:pPr>
              <w:spacing w:after="0"/>
              <w:rPr>
                <w:sz w:val="23"/>
                <w:szCs w:val="23"/>
                <w:color w:val="auto"/>
              </w:rPr>
            </w:pPr>
          </w:p>
        </w:tc>
        <w:tc>
          <w:tcPr>
            <w:tcW w:w="350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5340"/>
        <w:spacing w:after="0" w:line="257" w:lineRule="auto"/>
        <w:rPr>
          <w:sz w:val="20"/>
          <w:szCs w:val="20"/>
          <w:color w:val="auto"/>
        </w:rPr>
      </w:pPr>
      <w:r>
        <w:rPr>
          <w:rFonts w:ascii="Arial" w:cs="Arial" w:eastAsia="Arial" w:hAnsi="Arial"/>
          <w:sz w:val="47"/>
          <w:szCs w:val="47"/>
          <w:b w:val="1"/>
          <w:bCs w:val="1"/>
          <w:color w:val="CB233C"/>
        </w:rPr>
        <w:t xml:space="preserve">Notice of Annual Meeting </w:t>
      </w:r>
      <w:r>
        <w:rPr>
          <w:rFonts w:ascii="Arial" w:cs="Arial" w:eastAsia="Arial" w:hAnsi="Arial"/>
          <w:sz w:val="47"/>
          <w:szCs w:val="47"/>
          <w:b w:val="1"/>
          <w:bCs w:val="1"/>
          <w:color w:val="000000"/>
        </w:rPr>
        <w:t>of Shareholders to be held May 18, 2022</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CB233C"/>
        </w:rPr>
        <w:t>April 5, 2022</w:t>
      </w:r>
    </w:p>
    <w:p>
      <w:pPr>
        <w:sectPr>
          <w:pgSz w:w="11900" w:h="16838" w:orient="portrait"/>
          <w:cols w:equalWidth="0" w:num="1">
            <w:col w:w="11240"/>
          </w:cols>
          <w:pgMar w:left="320" w:top="238" w:right="339" w:bottom="1440" w:gutter="0" w:footer="0" w:header="0"/>
        </w:sectPr>
      </w:pP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Halliburton Company, a Delaware corporation, will hold its Annual Meeting of Shareholders on Wednesday, May 18, 2022, at 9:00 a.m. Central Daylight Time at its corporate office at 3000 N. Sam Houston Parkway East, Life Center - Auditorium, Houston, Texas 77032.</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CB233C"/>
        </w:rPr>
        <w:t>At the meeting, the shareholders will be asked to consider and act upon the matters discussed in the attached proxy statement as follows:</w:t>
      </w:r>
    </w:p>
    <w:p>
      <w:pPr>
        <w:spacing w:after="0" w:line="133" w:lineRule="exact"/>
        <w:rPr>
          <w:sz w:val="20"/>
          <w:szCs w:val="20"/>
          <w:color w:val="auto"/>
        </w:rPr>
      </w:pPr>
    </w:p>
    <w:p>
      <w:pPr>
        <w:jc w:val="both"/>
        <w:ind w:left="180" w:hanging="172"/>
        <w:spacing w:after="0" w:line="266" w:lineRule="auto"/>
        <w:tabs>
          <w:tab w:leader="none" w:pos="180" w:val="left"/>
        </w:tabs>
        <w:numPr>
          <w:ilvl w:val="0"/>
          <w:numId w:val="1"/>
        </w:numPr>
        <w:rPr>
          <w:rFonts w:ascii="Arial" w:cs="Arial" w:eastAsia="Arial" w:hAnsi="Arial"/>
          <w:sz w:val="16"/>
          <w:szCs w:val="16"/>
          <w:color w:val="CB233C"/>
        </w:rPr>
      </w:pPr>
      <w:r>
        <w:rPr>
          <w:rFonts w:ascii="Arial" w:cs="Arial" w:eastAsia="Arial" w:hAnsi="Arial"/>
          <w:sz w:val="16"/>
          <w:szCs w:val="16"/>
          <w:color w:val="auto"/>
        </w:rPr>
        <w:t>To elect the eleven nominees named in the attached proxy statement as Directors to serve for the ensuing year and until their successors shall be elected and shall qualify.</w:t>
      </w:r>
    </w:p>
    <w:p>
      <w:pPr>
        <w:spacing w:after="0" w:line="36" w:lineRule="exact"/>
        <w:rPr>
          <w:rFonts w:ascii="Arial" w:cs="Arial" w:eastAsia="Arial" w:hAnsi="Arial"/>
          <w:sz w:val="16"/>
          <w:szCs w:val="16"/>
          <w:color w:val="CB233C"/>
        </w:rPr>
      </w:pPr>
    </w:p>
    <w:p>
      <w:pPr>
        <w:jc w:val="both"/>
        <w:ind w:left="180" w:hanging="172"/>
        <w:spacing w:after="0" w:line="259" w:lineRule="auto"/>
        <w:tabs>
          <w:tab w:leader="none" w:pos="180" w:val="left"/>
        </w:tabs>
        <w:numPr>
          <w:ilvl w:val="0"/>
          <w:numId w:val="1"/>
        </w:numPr>
        <w:rPr>
          <w:rFonts w:ascii="Arial" w:cs="Arial" w:eastAsia="Arial" w:hAnsi="Arial"/>
          <w:sz w:val="16"/>
          <w:szCs w:val="16"/>
          <w:color w:val="CB233C"/>
        </w:rPr>
      </w:pPr>
      <w:r>
        <w:rPr>
          <w:rFonts w:ascii="Arial" w:cs="Arial" w:eastAsia="Arial" w:hAnsi="Arial"/>
          <w:sz w:val="16"/>
          <w:szCs w:val="16"/>
          <w:color w:val="auto"/>
        </w:rPr>
        <w:t>To consider and act upon a proposal to ratify the appointment of KPMG LLP as principal independent public accountants to examine the financial statements and books and records of Halliburton for the year ending December 31, 2022.</w:t>
      </w:r>
    </w:p>
    <w:p>
      <w:pPr>
        <w:spacing w:after="0" w:line="42" w:lineRule="exact"/>
        <w:rPr>
          <w:rFonts w:ascii="Arial" w:cs="Arial" w:eastAsia="Arial" w:hAnsi="Arial"/>
          <w:sz w:val="16"/>
          <w:szCs w:val="16"/>
          <w:color w:val="CB233C"/>
        </w:rPr>
      </w:pPr>
    </w:p>
    <w:p>
      <w:pPr>
        <w:ind w:left="180" w:right="20" w:hanging="172"/>
        <w:spacing w:after="0" w:line="286" w:lineRule="auto"/>
        <w:tabs>
          <w:tab w:leader="none" w:pos="180" w:val="left"/>
        </w:tabs>
        <w:numPr>
          <w:ilvl w:val="0"/>
          <w:numId w:val="1"/>
        </w:numPr>
        <w:rPr>
          <w:rFonts w:ascii="Arial" w:cs="Arial" w:eastAsia="Arial" w:hAnsi="Arial"/>
          <w:sz w:val="16"/>
          <w:szCs w:val="16"/>
          <w:color w:val="CB233C"/>
        </w:rPr>
      </w:pPr>
      <w:r>
        <w:rPr>
          <w:rFonts w:ascii="Arial" w:cs="Arial" w:eastAsia="Arial" w:hAnsi="Arial"/>
          <w:sz w:val="16"/>
          <w:szCs w:val="16"/>
          <w:color w:val="auto"/>
        </w:rPr>
        <w:t>To consider and act upon advisory approval of our executive compensation.</w:t>
      </w:r>
    </w:p>
    <w:p>
      <w:pPr>
        <w:spacing w:after="0" w:line="20" w:lineRule="exact"/>
        <w:rPr>
          <w:rFonts w:ascii="Arial" w:cs="Arial" w:eastAsia="Arial" w:hAnsi="Arial"/>
          <w:sz w:val="16"/>
          <w:szCs w:val="16"/>
          <w:color w:val="CB233C"/>
        </w:rPr>
      </w:pPr>
    </w:p>
    <w:p>
      <w:pPr>
        <w:ind w:left="180" w:hanging="172"/>
        <w:spacing w:after="0" w:line="286" w:lineRule="auto"/>
        <w:tabs>
          <w:tab w:leader="none" w:pos="180" w:val="left"/>
        </w:tabs>
        <w:numPr>
          <w:ilvl w:val="0"/>
          <w:numId w:val="1"/>
        </w:numPr>
        <w:rPr>
          <w:rFonts w:ascii="Arial" w:cs="Arial" w:eastAsia="Arial" w:hAnsi="Arial"/>
          <w:sz w:val="16"/>
          <w:szCs w:val="16"/>
          <w:color w:val="CB233C"/>
        </w:rPr>
      </w:pPr>
      <w:r>
        <w:rPr>
          <w:rFonts w:ascii="Arial" w:cs="Arial" w:eastAsia="Arial" w:hAnsi="Arial"/>
          <w:sz w:val="16"/>
          <w:szCs w:val="16"/>
          <w:color w:val="auto"/>
        </w:rPr>
        <w:t>To transact any other business that properly comes before the meeting or any adjournment or adjournments of the meeting.</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These items are fully described in the following pages, which are made a part of this Notice. The Board of Directors has set the close of business on March 21, 2022, as the record date for the determination of shareholders entitled to notice of and to vote at the meeting and at any adjournment of the meeting.</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CB233C"/>
        </w:rPr>
        <w:t>Internet Availability of Proxy Materials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or about April 5, 2022, we mailed our shareholders a Notice of Internet Availability of Proxy Materials containing instructions on how to access our 2022 proxy statement and 2021 Annual Report on Form 10-K and how to vote online. The notice also provides instruction on how you can request a paper copy of these documents if you desire. If you received your Annual Meeting materials via e-mail, the e-mail contains voting instructions and links to the proxy statement and Form 10-K on the Internet.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CB233C"/>
        </w:rPr>
        <w:t>If You Plan to Attend</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auto"/>
        </w:rPr>
        <w:t>Attendance at the meeting is limited to shareholders and one guest each. Admission will be on a first-come, first-served basis. Registration will begin at 8:00 a.m., and the meeting will begin at 9:00 a.m. Each shareholder holding stock in a brokerage account will need to bring a copy of a brokerage statement reflecting stock ownership as of the record date. Please note that you will be asked to present valid picture identification, such as a driver’s license or passport.</w:t>
      </w:r>
    </w:p>
    <w:p>
      <w:pPr>
        <w:spacing w:after="0" w:line="149"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72390</wp:posOffset>
            </wp:positionV>
            <wp:extent cx="1114425"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442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Van H. Beckwith</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Executive Vice President, Secretary and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224790</wp:posOffset>
            </wp:positionV>
            <wp:extent cx="7132320" cy="1345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45565"/>
                    </a:xfrm>
                    <a:prstGeom prst="rect">
                      <a:avLst/>
                    </a:prstGeom>
                    <a:noFill/>
                  </pic:spPr>
                </pic:pic>
              </a:graphicData>
            </a:graphic>
          </wp:anchor>
        </w:drawing>
      </w:r>
    </w:p>
    <w:p>
      <w:pPr>
        <w:spacing w:after="0" w:line="387" w:lineRule="exact"/>
        <w:rPr>
          <w:sz w:val="20"/>
          <w:szCs w:val="20"/>
          <w:color w:val="auto"/>
        </w:rPr>
      </w:pPr>
    </w:p>
    <w:p>
      <w:pPr>
        <w:sectPr>
          <w:pgSz w:w="11900" w:h="16838" w:orient="portrait"/>
          <w:cols w:equalWidth="0" w:num="2">
            <w:col w:w="5400" w:space="440"/>
            <w:col w:w="5400"/>
          </w:cols>
          <w:pgMar w:left="320" w:top="238" w:right="339" w:bottom="1440" w:gutter="0" w:footer="0" w:header="0"/>
          <w:type w:val="continuous"/>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You can vote by any of the following methods: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2040" w:type="dxa"/>
            <w:vAlign w:val="bottom"/>
          </w:tcPr>
          <w:p>
            <w:pPr>
              <w:jc w:val="center"/>
              <w:ind w:right="368"/>
              <w:spacing w:after="0"/>
              <w:rPr>
                <w:sz w:val="20"/>
                <w:szCs w:val="20"/>
                <w:color w:val="auto"/>
              </w:rPr>
            </w:pPr>
            <w:r>
              <w:rPr>
                <w:rFonts w:ascii="Arial" w:cs="Arial" w:eastAsia="Arial" w:hAnsi="Arial"/>
                <w:sz w:val="14"/>
                <w:szCs w:val="14"/>
                <w:b w:val="1"/>
                <w:bCs w:val="1"/>
                <w:color w:val="auto"/>
              </w:rPr>
              <w:t>INTERNET</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rPr>
              <w:t>BY TELEPHONE</w:t>
            </w:r>
          </w:p>
        </w:tc>
        <w:tc>
          <w:tcPr>
            <w:tcW w:w="3500" w:type="dxa"/>
            <w:vAlign w:val="bottom"/>
          </w:tcPr>
          <w:p>
            <w:pPr>
              <w:jc w:val="center"/>
              <w:ind w:right="108"/>
              <w:spacing w:after="0"/>
              <w:rPr>
                <w:sz w:val="20"/>
                <w:szCs w:val="20"/>
                <w:color w:val="auto"/>
              </w:rPr>
            </w:pPr>
            <w:r>
              <w:rPr>
                <w:rFonts w:ascii="Arial" w:cs="Arial" w:eastAsia="Arial" w:hAnsi="Arial"/>
                <w:sz w:val="14"/>
                <w:szCs w:val="14"/>
                <w:b w:val="1"/>
                <w:bCs w:val="1"/>
                <w:color w:val="auto"/>
              </w:rPr>
              <w:t>BY MAIL</w:t>
            </w:r>
          </w:p>
        </w:tc>
        <w:tc>
          <w:tcPr>
            <w:tcW w:w="1980" w:type="dxa"/>
            <w:vAlign w:val="bottom"/>
          </w:tcPr>
          <w:p>
            <w:pPr>
              <w:jc w:val="center"/>
              <w:ind w:left="528"/>
              <w:spacing w:after="0"/>
              <w:rPr>
                <w:sz w:val="20"/>
                <w:szCs w:val="20"/>
                <w:color w:val="auto"/>
              </w:rPr>
            </w:pPr>
            <w:r>
              <w:rPr>
                <w:rFonts w:ascii="Arial" w:cs="Arial" w:eastAsia="Arial" w:hAnsi="Arial"/>
                <w:sz w:val="14"/>
                <w:szCs w:val="14"/>
                <w:b w:val="1"/>
                <w:bCs w:val="1"/>
                <w:color w:val="auto"/>
              </w:rPr>
              <w:t>IN PERSON</w:t>
            </w:r>
          </w:p>
        </w:tc>
      </w:tr>
      <w:tr>
        <w:trPr>
          <w:trHeight w:val="162"/>
        </w:trPr>
        <w:tc>
          <w:tcPr>
            <w:tcW w:w="2040" w:type="dxa"/>
            <w:vAlign w:val="bottom"/>
          </w:tcPr>
          <w:p>
            <w:pPr>
              <w:jc w:val="center"/>
              <w:ind w:right="368"/>
              <w:spacing w:after="0"/>
              <w:rPr>
                <w:sz w:val="20"/>
                <w:szCs w:val="20"/>
                <w:color w:val="auto"/>
              </w:rPr>
            </w:pPr>
            <w:r>
              <w:rPr>
                <w:rFonts w:ascii="Arial" w:cs="Arial" w:eastAsia="Arial" w:hAnsi="Arial"/>
                <w:sz w:val="14"/>
                <w:szCs w:val="14"/>
                <w:b w:val="1"/>
                <w:bCs w:val="1"/>
                <w:color w:val="auto"/>
              </w:rPr>
              <w:t>www.proxyvote.com</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rPr>
              <w:t>until 11:59 p.m.</w:t>
            </w:r>
          </w:p>
        </w:tc>
        <w:tc>
          <w:tcPr>
            <w:tcW w:w="3500" w:type="dxa"/>
            <w:vAlign w:val="bottom"/>
          </w:tcPr>
          <w:p>
            <w:pPr>
              <w:jc w:val="center"/>
              <w:ind w:right="108"/>
              <w:spacing w:after="0"/>
              <w:rPr>
                <w:sz w:val="20"/>
                <w:szCs w:val="20"/>
                <w:color w:val="auto"/>
              </w:rPr>
            </w:pPr>
            <w:r>
              <w:rPr>
                <w:rFonts w:ascii="Arial" w:cs="Arial" w:eastAsia="Arial" w:hAnsi="Arial"/>
                <w:sz w:val="14"/>
                <w:szCs w:val="14"/>
                <w:color w:val="auto"/>
              </w:rPr>
              <w:t>Completing, signing, and returning your</w:t>
            </w:r>
          </w:p>
        </w:tc>
        <w:tc>
          <w:tcPr>
            <w:tcW w:w="1980" w:type="dxa"/>
            <w:vAlign w:val="bottom"/>
          </w:tcPr>
          <w:p>
            <w:pPr>
              <w:jc w:val="center"/>
              <w:ind w:left="528"/>
              <w:spacing w:after="0"/>
              <w:rPr>
                <w:sz w:val="20"/>
                <w:szCs w:val="20"/>
                <w:color w:val="auto"/>
              </w:rPr>
            </w:pPr>
            <w:r>
              <w:rPr>
                <w:rFonts w:ascii="Arial" w:cs="Arial" w:eastAsia="Arial" w:hAnsi="Arial"/>
                <w:sz w:val="14"/>
                <w:szCs w:val="14"/>
                <w:color w:val="auto"/>
              </w:rPr>
              <w:t>at the annual meeting</w:t>
            </w:r>
          </w:p>
        </w:tc>
      </w:tr>
      <w:tr>
        <w:trPr>
          <w:trHeight w:val="162"/>
        </w:trPr>
        <w:tc>
          <w:tcPr>
            <w:tcW w:w="2040" w:type="dxa"/>
            <w:vAlign w:val="bottom"/>
          </w:tcPr>
          <w:p>
            <w:pPr>
              <w:jc w:val="center"/>
              <w:ind w:right="408"/>
              <w:spacing w:after="0"/>
              <w:rPr>
                <w:sz w:val="20"/>
                <w:szCs w:val="20"/>
                <w:color w:val="auto"/>
              </w:rPr>
            </w:pPr>
            <w:r>
              <w:rPr>
                <w:rFonts w:ascii="Arial" w:cs="Arial" w:eastAsia="Arial" w:hAnsi="Arial"/>
                <w:sz w:val="14"/>
                <w:szCs w:val="14"/>
                <w:b w:val="1"/>
                <w:bCs w:val="1"/>
                <w:color w:val="auto"/>
              </w:rPr>
              <w:t>until 11:59 p.m.</w:t>
            </w:r>
          </w:p>
        </w:tc>
        <w:tc>
          <w:tcPr>
            <w:tcW w:w="2440" w:type="dxa"/>
            <w:vAlign w:val="bottom"/>
          </w:tcPr>
          <w:p>
            <w:pPr>
              <w:jc w:val="center"/>
              <w:spacing w:after="0"/>
              <w:rPr>
                <w:sz w:val="20"/>
                <w:szCs w:val="20"/>
                <w:color w:val="auto"/>
              </w:rPr>
            </w:pPr>
            <w:r>
              <w:rPr>
                <w:rFonts w:ascii="Arial" w:cs="Arial" w:eastAsia="Arial" w:hAnsi="Arial"/>
                <w:sz w:val="14"/>
                <w:szCs w:val="14"/>
                <w:color w:val="auto"/>
              </w:rPr>
              <w:t>Eastern Daylight Time on</w:t>
            </w:r>
          </w:p>
        </w:tc>
        <w:tc>
          <w:tcPr>
            <w:tcW w:w="3500" w:type="dxa"/>
            <w:vAlign w:val="bottom"/>
          </w:tcPr>
          <w:p>
            <w:pPr>
              <w:jc w:val="center"/>
              <w:ind w:right="148"/>
              <w:spacing w:after="0"/>
              <w:rPr>
                <w:sz w:val="20"/>
                <w:szCs w:val="20"/>
                <w:color w:val="auto"/>
              </w:rPr>
            </w:pPr>
            <w:r>
              <w:rPr>
                <w:rFonts w:ascii="Arial" w:cs="Arial" w:eastAsia="Arial" w:hAnsi="Arial"/>
                <w:sz w:val="14"/>
                <w:szCs w:val="14"/>
                <w:color w:val="auto"/>
              </w:rPr>
              <w:t>proxy or voting instruction card</w:t>
            </w:r>
          </w:p>
        </w:tc>
        <w:tc>
          <w:tcPr>
            <w:tcW w:w="1980" w:type="dxa"/>
            <w:vAlign w:val="bottom"/>
          </w:tcPr>
          <w:p>
            <w:pPr>
              <w:spacing w:after="0"/>
              <w:rPr>
                <w:sz w:val="14"/>
                <w:szCs w:val="14"/>
                <w:color w:val="auto"/>
              </w:rPr>
            </w:pPr>
          </w:p>
        </w:tc>
      </w:tr>
      <w:tr>
        <w:trPr>
          <w:trHeight w:val="162"/>
        </w:trPr>
        <w:tc>
          <w:tcPr>
            <w:tcW w:w="2040" w:type="dxa"/>
            <w:vAlign w:val="bottom"/>
          </w:tcPr>
          <w:p>
            <w:pPr>
              <w:jc w:val="center"/>
              <w:ind w:right="368"/>
              <w:spacing w:after="0"/>
              <w:rPr>
                <w:sz w:val="20"/>
                <w:szCs w:val="20"/>
                <w:color w:val="auto"/>
              </w:rPr>
            </w:pPr>
            <w:r>
              <w:rPr>
                <w:rFonts w:ascii="Arial" w:cs="Arial" w:eastAsia="Arial" w:hAnsi="Arial"/>
                <w:sz w:val="14"/>
                <w:szCs w:val="14"/>
                <w:color w:val="auto"/>
              </w:rPr>
              <w:t>Eastern Daylight Time on</w:t>
            </w:r>
          </w:p>
        </w:tc>
        <w:tc>
          <w:tcPr>
            <w:tcW w:w="2440" w:type="dxa"/>
            <w:vAlign w:val="bottom"/>
          </w:tcPr>
          <w:p>
            <w:pPr>
              <w:ind w:left="780"/>
              <w:spacing w:after="0"/>
              <w:rPr>
                <w:sz w:val="20"/>
                <w:szCs w:val="20"/>
                <w:color w:val="auto"/>
              </w:rPr>
            </w:pPr>
            <w:r>
              <w:rPr>
                <w:rFonts w:ascii="Arial" w:cs="Arial" w:eastAsia="Arial" w:hAnsi="Arial"/>
                <w:sz w:val="14"/>
                <w:szCs w:val="14"/>
                <w:color w:val="auto"/>
              </w:rPr>
              <w:t>May 17, 2022</w:t>
            </w:r>
          </w:p>
        </w:tc>
        <w:tc>
          <w:tcPr>
            <w:tcW w:w="3500" w:type="dxa"/>
            <w:vAlign w:val="bottom"/>
          </w:tcPr>
          <w:p>
            <w:pPr>
              <w:jc w:val="center"/>
              <w:ind w:right="108"/>
              <w:spacing w:after="0"/>
              <w:rPr>
                <w:sz w:val="20"/>
                <w:szCs w:val="20"/>
                <w:color w:val="auto"/>
              </w:rPr>
            </w:pPr>
            <w:r>
              <w:rPr>
                <w:rFonts w:ascii="Arial" w:cs="Arial" w:eastAsia="Arial" w:hAnsi="Arial"/>
                <w:sz w:val="14"/>
                <w:szCs w:val="14"/>
                <w:b w:val="1"/>
                <w:bCs w:val="1"/>
                <w:color w:val="auto"/>
              </w:rPr>
              <w:t>before May 18, 2022</w:t>
            </w:r>
          </w:p>
        </w:tc>
        <w:tc>
          <w:tcPr>
            <w:tcW w:w="1980" w:type="dxa"/>
            <w:vAlign w:val="bottom"/>
          </w:tcPr>
          <w:p>
            <w:pPr>
              <w:spacing w:after="0"/>
              <w:rPr>
                <w:sz w:val="14"/>
                <w:szCs w:val="14"/>
                <w:color w:val="auto"/>
              </w:rPr>
            </w:pPr>
          </w:p>
        </w:tc>
      </w:tr>
      <w:tr>
        <w:trPr>
          <w:trHeight w:val="190"/>
        </w:trPr>
        <w:tc>
          <w:tcPr>
            <w:tcW w:w="2040" w:type="dxa"/>
            <w:vAlign w:val="bottom"/>
          </w:tcPr>
          <w:p>
            <w:pPr>
              <w:jc w:val="center"/>
              <w:ind w:right="368"/>
              <w:spacing w:after="0"/>
              <w:rPr>
                <w:sz w:val="20"/>
                <w:szCs w:val="20"/>
                <w:color w:val="auto"/>
              </w:rPr>
            </w:pPr>
            <w:r>
              <w:rPr>
                <w:rFonts w:ascii="Arial" w:cs="Arial" w:eastAsia="Arial" w:hAnsi="Arial"/>
                <w:sz w:val="14"/>
                <w:szCs w:val="14"/>
                <w:color w:val="auto"/>
              </w:rPr>
              <w:t>May 17, 2022</w:t>
            </w:r>
          </w:p>
        </w:tc>
        <w:tc>
          <w:tcPr>
            <w:tcW w:w="24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980" w:type="dxa"/>
            <w:vAlign w:val="bottom"/>
          </w:tcPr>
          <w:p>
            <w:pPr>
              <w:spacing w:after="0"/>
              <w:rPr>
                <w:sz w:val="16"/>
                <w:szCs w:val="16"/>
                <w:color w:val="auto"/>
              </w:rPr>
            </w:pPr>
          </w:p>
        </w:tc>
      </w:tr>
    </w:tbl>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80" w:type="dxa"/>
            <w:vAlign w:val="bottom"/>
          </w:tcPr>
          <w:p>
            <w:pPr>
              <w:spacing w:after="0"/>
              <w:rPr>
                <w:sz w:val="20"/>
                <w:szCs w:val="20"/>
                <w:color w:val="auto"/>
              </w:rPr>
            </w:pPr>
            <w:r>
              <w:rPr>
                <w:rFonts w:ascii="Arial" w:cs="Arial" w:eastAsia="Arial" w:hAnsi="Arial"/>
                <w:sz w:val="16"/>
                <w:szCs w:val="16"/>
                <w:color w:val="auto"/>
              </w:rPr>
              <w:t>The following voting matters are described in this proxy statement.</w:t>
            </w:r>
          </w:p>
        </w:tc>
        <w:tc>
          <w:tcPr>
            <w:tcW w:w="30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52"/>
        </w:trPr>
        <w:tc>
          <w:tcPr>
            <w:tcW w:w="6580" w:type="dxa"/>
            <w:vAlign w:val="bottom"/>
          </w:tcPr>
          <w:p>
            <w:pPr>
              <w:spacing w:after="0"/>
              <w:rPr>
                <w:sz w:val="24"/>
                <w:szCs w:val="24"/>
                <w:color w:val="auto"/>
              </w:rPr>
            </w:pPr>
          </w:p>
        </w:tc>
        <w:tc>
          <w:tcPr>
            <w:tcW w:w="3020" w:type="dxa"/>
            <w:vAlign w:val="bottom"/>
          </w:tcPr>
          <w:p>
            <w:pPr>
              <w:jc w:val="right"/>
              <w:ind w:right="299"/>
              <w:spacing w:after="0"/>
              <w:rPr>
                <w:sz w:val="20"/>
                <w:szCs w:val="20"/>
                <w:color w:val="auto"/>
              </w:rPr>
            </w:pPr>
            <w:r>
              <w:rPr>
                <w:rFonts w:ascii="Arial" w:cs="Arial" w:eastAsia="Arial" w:hAnsi="Arial"/>
                <w:sz w:val="16"/>
                <w:szCs w:val="16"/>
                <w:b w:val="1"/>
                <w:bCs w:val="1"/>
                <w:color w:val="auto"/>
              </w:rPr>
              <w:t>Board Vote</w:t>
            </w:r>
          </w:p>
        </w:tc>
        <w:tc>
          <w:tcPr>
            <w:tcW w:w="1640" w:type="dxa"/>
            <w:vAlign w:val="bottom"/>
          </w:tcPr>
          <w:p>
            <w:pPr>
              <w:spacing w:after="0"/>
              <w:rPr>
                <w:sz w:val="24"/>
                <w:szCs w:val="24"/>
                <w:color w:val="auto"/>
              </w:rPr>
            </w:pPr>
          </w:p>
        </w:tc>
      </w:tr>
      <w:tr>
        <w:trPr>
          <w:trHeight w:val="203"/>
        </w:trPr>
        <w:tc>
          <w:tcPr>
            <w:tcW w:w="6580" w:type="dxa"/>
            <w:vAlign w:val="bottom"/>
            <w:tcBorders>
              <w:bottom w:val="single" w:sz="8" w:color="CB233C"/>
            </w:tcBorders>
          </w:tcPr>
          <w:p>
            <w:pPr>
              <w:spacing w:after="0"/>
              <w:rPr>
                <w:sz w:val="17"/>
                <w:szCs w:val="17"/>
                <w:color w:val="auto"/>
              </w:rPr>
            </w:pPr>
          </w:p>
        </w:tc>
        <w:tc>
          <w:tcPr>
            <w:tcW w:w="3020" w:type="dxa"/>
            <w:vAlign w:val="bottom"/>
            <w:tcBorders>
              <w:bottom w:val="single" w:sz="8" w:color="CB233C"/>
            </w:tcBorders>
          </w:tcPr>
          <w:p>
            <w:pPr>
              <w:jc w:val="right"/>
              <w:ind w:right="299"/>
              <w:spacing w:after="0"/>
              <w:rPr>
                <w:sz w:val="20"/>
                <w:szCs w:val="20"/>
                <w:color w:val="auto"/>
              </w:rPr>
            </w:pPr>
            <w:r>
              <w:rPr>
                <w:rFonts w:ascii="Arial" w:cs="Arial" w:eastAsia="Arial" w:hAnsi="Arial"/>
                <w:sz w:val="16"/>
                <w:szCs w:val="16"/>
                <w:b w:val="1"/>
                <w:bCs w:val="1"/>
                <w:color w:val="auto"/>
              </w:rPr>
              <w:t>Recommendation</w:t>
            </w:r>
          </w:p>
        </w:tc>
        <w:tc>
          <w:tcPr>
            <w:tcW w:w="164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Page Reference</w:t>
            </w:r>
          </w:p>
        </w:tc>
      </w:tr>
      <w:tr>
        <w:trPr>
          <w:trHeight w:val="196"/>
        </w:trPr>
        <w:tc>
          <w:tcPr>
            <w:tcW w:w="6580" w:type="dxa"/>
            <w:vAlign w:val="bottom"/>
            <w:shd w:val="clear" w:color="auto" w:fill="EBECEE"/>
          </w:tcPr>
          <w:p>
            <w:pPr>
              <w:ind w:left="60"/>
              <w:spacing w:after="0"/>
              <w:rPr>
                <w:sz w:val="20"/>
                <w:szCs w:val="20"/>
                <w:color w:val="auto"/>
              </w:rPr>
            </w:pPr>
            <w:r>
              <w:rPr>
                <w:rFonts w:ascii="Arial" w:cs="Arial" w:eastAsia="Arial" w:hAnsi="Arial"/>
                <w:sz w:val="16"/>
                <w:szCs w:val="16"/>
                <w:b w:val="1"/>
                <w:bCs w:val="1"/>
                <w:color w:val="auto"/>
              </w:rPr>
              <w:t>Election of Directors</w:t>
            </w:r>
          </w:p>
        </w:tc>
        <w:tc>
          <w:tcPr>
            <w:tcW w:w="3020" w:type="dxa"/>
            <w:vAlign w:val="bottom"/>
            <w:shd w:val="clear" w:color="auto" w:fill="EBECEE"/>
          </w:tcPr>
          <w:p>
            <w:pPr>
              <w:jc w:val="right"/>
              <w:ind w:right="299"/>
              <w:spacing w:after="0"/>
              <w:rPr>
                <w:sz w:val="20"/>
                <w:szCs w:val="20"/>
                <w:color w:val="auto"/>
              </w:rPr>
            </w:pPr>
            <w:r>
              <w:rPr>
                <w:rFonts w:ascii="Arial" w:cs="Arial" w:eastAsia="Arial" w:hAnsi="Arial"/>
                <w:sz w:val="16"/>
                <w:szCs w:val="16"/>
                <w:b w:val="1"/>
                <w:bCs w:val="1"/>
                <w:color w:val="CB233C"/>
              </w:rPr>
              <w:t xml:space="preserve">FOR </w:t>
            </w:r>
            <w:r>
              <w:rPr>
                <w:rFonts w:ascii="Arial" w:cs="Arial" w:eastAsia="Arial" w:hAnsi="Arial"/>
                <w:sz w:val="16"/>
                <w:szCs w:val="16"/>
                <w:color w:val="000000"/>
              </w:rPr>
              <w:t>Each Nominee</w:t>
            </w:r>
          </w:p>
        </w:tc>
        <w:tc>
          <w:tcPr>
            <w:tcW w:w="1640" w:type="dxa"/>
            <w:vAlign w:val="bottom"/>
            <w:shd w:val="clear" w:color="auto" w:fill="EBECEE"/>
          </w:tcPr>
          <w:p>
            <w:pPr>
              <w:jc w:val="right"/>
              <w:spacing w:after="0"/>
              <w:rPr>
                <w:sz w:val="20"/>
                <w:szCs w:val="20"/>
                <w:color w:val="auto"/>
              </w:rPr>
            </w:pPr>
            <w:r>
              <w:rPr>
                <w:rFonts w:ascii="Arial" w:cs="Arial" w:eastAsia="Arial" w:hAnsi="Arial"/>
                <w:sz w:val="16"/>
                <w:szCs w:val="16"/>
                <w:color w:val="auto"/>
              </w:rPr>
              <w:t>15</w:t>
            </w:r>
          </w:p>
        </w:tc>
      </w:tr>
      <w:tr>
        <w:trPr>
          <w:trHeight w:val="203"/>
        </w:trPr>
        <w:tc>
          <w:tcPr>
            <w:tcW w:w="6580" w:type="dxa"/>
            <w:vAlign w:val="bottom"/>
          </w:tcPr>
          <w:p>
            <w:pPr>
              <w:ind w:left="60"/>
              <w:spacing w:after="0"/>
              <w:rPr>
                <w:sz w:val="20"/>
                <w:szCs w:val="20"/>
                <w:color w:val="auto"/>
              </w:rPr>
            </w:pPr>
            <w:r>
              <w:rPr>
                <w:rFonts w:ascii="Arial" w:cs="Arial" w:eastAsia="Arial" w:hAnsi="Arial"/>
                <w:sz w:val="16"/>
                <w:szCs w:val="16"/>
                <w:b w:val="1"/>
                <w:bCs w:val="1"/>
                <w:color w:val="auto"/>
              </w:rPr>
              <w:t>Ratification of Selection of Principal Independent Public Accountants</w:t>
            </w:r>
          </w:p>
        </w:tc>
        <w:tc>
          <w:tcPr>
            <w:tcW w:w="3020" w:type="dxa"/>
            <w:vAlign w:val="bottom"/>
          </w:tcPr>
          <w:p>
            <w:pPr>
              <w:jc w:val="right"/>
              <w:ind w:right="1079"/>
              <w:spacing w:after="0"/>
              <w:rPr>
                <w:sz w:val="20"/>
                <w:szCs w:val="20"/>
                <w:color w:val="auto"/>
              </w:rPr>
            </w:pPr>
            <w:r>
              <w:rPr>
                <w:rFonts w:ascii="Arial" w:cs="Arial" w:eastAsia="Arial" w:hAnsi="Arial"/>
                <w:sz w:val="16"/>
                <w:szCs w:val="16"/>
                <w:b w:val="1"/>
                <w:bCs w:val="1"/>
                <w:color w:val="CB233C"/>
              </w:rPr>
              <w:t>FOR</w:t>
            </w:r>
          </w:p>
        </w:tc>
        <w:tc>
          <w:tcPr>
            <w:tcW w:w="16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2"/>
        </w:trPr>
        <w:tc>
          <w:tcPr>
            <w:tcW w:w="6580" w:type="dxa"/>
            <w:vAlign w:val="bottom"/>
            <w:tcBorders>
              <w:bottom w:val="single" w:sz="8" w:color="CB233C"/>
            </w:tcBorders>
            <w:shd w:val="clear" w:color="auto" w:fill="EBECEE"/>
          </w:tcPr>
          <w:p>
            <w:pPr>
              <w:ind w:left="60"/>
              <w:spacing w:after="0"/>
              <w:rPr>
                <w:sz w:val="20"/>
                <w:szCs w:val="20"/>
                <w:color w:val="auto"/>
              </w:rPr>
            </w:pPr>
            <w:r>
              <w:rPr>
                <w:rFonts w:ascii="Arial" w:cs="Arial" w:eastAsia="Arial" w:hAnsi="Arial"/>
                <w:sz w:val="16"/>
                <w:szCs w:val="16"/>
                <w:b w:val="1"/>
                <w:bCs w:val="1"/>
                <w:color w:val="auto"/>
              </w:rPr>
              <w:t>Advisory Approval of Executive Compensation</w:t>
            </w:r>
          </w:p>
        </w:tc>
        <w:tc>
          <w:tcPr>
            <w:tcW w:w="3020" w:type="dxa"/>
            <w:vAlign w:val="bottom"/>
            <w:tcBorders>
              <w:bottom w:val="single" w:sz="8" w:color="CB233C"/>
            </w:tcBorders>
            <w:shd w:val="clear" w:color="auto" w:fill="EBECEE"/>
          </w:tcPr>
          <w:p>
            <w:pPr>
              <w:jc w:val="right"/>
              <w:ind w:right="1079"/>
              <w:spacing w:after="0"/>
              <w:rPr>
                <w:sz w:val="20"/>
                <w:szCs w:val="20"/>
                <w:color w:val="auto"/>
              </w:rPr>
            </w:pPr>
            <w:r>
              <w:rPr>
                <w:rFonts w:ascii="Arial" w:cs="Arial" w:eastAsia="Arial" w:hAnsi="Arial"/>
                <w:sz w:val="16"/>
                <w:szCs w:val="16"/>
                <w:b w:val="1"/>
                <w:bCs w:val="1"/>
                <w:color w:val="CB233C"/>
              </w:rPr>
              <w:t>FOR</w:t>
            </w:r>
          </w:p>
        </w:tc>
        <w:tc>
          <w:tcPr>
            <w:tcW w:w="1640" w:type="dxa"/>
            <w:vAlign w:val="bottom"/>
            <w:tcBorders>
              <w:bottom w:val="single" w:sz="8" w:color="CB233C"/>
            </w:tcBorders>
            <w:shd w:val="clear" w:color="auto" w:fill="EBECEE"/>
          </w:tcPr>
          <w:p>
            <w:pPr>
              <w:jc w:val="right"/>
              <w:spacing w:after="0"/>
              <w:rPr>
                <w:sz w:val="20"/>
                <w:szCs w:val="20"/>
                <w:color w:val="auto"/>
              </w:rPr>
            </w:pPr>
            <w:r>
              <w:rPr>
                <w:rFonts w:ascii="Arial" w:cs="Arial" w:eastAsia="Arial" w:hAnsi="Arial"/>
                <w:sz w:val="16"/>
                <w:szCs w:val="16"/>
                <w:color w:val="auto"/>
              </w:rPr>
              <w:t>30</w:t>
            </w:r>
          </w:p>
        </w:tc>
      </w:tr>
      <w:tr>
        <w:trPr>
          <w:trHeight w:val="271"/>
        </w:trPr>
        <w:tc>
          <w:tcPr>
            <w:tcW w:w="6580" w:type="dxa"/>
            <w:vAlign w:val="bottom"/>
            <w:tcBorders>
              <w:bottom w:val="single" w:sz="8" w:color="C0C0C0"/>
            </w:tcBorders>
          </w:tcPr>
          <w:p>
            <w:pPr>
              <w:spacing w:after="0"/>
              <w:rPr>
                <w:sz w:val="23"/>
                <w:szCs w:val="23"/>
                <w:color w:val="auto"/>
              </w:rPr>
            </w:pPr>
          </w:p>
        </w:tc>
        <w:tc>
          <w:tcPr>
            <w:tcW w:w="3020" w:type="dxa"/>
            <w:vAlign w:val="bottom"/>
            <w:tcBorders>
              <w:bottom w:val="single" w:sz="8" w:color="C0C0C0"/>
            </w:tcBorders>
          </w:tcPr>
          <w:p>
            <w:pPr>
              <w:spacing w:after="0"/>
              <w:rPr>
                <w:sz w:val="23"/>
                <w:szCs w:val="23"/>
                <w:color w:val="auto"/>
              </w:rPr>
            </w:pPr>
          </w:p>
        </w:tc>
        <w:tc>
          <w:tcPr>
            <w:tcW w:w="16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240"/>
          </w:cols>
          <w:pgMar w:left="320" w:top="238" w:right="339" w:bottom="1440" w:gutter="0" w:footer="0" w:header="0"/>
          <w:type w:val="continuous"/>
        </w:sectPr>
      </w:pPr>
    </w:p>
    <w:bookmarkStart w:id="6" w:name="page7"/>
    <w:bookmarkEnd w:id="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CB233C"/>
        </w:rPr>
        <w:t xml:space="preserve">Proxy Statement </w:t>
      </w:r>
      <w:r>
        <w:rPr>
          <w:rFonts w:ascii="Arial" w:cs="Arial" w:eastAsia="Arial" w:hAnsi="Arial"/>
          <w:sz w:val="47"/>
          <w:szCs w:val="47"/>
          <w:b w:val="1"/>
          <w:bCs w:val="1"/>
          <w:color w:val="000000"/>
        </w:rPr>
        <w:t>Summary</w:t>
      </w:r>
    </w:p>
    <w:p>
      <w:pPr>
        <w:spacing w:after="0" w:line="200" w:lineRule="exact"/>
        <w:rPr>
          <w:sz w:val="20"/>
          <w:szCs w:val="20"/>
          <w:color w:val="auto"/>
        </w:rPr>
      </w:pPr>
    </w:p>
    <w:p>
      <w:pPr>
        <w:spacing w:after="0" w:line="24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auto"/>
        </w:rPr>
        <w:t>This summary highlights information contained elsewhere in this proxy statement or as otherwise noted. This summary does not contain all of the information that you should consider, and you should read the entire proxy statement carefully before voting. Page references are supplied to help you find further information in this proxy statement.</w:t>
      </w: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2021 Strategic Priorities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As we began 2021, we identified the following focus areas in our 2020 Form 10-K:</w:t>
      </w:r>
    </w:p>
    <w:p>
      <w:pPr>
        <w:spacing w:after="0" w:line="194" w:lineRule="exact"/>
        <w:rPr>
          <w:sz w:val="20"/>
          <w:szCs w:val="20"/>
          <w:color w:val="auto"/>
        </w:rPr>
      </w:pPr>
    </w:p>
    <w:p>
      <w:pPr>
        <w:ind w:left="180" w:hanging="172"/>
        <w:spacing w:after="0" w:line="286" w:lineRule="auto"/>
        <w:tabs>
          <w:tab w:leader="none" w:pos="180" w:val="left"/>
        </w:tabs>
        <w:numPr>
          <w:ilvl w:val="0"/>
          <w:numId w:val="2"/>
        </w:numPr>
        <w:rPr>
          <w:rFonts w:ascii="Arial" w:cs="Arial" w:eastAsia="Arial" w:hAnsi="Arial"/>
          <w:sz w:val="16"/>
          <w:szCs w:val="16"/>
          <w:color w:val="CB233C"/>
        </w:rPr>
      </w:pPr>
      <w:r>
        <w:rPr>
          <w:rFonts w:ascii="Arial" w:cs="Arial" w:eastAsia="Arial" w:hAnsi="Arial"/>
          <w:sz w:val="16"/>
          <w:szCs w:val="16"/>
          <w:b w:val="1"/>
          <w:bCs w:val="1"/>
          <w:color w:val="CB233C"/>
        </w:rPr>
        <w:t xml:space="preserve">International: </w:t>
      </w:r>
      <w:r>
        <w:rPr>
          <w:rFonts w:ascii="Arial" w:cs="Arial" w:eastAsia="Arial" w:hAnsi="Arial"/>
          <w:sz w:val="16"/>
          <w:szCs w:val="16"/>
          <w:color w:val="000000"/>
        </w:rPr>
        <w:t>We are stronger technically, geographically, and organizationally; we see an unfolding activity recovery and are well positioned to drive</w:t>
      </w:r>
      <w:r>
        <w:rPr>
          <w:rFonts w:ascii="Arial" w:cs="Arial" w:eastAsia="Arial" w:hAnsi="Arial"/>
          <w:sz w:val="16"/>
          <w:szCs w:val="16"/>
          <w:b w:val="1"/>
          <w:bCs w:val="1"/>
          <w:color w:val="CB233C"/>
        </w:rPr>
        <w:t xml:space="preserve"> </w:t>
      </w:r>
      <w:r>
        <w:rPr>
          <w:rFonts w:ascii="Arial" w:cs="Arial" w:eastAsia="Arial" w:hAnsi="Arial"/>
          <w:sz w:val="16"/>
          <w:szCs w:val="16"/>
          <w:color w:val="000000"/>
        </w:rPr>
        <w:t>profitable growth internationally.</w:t>
      </w:r>
    </w:p>
    <w:p>
      <w:pPr>
        <w:spacing w:after="0" w:line="20" w:lineRule="exact"/>
        <w:rPr>
          <w:rFonts w:ascii="Arial" w:cs="Arial" w:eastAsia="Arial" w:hAnsi="Arial"/>
          <w:sz w:val="16"/>
          <w:szCs w:val="16"/>
          <w:color w:val="CB233C"/>
        </w:rPr>
      </w:pPr>
    </w:p>
    <w:p>
      <w:pPr>
        <w:ind w:left="180" w:hanging="172"/>
        <w:spacing w:after="0" w:line="286" w:lineRule="auto"/>
        <w:tabs>
          <w:tab w:leader="none" w:pos="180" w:val="left"/>
        </w:tabs>
        <w:numPr>
          <w:ilvl w:val="0"/>
          <w:numId w:val="2"/>
        </w:numPr>
        <w:rPr>
          <w:rFonts w:ascii="Arial" w:cs="Arial" w:eastAsia="Arial" w:hAnsi="Arial"/>
          <w:sz w:val="16"/>
          <w:szCs w:val="16"/>
          <w:color w:val="CB233C"/>
        </w:rPr>
      </w:pPr>
      <w:r>
        <w:rPr>
          <w:rFonts w:ascii="Arial" w:cs="Arial" w:eastAsia="Arial" w:hAnsi="Arial"/>
          <w:sz w:val="16"/>
          <w:szCs w:val="16"/>
          <w:b w:val="1"/>
          <w:bCs w:val="1"/>
          <w:color w:val="CB233C"/>
        </w:rPr>
        <w:t xml:space="preserve">North America: </w:t>
      </w:r>
      <w:r>
        <w:rPr>
          <w:rFonts w:ascii="Arial" w:cs="Arial" w:eastAsia="Arial" w:hAnsi="Arial"/>
          <w:sz w:val="16"/>
          <w:szCs w:val="16"/>
          <w:color w:val="000000"/>
        </w:rPr>
        <w:t>As operators increase their activity levels to achieve maintenance level production, the operating leverage we have created in North</w:t>
      </w:r>
      <w:r>
        <w:rPr>
          <w:rFonts w:ascii="Arial" w:cs="Arial" w:eastAsia="Arial" w:hAnsi="Arial"/>
          <w:sz w:val="16"/>
          <w:szCs w:val="16"/>
          <w:b w:val="1"/>
          <w:bCs w:val="1"/>
          <w:color w:val="CB233C"/>
        </w:rPr>
        <w:t xml:space="preserve"> </w:t>
      </w:r>
      <w:r>
        <w:rPr>
          <w:rFonts w:ascii="Arial" w:cs="Arial" w:eastAsia="Arial" w:hAnsi="Arial"/>
          <w:sz w:val="16"/>
          <w:szCs w:val="16"/>
          <w:color w:val="000000"/>
        </w:rPr>
        <w:t>America should allow us to increase our operating profits and cash flows.</w:t>
      </w:r>
    </w:p>
    <w:p>
      <w:pPr>
        <w:spacing w:after="0" w:line="20" w:lineRule="exact"/>
        <w:rPr>
          <w:rFonts w:ascii="Arial" w:cs="Arial" w:eastAsia="Arial" w:hAnsi="Arial"/>
          <w:sz w:val="16"/>
          <w:szCs w:val="16"/>
          <w:color w:val="CB233C"/>
        </w:rPr>
      </w:pPr>
    </w:p>
    <w:p>
      <w:pPr>
        <w:ind w:left="180" w:hanging="172"/>
        <w:spacing w:after="0"/>
        <w:tabs>
          <w:tab w:leader="none" w:pos="180" w:val="left"/>
        </w:tabs>
        <w:numPr>
          <w:ilvl w:val="0"/>
          <w:numId w:val="2"/>
        </w:numPr>
        <w:rPr>
          <w:rFonts w:ascii="Arial" w:cs="Arial" w:eastAsia="Arial" w:hAnsi="Arial"/>
          <w:sz w:val="16"/>
          <w:szCs w:val="16"/>
          <w:color w:val="CB233C"/>
        </w:rPr>
      </w:pPr>
      <w:r>
        <w:rPr>
          <w:rFonts w:ascii="Arial" w:cs="Arial" w:eastAsia="Arial" w:hAnsi="Arial"/>
          <w:sz w:val="16"/>
          <w:szCs w:val="16"/>
          <w:b w:val="1"/>
          <w:bCs w:val="1"/>
          <w:color w:val="CB233C"/>
        </w:rPr>
        <w:t xml:space="preserve">Digital: </w:t>
      </w:r>
      <w:r>
        <w:rPr>
          <w:rFonts w:ascii="Arial" w:cs="Arial" w:eastAsia="Arial" w:hAnsi="Arial"/>
          <w:sz w:val="16"/>
          <w:szCs w:val="16"/>
          <w:color w:val="000000"/>
        </w:rPr>
        <w:t>We are positioned to accelerate the deployment and integration of digitally enabled technologies, both internally and for our customers.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2"/>
        </w:numPr>
        <w:rPr>
          <w:rFonts w:ascii="Arial" w:cs="Arial" w:eastAsia="Arial" w:hAnsi="Arial"/>
          <w:sz w:val="16"/>
          <w:szCs w:val="16"/>
          <w:color w:val="CB233C"/>
        </w:rPr>
      </w:pPr>
      <w:r>
        <w:rPr>
          <w:rFonts w:ascii="Arial" w:cs="Arial" w:eastAsia="Arial" w:hAnsi="Arial"/>
          <w:sz w:val="16"/>
          <w:szCs w:val="16"/>
          <w:b w:val="1"/>
          <w:bCs w:val="1"/>
          <w:color w:val="CB233C"/>
        </w:rPr>
        <w:t xml:space="preserve">Capital efficiency: </w:t>
      </w:r>
      <w:r>
        <w:rPr>
          <w:rFonts w:ascii="Arial" w:cs="Arial" w:eastAsia="Arial" w:hAnsi="Arial"/>
          <w:sz w:val="16"/>
          <w:szCs w:val="16"/>
          <w:color w:val="000000"/>
        </w:rPr>
        <w:t>We plan to advance technologies and make strategic choices that lower our capital expenditure profile.</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2"/>
        </w:numPr>
        <w:rPr>
          <w:rFonts w:ascii="Arial" w:cs="Arial" w:eastAsia="Arial" w:hAnsi="Arial"/>
          <w:sz w:val="16"/>
          <w:szCs w:val="16"/>
          <w:color w:val="CB233C"/>
        </w:rPr>
      </w:pPr>
      <w:r>
        <w:rPr>
          <w:rFonts w:ascii="Arial" w:cs="Arial" w:eastAsia="Arial" w:hAnsi="Arial"/>
          <w:sz w:val="16"/>
          <w:szCs w:val="16"/>
          <w:b w:val="1"/>
          <w:bCs w:val="1"/>
          <w:color w:val="CB233C"/>
        </w:rPr>
        <w:t xml:space="preserve">Sustainable energy: </w:t>
      </w:r>
      <w:r>
        <w:rPr>
          <w:rFonts w:ascii="Arial" w:cs="Arial" w:eastAsia="Arial" w:hAnsi="Arial"/>
          <w:sz w:val="16"/>
          <w:szCs w:val="16"/>
          <w:color w:val="000000"/>
        </w:rPr>
        <w:t>We will play an active role in advancing cleaner, affordable energy solutions.</w:t>
      </w:r>
    </w:p>
    <w:p>
      <w:pPr>
        <w:spacing w:after="0" w:line="299"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2021 Performance Overview (pages 38-39)</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So how did we do? Our employees delivered solid execution across every part of our business in 2021 – safety, service quality, and financial results. Despite the challenges of working during a pandemic and global energy demand complexity, they again outperformed and delivered what the world requires – affordable and reliable energy provided by oil and gas – in a safe, efficient, and ethical manner – while minimizing our environmental impact. Here are the highlights for 2021:</w:t>
      </w:r>
    </w:p>
    <w:p>
      <w:pPr>
        <w:spacing w:after="0" w:line="151" w:lineRule="exact"/>
        <w:rPr>
          <w:sz w:val="20"/>
          <w:szCs w:val="20"/>
          <w:color w:val="auto"/>
        </w:rPr>
      </w:pPr>
    </w:p>
    <w:p>
      <w:pPr>
        <w:jc w:val="both"/>
        <w:ind w:left="180" w:hanging="172"/>
        <w:spacing w:after="0" w:line="262" w:lineRule="auto"/>
        <w:tabs>
          <w:tab w:leader="none" w:pos="180" w:val="left"/>
        </w:tabs>
        <w:numPr>
          <w:ilvl w:val="0"/>
          <w:numId w:val="3"/>
        </w:numPr>
        <w:rPr>
          <w:rFonts w:ascii="Arial" w:cs="Arial" w:eastAsia="Arial" w:hAnsi="Arial"/>
          <w:sz w:val="16"/>
          <w:szCs w:val="16"/>
          <w:color w:val="CB233C"/>
        </w:rPr>
      </w:pPr>
      <w:r>
        <w:rPr>
          <w:rFonts w:ascii="Arial" w:cs="Arial" w:eastAsia="Arial" w:hAnsi="Arial"/>
          <w:sz w:val="16"/>
          <w:szCs w:val="16"/>
          <w:b w:val="1"/>
          <w:bCs w:val="1"/>
          <w:color w:val="CB233C"/>
        </w:rPr>
        <w:t xml:space="preserve">Financial: </w:t>
      </w:r>
      <w:r>
        <w:rPr>
          <w:rFonts w:ascii="Arial" w:cs="Arial" w:eastAsia="Arial" w:hAnsi="Arial"/>
          <w:sz w:val="16"/>
          <w:szCs w:val="16"/>
          <w:color w:val="000000"/>
        </w:rPr>
        <w:t>Internationally we delivered profitable growth with revenue and operating income increasing every quarter in 2021. In North America, strong</w:t>
      </w:r>
      <w:r>
        <w:rPr>
          <w:rFonts w:ascii="Arial" w:cs="Arial" w:eastAsia="Arial" w:hAnsi="Arial"/>
          <w:sz w:val="16"/>
          <w:szCs w:val="16"/>
          <w:b w:val="1"/>
          <w:bCs w:val="1"/>
          <w:color w:val="CB233C"/>
        </w:rPr>
        <w:t xml:space="preserve"> </w:t>
      </w:r>
      <w:r>
        <w:rPr>
          <w:rFonts w:ascii="Arial" w:cs="Arial" w:eastAsia="Arial" w:hAnsi="Arial"/>
          <w:sz w:val="16"/>
          <w:szCs w:val="16"/>
          <w:color w:val="000000"/>
        </w:rPr>
        <w:t>operating leverage allowed us to maximize the value of our business as U.S. land activity rebounded. Overall, our Completion and Production and Drilling and Evaluation operating segments finished the year with 15% and 12% operating margins, respectively, and generated strong cash flows from operations.</w:t>
      </w:r>
    </w:p>
    <w:p>
      <w:pPr>
        <w:spacing w:after="0" w:line="234" w:lineRule="exact"/>
        <w:rPr>
          <w:rFonts w:ascii="Arial" w:cs="Arial" w:eastAsia="Arial" w:hAnsi="Arial"/>
          <w:sz w:val="16"/>
          <w:szCs w:val="16"/>
          <w:color w:val="CB233C"/>
        </w:rPr>
      </w:pPr>
    </w:p>
    <w:p>
      <w:pPr>
        <w:ind w:left="180" w:hanging="172"/>
        <w:spacing w:after="0" w:line="286" w:lineRule="auto"/>
        <w:tabs>
          <w:tab w:leader="none" w:pos="180" w:val="left"/>
        </w:tabs>
        <w:numPr>
          <w:ilvl w:val="0"/>
          <w:numId w:val="3"/>
        </w:numPr>
        <w:rPr>
          <w:rFonts w:ascii="Arial" w:cs="Arial" w:eastAsia="Arial" w:hAnsi="Arial"/>
          <w:sz w:val="16"/>
          <w:szCs w:val="16"/>
          <w:color w:val="CB233C"/>
        </w:rPr>
      </w:pPr>
      <w:r>
        <w:rPr>
          <w:rFonts w:ascii="Arial" w:cs="Arial" w:eastAsia="Arial" w:hAnsi="Arial"/>
          <w:sz w:val="16"/>
          <w:szCs w:val="16"/>
          <w:b w:val="1"/>
          <w:bCs w:val="1"/>
          <w:color w:val="CB233C"/>
        </w:rPr>
        <w:t xml:space="preserve">Digital: </w:t>
      </w:r>
      <w:r>
        <w:rPr>
          <w:rFonts w:ascii="Arial" w:cs="Arial" w:eastAsia="Arial" w:hAnsi="Arial"/>
          <w:sz w:val="16"/>
          <w:szCs w:val="16"/>
          <w:color w:val="000000"/>
        </w:rPr>
        <w:t>Our accelerated deployment and integration of digitally enabled technologies created technical differentiation in the market and contributed to our</w:t>
      </w:r>
      <w:r>
        <w:rPr>
          <w:rFonts w:ascii="Arial" w:cs="Arial" w:eastAsia="Arial" w:hAnsi="Arial"/>
          <w:sz w:val="16"/>
          <w:szCs w:val="16"/>
          <w:b w:val="1"/>
          <w:bCs w:val="1"/>
          <w:color w:val="CB233C"/>
        </w:rPr>
        <w:t xml:space="preserve"> </w:t>
      </w:r>
      <w:r>
        <w:rPr>
          <w:rFonts w:ascii="Arial" w:cs="Arial" w:eastAsia="Arial" w:hAnsi="Arial"/>
          <w:sz w:val="16"/>
          <w:szCs w:val="16"/>
          <w:color w:val="000000"/>
        </w:rPr>
        <w:t>higher margins.</w:t>
      </w:r>
    </w:p>
    <w:p>
      <w:pPr>
        <w:spacing w:after="0" w:line="20" w:lineRule="exact"/>
        <w:rPr>
          <w:rFonts w:ascii="Arial" w:cs="Arial" w:eastAsia="Arial" w:hAnsi="Arial"/>
          <w:sz w:val="16"/>
          <w:szCs w:val="16"/>
          <w:color w:val="CB233C"/>
        </w:rPr>
      </w:pPr>
    </w:p>
    <w:p>
      <w:pPr>
        <w:ind w:left="180" w:hanging="172"/>
        <w:spacing w:after="0" w:line="286" w:lineRule="auto"/>
        <w:tabs>
          <w:tab w:leader="none" w:pos="180" w:val="left"/>
        </w:tabs>
        <w:numPr>
          <w:ilvl w:val="0"/>
          <w:numId w:val="3"/>
        </w:numPr>
        <w:rPr>
          <w:rFonts w:ascii="Arial" w:cs="Arial" w:eastAsia="Arial" w:hAnsi="Arial"/>
          <w:sz w:val="16"/>
          <w:szCs w:val="16"/>
          <w:color w:val="CB233C"/>
        </w:rPr>
      </w:pPr>
      <w:r>
        <w:rPr>
          <w:rFonts w:ascii="Arial" w:cs="Arial" w:eastAsia="Arial" w:hAnsi="Arial"/>
          <w:sz w:val="16"/>
          <w:szCs w:val="16"/>
          <w:b w:val="1"/>
          <w:bCs w:val="1"/>
          <w:color w:val="CB233C"/>
        </w:rPr>
        <w:t xml:space="preserve">Capital efficiency: </w:t>
      </w:r>
      <w:r>
        <w:rPr>
          <w:rFonts w:ascii="Arial" w:cs="Arial" w:eastAsia="Arial" w:hAnsi="Arial"/>
          <w:sz w:val="16"/>
          <w:szCs w:val="16"/>
          <w:color w:val="000000"/>
        </w:rPr>
        <w:t>We advanced technologies and made strategic choices that kept our capital expenditures to 5.2% of revenue, which is in the range of</w:t>
      </w:r>
      <w:r>
        <w:rPr>
          <w:rFonts w:ascii="Arial" w:cs="Arial" w:eastAsia="Arial" w:hAnsi="Arial"/>
          <w:sz w:val="16"/>
          <w:szCs w:val="16"/>
          <w:b w:val="1"/>
          <w:bCs w:val="1"/>
          <w:color w:val="CB233C"/>
        </w:rPr>
        <w:t xml:space="preserve"> </w:t>
      </w:r>
      <w:r>
        <w:rPr>
          <w:rFonts w:ascii="Arial" w:cs="Arial" w:eastAsia="Arial" w:hAnsi="Arial"/>
          <w:sz w:val="16"/>
          <w:szCs w:val="16"/>
          <w:color w:val="000000"/>
        </w:rPr>
        <w:t>our 5-6% of revenue target.</w:t>
      </w:r>
    </w:p>
    <w:p>
      <w:pPr>
        <w:spacing w:after="0" w:line="20" w:lineRule="exact"/>
        <w:rPr>
          <w:rFonts w:ascii="Arial" w:cs="Arial" w:eastAsia="Arial" w:hAnsi="Arial"/>
          <w:sz w:val="16"/>
          <w:szCs w:val="16"/>
          <w:color w:val="CB233C"/>
        </w:rPr>
      </w:pPr>
    </w:p>
    <w:p>
      <w:pPr>
        <w:jc w:val="both"/>
        <w:ind w:left="180" w:hanging="172"/>
        <w:spacing w:after="0" w:line="259" w:lineRule="auto"/>
        <w:tabs>
          <w:tab w:leader="none" w:pos="180" w:val="left"/>
        </w:tabs>
        <w:numPr>
          <w:ilvl w:val="0"/>
          <w:numId w:val="3"/>
        </w:numPr>
        <w:rPr>
          <w:rFonts w:ascii="Arial" w:cs="Arial" w:eastAsia="Arial" w:hAnsi="Arial"/>
          <w:sz w:val="16"/>
          <w:szCs w:val="16"/>
          <w:color w:val="CB233C"/>
        </w:rPr>
      </w:pPr>
      <w:r>
        <w:rPr>
          <w:rFonts w:ascii="Arial" w:cs="Arial" w:eastAsia="Arial" w:hAnsi="Arial"/>
          <w:sz w:val="16"/>
          <w:szCs w:val="16"/>
          <w:b w:val="1"/>
          <w:bCs w:val="1"/>
          <w:color w:val="CB233C"/>
        </w:rPr>
        <w:t xml:space="preserve">Sustainable energy: </w:t>
      </w:r>
      <w:r>
        <w:rPr>
          <w:rFonts w:ascii="Arial" w:cs="Arial" w:eastAsia="Arial" w:hAnsi="Arial"/>
          <w:sz w:val="16"/>
          <w:szCs w:val="16"/>
          <w:color w:val="000000"/>
        </w:rPr>
        <w:t>We announced our science-based emission reduction targets, added eleven new participating companies to Halliburton Labs, our</w:t>
      </w:r>
      <w:r>
        <w:rPr>
          <w:rFonts w:ascii="Arial" w:cs="Arial" w:eastAsia="Arial" w:hAnsi="Arial"/>
          <w:sz w:val="16"/>
          <w:szCs w:val="16"/>
          <w:b w:val="1"/>
          <w:bCs w:val="1"/>
          <w:color w:val="CB233C"/>
        </w:rPr>
        <w:t xml:space="preserve"> </w:t>
      </w:r>
      <w:r>
        <w:rPr>
          <w:rFonts w:ascii="Arial" w:cs="Arial" w:eastAsia="Arial" w:hAnsi="Arial"/>
          <w:sz w:val="16"/>
          <w:szCs w:val="16"/>
          <w:color w:val="000000"/>
        </w:rPr>
        <w:t>clean energy accelerator, and were named to the Dow Jones Sustainability Index North America for Energy Equipment and Services, which highlights the top 10% most sustainable North America companies in identified industries as determined by S&amp;P Global through their Corporate Sustainability Assessment.</w:t>
      </w:r>
    </w:p>
    <w:p>
      <w:pPr>
        <w:spacing w:after="0" w:line="151" w:lineRule="exact"/>
        <w:rPr>
          <w:sz w:val="20"/>
          <w:szCs w:val="20"/>
          <w:color w:val="auto"/>
        </w:rPr>
      </w:pPr>
    </w:p>
    <w:p>
      <w:pPr>
        <w:spacing w:after="0"/>
        <w:tabs>
          <w:tab w:leader="none" w:pos="7820" w:val="left"/>
          <w:tab w:leader="none" w:pos="111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r>
      <w:r>
        <w:rPr>
          <w:sz w:val="20"/>
          <w:szCs w:val="20"/>
          <w:color w:val="auto"/>
        </w:rPr>
        <w:tab/>
      </w:r>
      <w:r>
        <w:rPr>
          <w:rFonts w:ascii="Arial" w:cs="Arial" w:eastAsia="Arial" w:hAnsi="Arial"/>
          <w:sz w:val="14"/>
          <w:szCs w:val="14"/>
          <w:b w:val="1"/>
          <w:bCs w:val="1"/>
          <w:color w:val="231F2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8144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144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 xml:space="preserve">Our 2022 Board Nominees </w:t>
      </w:r>
      <w:r>
        <w:rPr>
          <w:rFonts w:ascii="Arial" w:cs="Arial" w:eastAsia="Arial" w:hAnsi="Arial"/>
          <w:sz w:val="25"/>
          <w:szCs w:val="25"/>
          <w:b w:val="1"/>
          <w:bCs w:val="1"/>
          <w:color w:val="CB233C"/>
        </w:rPr>
        <w:t>(pages 17-20)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Borders>
              <w:bottom w:val="single" w:sz="8" w:color="CB233C"/>
            </w:tcBorders>
          </w:tcPr>
          <w:p>
            <w:pPr>
              <w:ind w:left="60"/>
              <w:spacing w:after="0"/>
              <w:rPr>
                <w:sz w:val="20"/>
                <w:szCs w:val="20"/>
                <w:color w:val="auto"/>
              </w:rPr>
            </w:pPr>
            <w:r>
              <w:rPr>
                <w:rFonts w:ascii="Arial" w:cs="Arial" w:eastAsia="Arial" w:hAnsi="Arial"/>
                <w:sz w:val="16"/>
                <w:szCs w:val="16"/>
                <w:b w:val="1"/>
                <w:bCs w:val="1"/>
                <w:color w:val="auto"/>
              </w:rPr>
              <w:t>Name</w:t>
            </w:r>
          </w:p>
        </w:tc>
        <w:tc>
          <w:tcPr>
            <w:tcW w:w="600" w:type="dxa"/>
            <w:vAlign w:val="bottom"/>
            <w:tcBorders>
              <w:bottom w:val="single" w:sz="8" w:color="CB233C"/>
            </w:tcBorders>
          </w:tcPr>
          <w:p>
            <w:pPr>
              <w:jc w:val="right"/>
              <w:ind w:right="59"/>
              <w:spacing w:after="0"/>
              <w:rPr>
                <w:sz w:val="20"/>
                <w:szCs w:val="20"/>
                <w:color w:val="auto"/>
              </w:rPr>
            </w:pPr>
            <w:r>
              <w:rPr>
                <w:rFonts w:ascii="Arial" w:cs="Arial" w:eastAsia="Arial" w:hAnsi="Arial"/>
                <w:sz w:val="16"/>
                <w:szCs w:val="16"/>
                <w:b w:val="1"/>
                <w:bCs w:val="1"/>
                <w:color w:val="auto"/>
              </w:rPr>
              <w:t>Age</w:t>
            </w:r>
          </w:p>
        </w:tc>
        <w:tc>
          <w:tcPr>
            <w:tcW w:w="8620" w:type="dxa"/>
            <w:vAlign w:val="bottom"/>
            <w:tcBorders>
              <w:bottom w:val="single" w:sz="8" w:color="CB233C"/>
            </w:tcBorders>
          </w:tcPr>
          <w:p>
            <w:pPr>
              <w:ind w:left="140"/>
              <w:spacing w:after="0"/>
              <w:rPr>
                <w:sz w:val="20"/>
                <w:szCs w:val="20"/>
                <w:color w:val="auto"/>
              </w:rPr>
            </w:pPr>
            <w:r>
              <w:rPr>
                <w:rFonts w:ascii="Arial" w:cs="Arial" w:eastAsia="Arial" w:hAnsi="Arial"/>
                <w:sz w:val="16"/>
                <w:szCs w:val="16"/>
                <w:b w:val="1"/>
                <w:bCs w:val="1"/>
                <w:color w:val="auto"/>
              </w:rPr>
              <w:t>Occupation</w:t>
            </w:r>
          </w:p>
        </w:tc>
      </w:tr>
      <w:tr>
        <w:trPr>
          <w:trHeight w:val="250"/>
        </w:trPr>
        <w:tc>
          <w:tcPr>
            <w:tcW w:w="2020" w:type="dxa"/>
            <w:vAlign w:val="bottom"/>
            <w:shd w:val="clear" w:color="auto" w:fill="EBECEE"/>
          </w:tcPr>
          <w:p>
            <w:pPr>
              <w:ind w:left="60"/>
              <w:spacing w:after="0"/>
              <w:rPr>
                <w:sz w:val="20"/>
                <w:szCs w:val="20"/>
                <w:color w:val="auto"/>
              </w:rPr>
            </w:pPr>
            <w:r>
              <w:rPr>
                <w:rFonts w:ascii="Arial" w:cs="Arial" w:eastAsia="Arial" w:hAnsi="Arial"/>
                <w:sz w:val="16"/>
                <w:szCs w:val="16"/>
                <w:b w:val="1"/>
                <w:bCs w:val="1"/>
                <w:color w:val="auto"/>
              </w:rPr>
              <w:t>Abdulaziz F. Al Khayyal</w:t>
            </w:r>
          </w:p>
        </w:tc>
        <w:tc>
          <w:tcPr>
            <w:tcW w:w="600" w:type="dxa"/>
            <w:vAlign w:val="bottom"/>
            <w:shd w:val="clear" w:color="auto" w:fill="EBECEE"/>
          </w:tcPr>
          <w:p>
            <w:pPr>
              <w:jc w:val="right"/>
              <w:ind w:right="59"/>
              <w:spacing w:after="0"/>
              <w:rPr>
                <w:sz w:val="20"/>
                <w:szCs w:val="20"/>
                <w:color w:val="auto"/>
              </w:rPr>
            </w:pPr>
            <w:r>
              <w:rPr>
                <w:rFonts w:ascii="Arial" w:cs="Arial" w:eastAsia="Arial" w:hAnsi="Arial"/>
                <w:sz w:val="16"/>
                <w:szCs w:val="16"/>
                <w:color w:val="auto"/>
              </w:rPr>
              <w:t>68</w:t>
            </w:r>
          </w:p>
        </w:tc>
        <w:tc>
          <w:tcPr>
            <w:tcW w:w="8620" w:type="dxa"/>
            <w:vAlign w:val="bottom"/>
            <w:shd w:val="clear" w:color="auto" w:fill="EBECEE"/>
          </w:tcPr>
          <w:p>
            <w:pPr>
              <w:ind w:left="140"/>
              <w:spacing w:after="0"/>
              <w:rPr>
                <w:sz w:val="20"/>
                <w:szCs w:val="20"/>
                <w:color w:val="auto"/>
              </w:rPr>
            </w:pPr>
            <w:r>
              <w:rPr>
                <w:rFonts w:ascii="Arial" w:cs="Arial" w:eastAsia="Arial" w:hAnsi="Arial"/>
                <w:sz w:val="16"/>
                <w:szCs w:val="16"/>
                <w:color w:val="auto"/>
              </w:rPr>
              <w:t>Retired director and Senior Vice President of Industrial Relations of Saudi Aramco</w:t>
            </w:r>
          </w:p>
        </w:tc>
      </w:tr>
      <w:tr>
        <w:trPr>
          <w:trHeight w:val="249"/>
        </w:trPr>
        <w:tc>
          <w:tcPr>
            <w:tcW w:w="2020" w:type="dxa"/>
            <w:vAlign w:val="bottom"/>
          </w:tcPr>
          <w:p>
            <w:pPr>
              <w:ind w:left="60"/>
              <w:spacing w:after="0"/>
              <w:rPr>
                <w:sz w:val="20"/>
                <w:szCs w:val="20"/>
                <w:color w:val="auto"/>
              </w:rPr>
            </w:pPr>
            <w:r>
              <w:rPr>
                <w:rFonts w:ascii="Arial" w:cs="Arial" w:eastAsia="Arial" w:hAnsi="Arial"/>
                <w:sz w:val="16"/>
                <w:szCs w:val="16"/>
                <w:b w:val="1"/>
                <w:bCs w:val="1"/>
                <w:color w:val="auto"/>
              </w:rPr>
              <w:t>William E. Albrecht</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70</w:t>
            </w:r>
          </w:p>
        </w:tc>
        <w:tc>
          <w:tcPr>
            <w:tcW w:w="8620" w:type="dxa"/>
            <w:vAlign w:val="bottom"/>
          </w:tcPr>
          <w:p>
            <w:pPr>
              <w:ind w:left="140"/>
              <w:spacing w:after="0"/>
              <w:rPr>
                <w:sz w:val="20"/>
                <w:szCs w:val="20"/>
                <w:color w:val="auto"/>
              </w:rPr>
            </w:pPr>
            <w:r>
              <w:rPr>
                <w:rFonts w:ascii="Arial" w:cs="Arial" w:eastAsia="Arial" w:hAnsi="Arial"/>
                <w:sz w:val="16"/>
                <w:szCs w:val="16"/>
                <w:color w:val="auto"/>
              </w:rPr>
              <w:t>President of Moncrief Energy, LLC</w:t>
            </w:r>
          </w:p>
        </w:tc>
      </w:tr>
      <w:tr>
        <w:trPr>
          <w:trHeight w:val="264"/>
        </w:trPr>
        <w:tc>
          <w:tcPr>
            <w:tcW w:w="2020" w:type="dxa"/>
            <w:vAlign w:val="bottom"/>
            <w:shd w:val="clear" w:color="auto" w:fill="EBECEE"/>
          </w:tcPr>
          <w:p>
            <w:pPr>
              <w:ind w:left="60"/>
              <w:spacing w:after="0"/>
              <w:rPr>
                <w:sz w:val="20"/>
                <w:szCs w:val="20"/>
                <w:color w:val="auto"/>
              </w:rPr>
            </w:pPr>
            <w:r>
              <w:rPr>
                <w:rFonts w:ascii="Arial" w:cs="Arial" w:eastAsia="Arial" w:hAnsi="Arial"/>
                <w:sz w:val="16"/>
                <w:szCs w:val="16"/>
                <w:b w:val="1"/>
                <w:bCs w:val="1"/>
                <w:color w:val="auto"/>
              </w:rPr>
              <w:t>M. Katherine Banks</w:t>
            </w:r>
          </w:p>
        </w:tc>
        <w:tc>
          <w:tcPr>
            <w:tcW w:w="600" w:type="dxa"/>
            <w:vAlign w:val="bottom"/>
            <w:shd w:val="clear" w:color="auto" w:fill="EBECEE"/>
          </w:tcPr>
          <w:p>
            <w:pPr>
              <w:jc w:val="right"/>
              <w:ind w:right="59"/>
              <w:spacing w:after="0"/>
              <w:rPr>
                <w:sz w:val="20"/>
                <w:szCs w:val="20"/>
                <w:color w:val="auto"/>
              </w:rPr>
            </w:pPr>
            <w:r>
              <w:rPr>
                <w:rFonts w:ascii="Arial" w:cs="Arial" w:eastAsia="Arial" w:hAnsi="Arial"/>
                <w:sz w:val="16"/>
                <w:szCs w:val="16"/>
                <w:color w:val="auto"/>
              </w:rPr>
              <w:t>62</w:t>
            </w:r>
          </w:p>
        </w:tc>
        <w:tc>
          <w:tcPr>
            <w:tcW w:w="8620" w:type="dxa"/>
            <w:vAlign w:val="bottom"/>
            <w:shd w:val="clear" w:color="auto" w:fill="EBECEE"/>
          </w:tcPr>
          <w:p>
            <w:pPr>
              <w:ind w:left="140"/>
              <w:spacing w:after="0"/>
              <w:rPr>
                <w:sz w:val="20"/>
                <w:szCs w:val="20"/>
                <w:color w:val="auto"/>
              </w:rPr>
            </w:pPr>
            <w:r>
              <w:rPr>
                <w:rFonts w:ascii="Arial" w:cs="Arial" w:eastAsia="Arial" w:hAnsi="Arial"/>
                <w:sz w:val="16"/>
                <w:szCs w:val="16"/>
                <w:color w:val="auto"/>
              </w:rPr>
              <w:t>President, Texas A&amp;M University</w:t>
            </w:r>
          </w:p>
        </w:tc>
      </w:tr>
      <w:tr>
        <w:trPr>
          <w:trHeight w:val="249"/>
        </w:trPr>
        <w:tc>
          <w:tcPr>
            <w:tcW w:w="2020" w:type="dxa"/>
            <w:vAlign w:val="bottom"/>
          </w:tcPr>
          <w:p>
            <w:pPr>
              <w:ind w:left="60"/>
              <w:spacing w:after="0"/>
              <w:rPr>
                <w:sz w:val="20"/>
                <w:szCs w:val="20"/>
                <w:color w:val="auto"/>
              </w:rPr>
            </w:pPr>
            <w:r>
              <w:rPr>
                <w:rFonts w:ascii="Arial" w:cs="Arial" w:eastAsia="Arial" w:hAnsi="Arial"/>
                <w:sz w:val="16"/>
                <w:szCs w:val="16"/>
                <w:b w:val="1"/>
                <w:bCs w:val="1"/>
                <w:color w:val="auto"/>
              </w:rPr>
              <w:t>Alan M. Bennett</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71</w:t>
            </w:r>
          </w:p>
        </w:tc>
        <w:tc>
          <w:tcPr>
            <w:tcW w:w="8620" w:type="dxa"/>
            <w:vAlign w:val="bottom"/>
          </w:tcPr>
          <w:p>
            <w:pPr>
              <w:ind w:left="140"/>
              <w:spacing w:after="0"/>
              <w:rPr>
                <w:sz w:val="20"/>
                <w:szCs w:val="20"/>
                <w:color w:val="auto"/>
              </w:rPr>
            </w:pPr>
            <w:r>
              <w:rPr>
                <w:rFonts w:ascii="Arial" w:cs="Arial" w:eastAsia="Arial" w:hAnsi="Arial"/>
                <w:sz w:val="16"/>
                <w:szCs w:val="16"/>
                <w:color w:val="auto"/>
              </w:rPr>
              <w:t>Retired President and Chief Executive Officer of H&amp;R Block, Inc.</w:t>
            </w:r>
          </w:p>
        </w:tc>
      </w:tr>
      <w:tr>
        <w:trPr>
          <w:trHeight w:val="264"/>
        </w:trPr>
        <w:tc>
          <w:tcPr>
            <w:tcW w:w="2020" w:type="dxa"/>
            <w:vAlign w:val="bottom"/>
            <w:shd w:val="clear" w:color="auto" w:fill="EBECEE"/>
          </w:tcPr>
          <w:p>
            <w:pPr>
              <w:ind w:left="60"/>
              <w:spacing w:after="0"/>
              <w:rPr>
                <w:sz w:val="20"/>
                <w:szCs w:val="20"/>
                <w:color w:val="auto"/>
              </w:rPr>
            </w:pPr>
            <w:r>
              <w:rPr>
                <w:rFonts w:ascii="Arial" w:cs="Arial" w:eastAsia="Arial" w:hAnsi="Arial"/>
                <w:sz w:val="16"/>
                <w:szCs w:val="16"/>
                <w:b w:val="1"/>
                <w:bCs w:val="1"/>
                <w:color w:val="auto"/>
              </w:rPr>
              <w:t>Milton Carroll</w:t>
            </w:r>
          </w:p>
        </w:tc>
        <w:tc>
          <w:tcPr>
            <w:tcW w:w="600" w:type="dxa"/>
            <w:vAlign w:val="bottom"/>
            <w:shd w:val="clear" w:color="auto" w:fill="EBECEE"/>
          </w:tcPr>
          <w:p>
            <w:pPr>
              <w:jc w:val="right"/>
              <w:ind w:right="59"/>
              <w:spacing w:after="0"/>
              <w:rPr>
                <w:sz w:val="20"/>
                <w:szCs w:val="20"/>
                <w:color w:val="auto"/>
              </w:rPr>
            </w:pPr>
            <w:r>
              <w:rPr>
                <w:rFonts w:ascii="Arial" w:cs="Arial" w:eastAsia="Arial" w:hAnsi="Arial"/>
                <w:sz w:val="16"/>
                <w:szCs w:val="16"/>
                <w:color w:val="auto"/>
              </w:rPr>
              <w:t>71</w:t>
            </w:r>
          </w:p>
        </w:tc>
        <w:tc>
          <w:tcPr>
            <w:tcW w:w="8620" w:type="dxa"/>
            <w:vAlign w:val="bottom"/>
            <w:shd w:val="clear" w:color="auto" w:fill="EBECEE"/>
          </w:tcPr>
          <w:p>
            <w:pPr>
              <w:ind w:left="140"/>
              <w:spacing w:after="0"/>
              <w:rPr>
                <w:sz w:val="20"/>
                <w:szCs w:val="20"/>
                <w:color w:val="auto"/>
              </w:rPr>
            </w:pPr>
            <w:r>
              <w:rPr>
                <w:rFonts w:ascii="Arial" w:cs="Arial" w:eastAsia="Arial" w:hAnsi="Arial"/>
                <w:sz w:val="16"/>
                <w:szCs w:val="16"/>
                <w:color w:val="auto"/>
              </w:rPr>
              <w:t>Retired Executive Chairman of the Board of CenterPoint Energy, Inc.</w:t>
            </w:r>
          </w:p>
        </w:tc>
      </w:tr>
      <w:tr>
        <w:trPr>
          <w:trHeight w:val="249"/>
        </w:trPr>
        <w:tc>
          <w:tcPr>
            <w:tcW w:w="2020" w:type="dxa"/>
            <w:vAlign w:val="bottom"/>
          </w:tcPr>
          <w:p>
            <w:pPr>
              <w:ind w:left="60"/>
              <w:spacing w:after="0"/>
              <w:rPr>
                <w:sz w:val="20"/>
                <w:szCs w:val="20"/>
                <w:color w:val="auto"/>
              </w:rPr>
            </w:pPr>
            <w:r>
              <w:rPr>
                <w:rFonts w:ascii="Arial" w:cs="Arial" w:eastAsia="Arial" w:hAnsi="Arial"/>
                <w:sz w:val="16"/>
                <w:szCs w:val="16"/>
                <w:b w:val="1"/>
                <w:bCs w:val="1"/>
                <w:color w:val="auto"/>
              </w:rPr>
              <w:t>Earl M. Cummings</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57</w:t>
            </w:r>
          </w:p>
        </w:tc>
        <w:tc>
          <w:tcPr>
            <w:tcW w:w="8620" w:type="dxa"/>
            <w:vAlign w:val="bottom"/>
          </w:tcPr>
          <w:p>
            <w:pPr>
              <w:ind w:left="140"/>
              <w:spacing w:after="0"/>
              <w:rPr>
                <w:sz w:val="20"/>
                <w:szCs w:val="20"/>
                <w:color w:val="auto"/>
              </w:rPr>
            </w:pPr>
            <w:r>
              <w:rPr>
                <w:rFonts w:ascii="Arial" w:cs="Arial" w:eastAsia="Arial" w:hAnsi="Arial"/>
                <w:sz w:val="16"/>
                <w:szCs w:val="16"/>
                <w:color w:val="auto"/>
              </w:rPr>
              <w:t>Managing Partner of MCM Houston Properties, LLC and Chief Executive Officer of BTS Team, Inc.</w:t>
            </w:r>
          </w:p>
        </w:tc>
      </w:tr>
      <w:tr>
        <w:trPr>
          <w:trHeight w:val="264"/>
        </w:trPr>
        <w:tc>
          <w:tcPr>
            <w:tcW w:w="2020" w:type="dxa"/>
            <w:vAlign w:val="bottom"/>
            <w:shd w:val="clear" w:color="auto" w:fill="EBECEE"/>
          </w:tcPr>
          <w:p>
            <w:pPr>
              <w:ind w:left="60"/>
              <w:spacing w:after="0"/>
              <w:rPr>
                <w:sz w:val="20"/>
                <w:szCs w:val="20"/>
                <w:color w:val="auto"/>
              </w:rPr>
            </w:pPr>
            <w:r>
              <w:rPr>
                <w:rFonts w:ascii="Arial" w:cs="Arial" w:eastAsia="Arial" w:hAnsi="Arial"/>
                <w:sz w:val="16"/>
                <w:szCs w:val="16"/>
                <w:b w:val="1"/>
                <w:bCs w:val="1"/>
                <w:color w:val="auto"/>
              </w:rPr>
              <w:t>Murry S. Gerber</w:t>
            </w:r>
          </w:p>
        </w:tc>
        <w:tc>
          <w:tcPr>
            <w:tcW w:w="600" w:type="dxa"/>
            <w:vAlign w:val="bottom"/>
            <w:shd w:val="clear" w:color="auto" w:fill="EBECEE"/>
          </w:tcPr>
          <w:p>
            <w:pPr>
              <w:jc w:val="right"/>
              <w:ind w:right="59"/>
              <w:spacing w:after="0"/>
              <w:rPr>
                <w:sz w:val="20"/>
                <w:szCs w:val="20"/>
                <w:color w:val="auto"/>
              </w:rPr>
            </w:pPr>
            <w:r>
              <w:rPr>
                <w:rFonts w:ascii="Arial" w:cs="Arial" w:eastAsia="Arial" w:hAnsi="Arial"/>
                <w:sz w:val="16"/>
                <w:szCs w:val="16"/>
                <w:color w:val="auto"/>
              </w:rPr>
              <w:t>69</w:t>
            </w:r>
          </w:p>
        </w:tc>
        <w:tc>
          <w:tcPr>
            <w:tcW w:w="8620" w:type="dxa"/>
            <w:vAlign w:val="bottom"/>
            <w:shd w:val="clear" w:color="auto" w:fill="EBECEE"/>
          </w:tcPr>
          <w:p>
            <w:pPr>
              <w:ind w:left="140"/>
              <w:spacing w:after="0"/>
              <w:rPr>
                <w:sz w:val="20"/>
                <w:szCs w:val="20"/>
                <w:color w:val="auto"/>
              </w:rPr>
            </w:pPr>
            <w:r>
              <w:rPr>
                <w:rFonts w:ascii="Arial" w:cs="Arial" w:eastAsia="Arial" w:hAnsi="Arial"/>
                <w:sz w:val="16"/>
                <w:szCs w:val="16"/>
                <w:color w:val="auto"/>
              </w:rPr>
              <w:t>Retired Executive Chairman of the Board of EQT Corporation</w:t>
            </w:r>
          </w:p>
        </w:tc>
      </w:tr>
      <w:tr>
        <w:trPr>
          <w:trHeight w:val="249"/>
        </w:trPr>
        <w:tc>
          <w:tcPr>
            <w:tcW w:w="2020" w:type="dxa"/>
            <w:vAlign w:val="bottom"/>
          </w:tcPr>
          <w:p>
            <w:pPr>
              <w:ind w:left="60"/>
              <w:spacing w:after="0"/>
              <w:rPr>
                <w:sz w:val="20"/>
                <w:szCs w:val="20"/>
                <w:color w:val="auto"/>
              </w:rPr>
            </w:pPr>
            <w:r>
              <w:rPr>
                <w:rFonts w:ascii="Arial" w:cs="Arial" w:eastAsia="Arial" w:hAnsi="Arial"/>
                <w:sz w:val="16"/>
                <w:szCs w:val="16"/>
                <w:b w:val="1"/>
                <w:bCs w:val="1"/>
                <w:color w:val="auto"/>
              </w:rPr>
              <w:t>Robert A. Malone</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70</w:t>
            </w:r>
          </w:p>
        </w:tc>
        <w:tc>
          <w:tcPr>
            <w:tcW w:w="8620" w:type="dxa"/>
            <w:vAlign w:val="bottom"/>
          </w:tcPr>
          <w:p>
            <w:pPr>
              <w:ind w:left="140"/>
              <w:spacing w:after="0"/>
              <w:rPr>
                <w:sz w:val="20"/>
                <w:szCs w:val="20"/>
                <w:color w:val="auto"/>
              </w:rPr>
            </w:pPr>
            <w:r>
              <w:rPr>
                <w:rFonts w:ascii="Arial" w:cs="Arial" w:eastAsia="Arial" w:hAnsi="Arial"/>
                <w:sz w:val="16"/>
                <w:szCs w:val="16"/>
                <w:color w:val="auto"/>
              </w:rPr>
              <w:t>Executive Chairman, President and Chief Executive Officer of First Sonora Bancshares, Inc.</w:t>
            </w:r>
          </w:p>
        </w:tc>
      </w:tr>
      <w:tr>
        <w:trPr>
          <w:trHeight w:val="264"/>
        </w:trPr>
        <w:tc>
          <w:tcPr>
            <w:tcW w:w="2020" w:type="dxa"/>
            <w:vAlign w:val="bottom"/>
            <w:shd w:val="clear" w:color="auto" w:fill="EBECEE"/>
          </w:tcPr>
          <w:p>
            <w:pPr>
              <w:ind w:left="60"/>
              <w:spacing w:after="0"/>
              <w:rPr>
                <w:sz w:val="20"/>
                <w:szCs w:val="20"/>
                <w:color w:val="auto"/>
              </w:rPr>
            </w:pPr>
            <w:r>
              <w:rPr>
                <w:rFonts w:ascii="Arial" w:cs="Arial" w:eastAsia="Arial" w:hAnsi="Arial"/>
                <w:sz w:val="16"/>
                <w:szCs w:val="16"/>
                <w:b w:val="1"/>
                <w:bCs w:val="1"/>
                <w:color w:val="auto"/>
              </w:rPr>
              <w:t>Jeffrey A. Miller</w:t>
            </w:r>
          </w:p>
        </w:tc>
        <w:tc>
          <w:tcPr>
            <w:tcW w:w="600" w:type="dxa"/>
            <w:vAlign w:val="bottom"/>
            <w:shd w:val="clear" w:color="auto" w:fill="EBECEE"/>
          </w:tcPr>
          <w:p>
            <w:pPr>
              <w:jc w:val="right"/>
              <w:ind w:right="59"/>
              <w:spacing w:after="0"/>
              <w:rPr>
                <w:sz w:val="20"/>
                <w:szCs w:val="20"/>
                <w:color w:val="auto"/>
              </w:rPr>
            </w:pPr>
            <w:r>
              <w:rPr>
                <w:rFonts w:ascii="Arial" w:cs="Arial" w:eastAsia="Arial" w:hAnsi="Arial"/>
                <w:sz w:val="16"/>
                <w:szCs w:val="16"/>
                <w:color w:val="auto"/>
              </w:rPr>
              <w:t>58</w:t>
            </w:r>
          </w:p>
        </w:tc>
        <w:tc>
          <w:tcPr>
            <w:tcW w:w="8620" w:type="dxa"/>
            <w:vAlign w:val="bottom"/>
            <w:shd w:val="clear" w:color="auto" w:fill="EBECEE"/>
          </w:tcPr>
          <w:p>
            <w:pPr>
              <w:ind w:left="140"/>
              <w:spacing w:after="0"/>
              <w:rPr>
                <w:sz w:val="20"/>
                <w:szCs w:val="20"/>
                <w:color w:val="auto"/>
              </w:rPr>
            </w:pPr>
            <w:r>
              <w:rPr>
                <w:rFonts w:ascii="Arial" w:cs="Arial" w:eastAsia="Arial" w:hAnsi="Arial"/>
                <w:sz w:val="16"/>
                <w:szCs w:val="16"/>
                <w:color w:val="auto"/>
              </w:rPr>
              <w:t>Chairman of the Board, President and Chief Executive Officer of Halliburton</w:t>
            </w:r>
          </w:p>
        </w:tc>
      </w:tr>
      <w:tr>
        <w:trPr>
          <w:trHeight w:val="249"/>
        </w:trPr>
        <w:tc>
          <w:tcPr>
            <w:tcW w:w="2020" w:type="dxa"/>
            <w:vAlign w:val="bottom"/>
          </w:tcPr>
          <w:p>
            <w:pPr>
              <w:ind w:left="60"/>
              <w:spacing w:after="0"/>
              <w:rPr>
                <w:sz w:val="20"/>
                <w:szCs w:val="20"/>
                <w:color w:val="auto"/>
              </w:rPr>
            </w:pPr>
            <w:r>
              <w:rPr>
                <w:rFonts w:ascii="Arial" w:cs="Arial" w:eastAsia="Arial" w:hAnsi="Arial"/>
                <w:sz w:val="16"/>
                <w:szCs w:val="16"/>
                <w:b w:val="1"/>
                <w:bCs w:val="1"/>
                <w:color w:val="auto"/>
              </w:rPr>
              <w:t>Bhavesh V. (Bob) Patel</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55</w:t>
            </w:r>
          </w:p>
        </w:tc>
        <w:tc>
          <w:tcPr>
            <w:tcW w:w="8620" w:type="dxa"/>
            <w:vAlign w:val="bottom"/>
          </w:tcPr>
          <w:p>
            <w:pPr>
              <w:ind w:left="140"/>
              <w:spacing w:after="0"/>
              <w:rPr>
                <w:sz w:val="20"/>
                <w:szCs w:val="20"/>
                <w:color w:val="auto"/>
              </w:rPr>
            </w:pPr>
            <w:r>
              <w:rPr>
                <w:rFonts w:ascii="Arial" w:cs="Arial" w:eastAsia="Arial" w:hAnsi="Arial"/>
                <w:sz w:val="16"/>
                <w:szCs w:val="16"/>
                <w:color w:val="auto"/>
              </w:rPr>
              <w:t>Chief Executive Officer of W. R. Grace</w:t>
            </w:r>
          </w:p>
        </w:tc>
      </w:tr>
      <w:tr>
        <w:trPr>
          <w:trHeight w:val="210"/>
        </w:trPr>
        <w:tc>
          <w:tcPr>
            <w:tcW w:w="2020" w:type="dxa"/>
            <w:vAlign w:val="bottom"/>
            <w:shd w:val="clear" w:color="auto" w:fill="EBECEE"/>
          </w:tcPr>
          <w:p>
            <w:pPr>
              <w:ind w:left="60"/>
              <w:spacing w:after="0"/>
              <w:rPr>
                <w:sz w:val="20"/>
                <w:szCs w:val="20"/>
                <w:color w:val="auto"/>
              </w:rPr>
            </w:pPr>
            <w:r>
              <w:rPr>
                <w:rFonts w:ascii="Arial" w:cs="Arial" w:eastAsia="Arial" w:hAnsi="Arial"/>
                <w:sz w:val="16"/>
                <w:szCs w:val="16"/>
                <w:b w:val="1"/>
                <w:bCs w:val="1"/>
                <w:color w:val="auto"/>
              </w:rPr>
              <w:t>Tobi M. Edwards Young</w:t>
            </w:r>
          </w:p>
        </w:tc>
        <w:tc>
          <w:tcPr>
            <w:tcW w:w="600" w:type="dxa"/>
            <w:vAlign w:val="bottom"/>
            <w:shd w:val="clear" w:color="auto" w:fill="EBECEE"/>
          </w:tcPr>
          <w:p>
            <w:pPr>
              <w:jc w:val="right"/>
              <w:ind w:right="59"/>
              <w:spacing w:after="0"/>
              <w:rPr>
                <w:sz w:val="20"/>
                <w:szCs w:val="20"/>
                <w:color w:val="auto"/>
              </w:rPr>
            </w:pPr>
            <w:r>
              <w:rPr>
                <w:rFonts w:ascii="Arial" w:cs="Arial" w:eastAsia="Arial" w:hAnsi="Arial"/>
                <w:sz w:val="16"/>
                <w:szCs w:val="16"/>
                <w:color w:val="auto"/>
              </w:rPr>
              <w:t>46</w:t>
            </w:r>
          </w:p>
        </w:tc>
        <w:tc>
          <w:tcPr>
            <w:tcW w:w="8620" w:type="dxa"/>
            <w:vAlign w:val="bottom"/>
            <w:shd w:val="clear" w:color="auto" w:fill="EBECEE"/>
          </w:tcPr>
          <w:p>
            <w:pPr>
              <w:ind w:left="140"/>
              <w:spacing w:after="0"/>
              <w:rPr>
                <w:sz w:val="20"/>
                <w:szCs w:val="20"/>
                <w:color w:val="auto"/>
              </w:rPr>
            </w:pPr>
            <w:r>
              <w:rPr>
                <w:rFonts w:ascii="Arial" w:cs="Arial" w:eastAsia="Arial" w:hAnsi="Arial"/>
                <w:sz w:val="16"/>
                <w:szCs w:val="16"/>
                <w:color w:val="auto"/>
              </w:rPr>
              <w:t>Senior Vice President, Global Privacy, Government Affairs, and Chief Regulatory Attorney of Cognizant Technology</w:t>
            </w:r>
          </w:p>
        </w:tc>
      </w:tr>
      <w:tr>
        <w:trPr>
          <w:trHeight w:val="224"/>
        </w:trPr>
        <w:tc>
          <w:tcPr>
            <w:tcW w:w="2020" w:type="dxa"/>
            <w:vAlign w:val="bottom"/>
            <w:tcBorders>
              <w:bottom w:val="single" w:sz="8" w:color="CB233C"/>
            </w:tcBorders>
            <w:shd w:val="clear" w:color="auto" w:fill="EBECEE"/>
          </w:tcPr>
          <w:p>
            <w:pPr>
              <w:spacing w:after="0"/>
              <w:rPr>
                <w:sz w:val="19"/>
                <w:szCs w:val="19"/>
                <w:color w:val="auto"/>
              </w:rPr>
            </w:pPr>
          </w:p>
        </w:tc>
        <w:tc>
          <w:tcPr>
            <w:tcW w:w="600" w:type="dxa"/>
            <w:vAlign w:val="bottom"/>
            <w:tcBorders>
              <w:bottom w:val="single" w:sz="8" w:color="CB233C"/>
            </w:tcBorders>
            <w:shd w:val="clear" w:color="auto" w:fill="EBECEE"/>
          </w:tcPr>
          <w:p>
            <w:pPr>
              <w:spacing w:after="0"/>
              <w:rPr>
                <w:sz w:val="19"/>
                <w:szCs w:val="19"/>
                <w:color w:val="auto"/>
              </w:rPr>
            </w:pPr>
          </w:p>
        </w:tc>
        <w:tc>
          <w:tcPr>
            <w:tcW w:w="8620" w:type="dxa"/>
            <w:vAlign w:val="bottom"/>
            <w:tcBorders>
              <w:bottom w:val="single" w:sz="8" w:color="CB233C"/>
            </w:tcBorders>
            <w:shd w:val="clear" w:color="auto" w:fill="EBECEE"/>
          </w:tcPr>
          <w:p>
            <w:pPr>
              <w:ind w:left="140"/>
              <w:spacing w:after="0"/>
              <w:rPr>
                <w:sz w:val="20"/>
                <w:szCs w:val="20"/>
                <w:color w:val="auto"/>
              </w:rPr>
            </w:pPr>
            <w:r>
              <w:rPr>
                <w:rFonts w:ascii="Arial" w:cs="Arial" w:eastAsia="Arial" w:hAnsi="Arial"/>
                <w:sz w:val="16"/>
                <w:szCs w:val="16"/>
                <w:color w:val="auto"/>
              </w:rPr>
              <w:t>Solutions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120015</wp:posOffset>
            </wp:positionV>
            <wp:extent cx="6858000" cy="3300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00"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 xml:space="preserve">Our 2021 Named Executive Officers </w:t>
      </w:r>
      <w:r>
        <w:rPr>
          <w:rFonts w:ascii="Arial" w:cs="Arial" w:eastAsia="Arial" w:hAnsi="Arial"/>
          <w:sz w:val="25"/>
          <w:szCs w:val="25"/>
          <w:b w:val="1"/>
          <w:bCs w:val="1"/>
          <w:color w:val="CB233C"/>
        </w:rPr>
        <w:t>(page 40)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Borders>
              <w:bottom w:val="single" w:sz="8" w:color="CB233C"/>
            </w:tcBorders>
          </w:tcPr>
          <w:p>
            <w:pPr>
              <w:ind w:left="60"/>
              <w:spacing w:after="0"/>
              <w:rPr>
                <w:sz w:val="20"/>
                <w:szCs w:val="20"/>
                <w:color w:val="auto"/>
              </w:rPr>
            </w:pPr>
            <w:r>
              <w:rPr>
                <w:rFonts w:ascii="Arial" w:cs="Arial" w:eastAsia="Arial" w:hAnsi="Arial"/>
                <w:sz w:val="16"/>
                <w:szCs w:val="16"/>
                <w:b w:val="1"/>
                <w:bCs w:val="1"/>
                <w:color w:val="auto"/>
              </w:rPr>
              <w:t>Name</w:t>
            </w:r>
          </w:p>
        </w:tc>
        <w:tc>
          <w:tcPr>
            <w:tcW w:w="1080" w:type="dxa"/>
            <w:vAlign w:val="bottom"/>
            <w:tcBorders>
              <w:bottom w:val="single" w:sz="8" w:color="CB233C"/>
            </w:tcBorders>
          </w:tcPr>
          <w:p>
            <w:pPr>
              <w:jc w:val="right"/>
              <w:ind w:right="39"/>
              <w:spacing w:after="0"/>
              <w:rPr>
                <w:sz w:val="20"/>
                <w:szCs w:val="20"/>
                <w:color w:val="auto"/>
              </w:rPr>
            </w:pPr>
            <w:r>
              <w:rPr>
                <w:rFonts w:ascii="Arial" w:cs="Arial" w:eastAsia="Arial" w:hAnsi="Arial"/>
                <w:sz w:val="16"/>
                <w:szCs w:val="16"/>
                <w:b w:val="1"/>
                <w:bCs w:val="1"/>
                <w:color w:val="auto"/>
              </w:rPr>
              <w:t>Age</w:t>
            </w:r>
          </w:p>
        </w:tc>
        <w:tc>
          <w:tcPr>
            <w:tcW w:w="8300" w:type="dxa"/>
            <w:vAlign w:val="bottom"/>
            <w:tcBorders>
              <w:bottom w:val="single" w:sz="8" w:color="CB233C"/>
            </w:tcBorders>
          </w:tcPr>
          <w:p>
            <w:pPr>
              <w:ind w:left="100"/>
              <w:spacing w:after="0"/>
              <w:rPr>
                <w:sz w:val="20"/>
                <w:szCs w:val="20"/>
                <w:color w:val="auto"/>
              </w:rPr>
            </w:pPr>
            <w:r>
              <w:rPr>
                <w:rFonts w:ascii="Arial" w:cs="Arial" w:eastAsia="Arial" w:hAnsi="Arial"/>
                <w:sz w:val="16"/>
                <w:szCs w:val="16"/>
                <w:b w:val="1"/>
                <w:bCs w:val="1"/>
                <w:color w:val="auto"/>
              </w:rPr>
              <w:t>Occupation</w:t>
            </w:r>
          </w:p>
        </w:tc>
      </w:tr>
      <w:tr>
        <w:trPr>
          <w:trHeight w:val="250"/>
        </w:trPr>
        <w:tc>
          <w:tcPr>
            <w:tcW w:w="1860" w:type="dxa"/>
            <w:vAlign w:val="bottom"/>
            <w:shd w:val="clear" w:color="auto" w:fill="EBECEE"/>
          </w:tcPr>
          <w:p>
            <w:pPr>
              <w:ind w:left="60"/>
              <w:spacing w:after="0"/>
              <w:rPr>
                <w:sz w:val="20"/>
                <w:szCs w:val="20"/>
                <w:color w:val="auto"/>
              </w:rPr>
            </w:pPr>
            <w:r>
              <w:rPr>
                <w:rFonts w:ascii="Arial" w:cs="Arial" w:eastAsia="Arial" w:hAnsi="Arial"/>
                <w:sz w:val="16"/>
                <w:szCs w:val="16"/>
                <w:color w:val="auto"/>
              </w:rPr>
              <w:t>Jeffrey A. Miller</w:t>
            </w:r>
          </w:p>
        </w:tc>
        <w:tc>
          <w:tcPr>
            <w:tcW w:w="1080" w:type="dxa"/>
            <w:vAlign w:val="bottom"/>
            <w:shd w:val="clear" w:color="auto" w:fill="EBECEE"/>
          </w:tcPr>
          <w:p>
            <w:pPr>
              <w:jc w:val="right"/>
              <w:ind w:right="39"/>
              <w:spacing w:after="0"/>
              <w:rPr>
                <w:sz w:val="20"/>
                <w:szCs w:val="20"/>
                <w:color w:val="auto"/>
              </w:rPr>
            </w:pPr>
            <w:r>
              <w:rPr>
                <w:rFonts w:ascii="Arial" w:cs="Arial" w:eastAsia="Arial" w:hAnsi="Arial"/>
                <w:sz w:val="16"/>
                <w:szCs w:val="16"/>
                <w:color w:val="auto"/>
              </w:rPr>
              <w:t>58</w:t>
            </w:r>
          </w:p>
        </w:tc>
        <w:tc>
          <w:tcPr>
            <w:tcW w:w="8300" w:type="dxa"/>
            <w:vAlign w:val="bottom"/>
            <w:shd w:val="clear" w:color="auto" w:fill="EBECEE"/>
          </w:tcPr>
          <w:p>
            <w:pPr>
              <w:ind w:left="100"/>
              <w:spacing w:after="0"/>
              <w:rPr>
                <w:sz w:val="20"/>
                <w:szCs w:val="20"/>
                <w:color w:val="auto"/>
              </w:rPr>
            </w:pPr>
            <w:r>
              <w:rPr>
                <w:rFonts w:ascii="Arial" w:cs="Arial" w:eastAsia="Arial" w:hAnsi="Arial"/>
                <w:sz w:val="16"/>
                <w:szCs w:val="16"/>
                <w:color w:val="auto"/>
              </w:rPr>
              <w:t>Chairman, President and Chief Executive Officer</w:t>
            </w:r>
          </w:p>
        </w:tc>
      </w:tr>
      <w:tr>
        <w:trPr>
          <w:trHeight w:val="249"/>
        </w:trPr>
        <w:tc>
          <w:tcPr>
            <w:tcW w:w="1860" w:type="dxa"/>
            <w:vAlign w:val="bottom"/>
          </w:tcPr>
          <w:p>
            <w:pPr>
              <w:ind w:left="60"/>
              <w:spacing w:after="0"/>
              <w:rPr>
                <w:sz w:val="20"/>
                <w:szCs w:val="20"/>
                <w:color w:val="auto"/>
              </w:rPr>
            </w:pPr>
            <w:r>
              <w:rPr>
                <w:rFonts w:ascii="Arial" w:cs="Arial" w:eastAsia="Arial" w:hAnsi="Arial"/>
                <w:sz w:val="16"/>
                <w:szCs w:val="16"/>
                <w:color w:val="auto"/>
              </w:rPr>
              <w:t>Lance Loeffler</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8300" w:type="dxa"/>
            <w:vAlign w:val="bottom"/>
          </w:tcPr>
          <w:p>
            <w:pPr>
              <w:ind w:left="100"/>
              <w:spacing w:after="0"/>
              <w:rPr>
                <w:sz w:val="20"/>
                <w:szCs w:val="20"/>
                <w:color w:val="auto"/>
              </w:rPr>
            </w:pPr>
            <w:r>
              <w:rPr>
                <w:rFonts w:ascii="Arial" w:cs="Arial" w:eastAsia="Arial" w:hAnsi="Arial"/>
                <w:sz w:val="16"/>
                <w:szCs w:val="16"/>
                <w:color w:val="auto"/>
              </w:rPr>
              <w:t>Executive Vice President and Chief Financial Officer</w:t>
            </w:r>
          </w:p>
        </w:tc>
      </w:tr>
      <w:tr>
        <w:trPr>
          <w:trHeight w:val="264"/>
        </w:trPr>
        <w:tc>
          <w:tcPr>
            <w:tcW w:w="1860" w:type="dxa"/>
            <w:vAlign w:val="bottom"/>
            <w:shd w:val="clear" w:color="auto" w:fill="EBECEE"/>
          </w:tcPr>
          <w:p>
            <w:pPr>
              <w:ind w:left="60"/>
              <w:spacing w:after="0"/>
              <w:rPr>
                <w:sz w:val="20"/>
                <w:szCs w:val="20"/>
                <w:color w:val="auto"/>
              </w:rPr>
            </w:pPr>
            <w:r>
              <w:rPr>
                <w:rFonts w:ascii="Arial" w:cs="Arial" w:eastAsia="Arial" w:hAnsi="Arial"/>
                <w:sz w:val="16"/>
                <w:szCs w:val="16"/>
                <w:color w:val="auto"/>
              </w:rPr>
              <w:t>Eric J. Carre</w:t>
            </w:r>
          </w:p>
        </w:tc>
        <w:tc>
          <w:tcPr>
            <w:tcW w:w="1080" w:type="dxa"/>
            <w:vAlign w:val="bottom"/>
            <w:shd w:val="clear" w:color="auto" w:fill="EBECEE"/>
          </w:tcPr>
          <w:p>
            <w:pPr>
              <w:jc w:val="right"/>
              <w:ind w:right="39"/>
              <w:spacing w:after="0"/>
              <w:rPr>
                <w:sz w:val="20"/>
                <w:szCs w:val="20"/>
                <w:color w:val="auto"/>
              </w:rPr>
            </w:pPr>
            <w:r>
              <w:rPr>
                <w:rFonts w:ascii="Arial" w:cs="Arial" w:eastAsia="Arial" w:hAnsi="Arial"/>
                <w:sz w:val="16"/>
                <w:szCs w:val="16"/>
                <w:color w:val="auto"/>
              </w:rPr>
              <w:t>56</w:t>
            </w:r>
          </w:p>
        </w:tc>
        <w:tc>
          <w:tcPr>
            <w:tcW w:w="8300" w:type="dxa"/>
            <w:vAlign w:val="bottom"/>
            <w:shd w:val="clear" w:color="auto" w:fill="EBECEE"/>
          </w:tcPr>
          <w:p>
            <w:pPr>
              <w:ind w:left="100"/>
              <w:spacing w:after="0"/>
              <w:rPr>
                <w:sz w:val="20"/>
                <w:szCs w:val="20"/>
                <w:color w:val="auto"/>
              </w:rPr>
            </w:pPr>
            <w:r>
              <w:rPr>
                <w:rFonts w:ascii="Arial" w:cs="Arial" w:eastAsia="Arial" w:hAnsi="Arial"/>
                <w:sz w:val="16"/>
                <w:szCs w:val="16"/>
                <w:color w:val="auto"/>
              </w:rPr>
              <w:t>Executive Vice President – Global Business Lines</w:t>
            </w:r>
          </w:p>
        </w:tc>
      </w:tr>
      <w:tr>
        <w:trPr>
          <w:trHeight w:val="249"/>
        </w:trPr>
        <w:tc>
          <w:tcPr>
            <w:tcW w:w="1860" w:type="dxa"/>
            <w:vAlign w:val="bottom"/>
          </w:tcPr>
          <w:p>
            <w:pPr>
              <w:ind w:left="60"/>
              <w:spacing w:after="0"/>
              <w:rPr>
                <w:sz w:val="20"/>
                <w:szCs w:val="20"/>
                <w:color w:val="auto"/>
              </w:rPr>
            </w:pPr>
            <w:r>
              <w:rPr>
                <w:rFonts w:ascii="Arial" w:cs="Arial" w:eastAsia="Arial" w:hAnsi="Arial"/>
                <w:sz w:val="16"/>
                <w:szCs w:val="16"/>
                <w:color w:val="auto"/>
              </w:rPr>
              <w:t>Joe D. Rainey</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8300" w:type="dxa"/>
            <w:vAlign w:val="bottom"/>
          </w:tcPr>
          <w:p>
            <w:pPr>
              <w:ind w:left="100"/>
              <w:spacing w:after="0"/>
              <w:rPr>
                <w:sz w:val="20"/>
                <w:szCs w:val="20"/>
                <w:color w:val="auto"/>
              </w:rPr>
            </w:pPr>
            <w:r>
              <w:rPr>
                <w:rFonts w:ascii="Arial" w:cs="Arial" w:eastAsia="Arial" w:hAnsi="Arial"/>
                <w:sz w:val="16"/>
                <w:szCs w:val="16"/>
                <w:color w:val="auto"/>
              </w:rPr>
              <w:t>President – Eastern Hemisphere</w:t>
            </w:r>
          </w:p>
        </w:tc>
      </w:tr>
      <w:tr>
        <w:trPr>
          <w:trHeight w:val="258"/>
        </w:trPr>
        <w:tc>
          <w:tcPr>
            <w:tcW w:w="1860" w:type="dxa"/>
            <w:vAlign w:val="bottom"/>
            <w:tcBorders>
              <w:bottom w:val="single" w:sz="8" w:color="CB233C"/>
            </w:tcBorders>
            <w:shd w:val="clear" w:color="auto" w:fill="EBECEE"/>
          </w:tcPr>
          <w:p>
            <w:pPr>
              <w:ind w:left="60"/>
              <w:spacing w:after="0"/>
              <w:rPr>
                <w:sz w:val="20"/>
                <w:szCs w:val="20"/>
                <w:color w:val="auto"/>
              </w:rPr>
            </w:pPr>
            <w:r>
              <w:rPr>
                <w:rFonts w:ascii="Arial" w:cs="Arial" w:eastAsia="Arial" w:hAnsi="Arial"/>
                <w:sz w:val="16"/>
                <w:szCs w:val="16"/>
                <w:color w:val="auto"/>
              </w:rPr>
              <w:t>Mark J. Richard</w:t>
            </w:r>
          </w:p>
        </w:tc>
        <w:tc>
          <w:tcPr>
            <w:tcW w:w="1080" w:type="dxa"/>
            <w:vAlign w:val="bottom"/>
            <w:tcBorders>
              <w:bottom w:val="single" w:sz="8" w:color="CB233C"/>
            </w:tcBorders>
            <w:shd w:val="clear" w:color="auto" w:fill="EBECEE"/>
          </w:tcPr>
          <w:p>
            <w:pPr>
              <w:jc w:val="right"/>
              <w:ind w:right="39"/>
              <w:spacing w:after="0"/>
              <w:rPr>
                <w:sz w:val="20"/>
                <w:szCs w:val="20"/>
                <w:color w:val="auto"/>
              </w:rPr>
            </w:pPr>
            <w:r>
              <w:rPr>
                <w:rFonts w:ascii="Arial" w:cs="Arial" w:eastAsia="Arial" w:hAnsi="Arial"/>
                <w:sz w:val="16"/>
                <w:szCs w:val="16"/>
                <w:color w:val="auto"/>
              </w:rPr>
              <w:t>60</w:t>
            </w:r>
          </w:p>
        </w:tc>
        <w:tc>
          <w:tcPr>
            <w:tcW w:w="8300" w:type="dxa"/>
            <w:vAlign w:val="bottom"/>
            <w:tcBorders>
              <w:bottom w:val="single" w:sz="8" w:color="CB233C"/>
            </w:tcBorders>
            <w:shd w:val="clear" w:color="auto" w:fill="EBECEE"/>
          </w:tcPr>
          <w:p>
            <w:pPr>
              <w:ind w:left="100"/>
              <w:spacing w:after="0"/>
              <w:rPr>
                <w:sz w:val="20"/>
                <w:szCs w:val="20"/>
                <w:color w:val="auto"/>
              </w:rPr>
            </w:pPr>
            <w:r>
              <w:rPr>
                <w:rFonts w:ascii="Arial" w:cs="Arial" w:eastAsia="Arial" w:hAnsi="Arial"/>
                <w:sz w:val="16"/>
                <w:szCs w:val="16"/>
                <w:color w:val="auto"/>
              </w:rPr>
              <w:t>President – Western Hemisphere</w:t>
            </w:r>
          </w:p>
        </w:tc>
      </w:tr>
    </w:tbl>
    <w:p>
      <w:pPr>
        <w:spacing w:after="0" w:line="175"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r>
      <w:r>
        <w:rPr>
          <w:sz w:val="20"/>
          <w:szCs w:val="20"/>
          <w:color w:val="auto"/>
        </w:rPr>
        <w:tab/>
      </w:r>
      <w:r>
        <w:rPr>
          <w:rFonts w:ascii="Arial" w:cs="Arial" w:eastAsia="Arial" w:hAnsi="Arial"/>
          <w:sz w:val="14"/>
          <w:szCs w:val="14"/>
          <w:b w:val="1"/>
          <w:bCs w:val="1"/>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9377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377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 xml:space="preserve">Our Executive Compensation Program </w:t>
      </w:r>
      <w:r>
        <w:rPr>
          <w:rFonts w:ascii="Arial" w:cs="Arial" w:eastAsia="Arial" w:hAnsi="Arial"/>
          <w:sz w:val="25"/>
          <w:szCs w:val="25"/>
          <w:b w:val="1"/>
          <w:bCs w:val="1"/>
          <w:color w:val="CB233C"/>
        </w:rPr>
        <w:t>(pages 31-63)</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Objectives </w:t>
      </w:r>
      <w:r>
        <w:rPr>
          <w:rFonts w:ascii="Arial" w:cs="Arial" w:eastAsia="Arial" w:hAnsi="Arial"/>
          <w:sz w:val="21"/>
          <w:szCs w:val="21"/>
          <w:b w:val="1"/>
          <w:bCs w:val="1"/>
          <w:color w:val="auto"/>
        </w:rPr>
        <w:t>(page 40)</w:t>
      </w:r>
    </w:p>
    <w:p>
      <w:pPr>
        <w:spacing w:after="0" w:line="20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executive compensation program is composed of base salary, a short-term incentive, and long-term incentives and is designed to achieve the following objectives:</w:t>
      </w:r>
    </w:p>
    <w:p>
      <w:pPr>
        <w:spacing w:after="0" w:line="129"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6"/>
          <w:szCs w:val="16"/>
          <w:color w:val="CB233C"/>
        </w:rPr>
      </w:pPr>
      <w:r>
        <w:rPr>
          <w:rFonts w:ascii="Arial" w:cs="Arial" w:eastAsia="Arial" w:hAnsi="Arial"/>
          <w:sz w:val="16"/>
          <w:szCs w:val="16"/>
          <w:color w:val="auto"/>
        </w:rPr>
        <w:t>Provide a clear and direct relationship between executive pay and our performance on both a short-term and long-term basis;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4"/>
        </w:numPr>
        <w:rPr>
          <w:rFonts w:ascii="Arial" w:cs="Arial" w:eastAsia="Arial" w:hAnsi="Arial"/>
          <w:sz w:val="16"/>
          <w:szCs w:val="16"/>
          <w:color w:val="CB233C"/>
        </w:rPr>
      </w:pPr>
      <w:r>
        <w:rPr>
          <w:rFonts w:ascii="Arial" w:cs="Arial" w:eastAsia="Arial" w:hAnsi="Arial"/>
          <w:sz w:val="16"/>
          <w:szCs w:val="16"/>
          <w:color w:val="auto"/>
        </w:rPr>
        <w:t>Target market competitive pay levels with a comparator peer group;</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4"/>
        </w:numPr>
        <w:rPr>
          <w:rFonts w:ascii="Arial" w:cs="Arial" w:eastAsia="Arial" w:hAnsi="Arial"/>
          <w:sz w:val="16"/>
          <w:szCs w:val="16"/>
          <w:color w:val="CB233C"/>
        </w:rPr>
      </w:pPr>
      <w:r>
        <w:rPr>
          <w:rFonts w:ascii="Arial" w:cs="Arial" w:eastAsia="Arial" w:hAnsi="Arial"/>
          <w:sz w:val="16"/>
          <w:szCs w:val="16"/>
          <w:color w:val="auto"/>
        </w:rPr>
        <w:t>Emphasize operating performance drivers;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4"/>
        </w:numPr>
        <w:rPr>
          <w:rFonts w:ascii="Arial" w:cs="Arial" w:eastAsia="Arial" w:hAnsi="Arial"/>
          <w:sz w:val="16"/>
          <w:szCs w:val="16"/>
          <w:color w:val="CB233C"/>
        </w:rPr>
      </w:pPr>
      <w:r>
        <w:rPr>
          <w:rFonts w:ascii="Arial" w:cs="Arial" w:eastAsia="Arial" w:hAnsi="Arial"/>
          <w:sz w:val="16"/>
          <w:szCs w:val="16"/>
          <w:color w:val="auto"/>
        </w:rPr>
        <w:t>Link executive pay to measures that drive shareholder returns;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4"/>
        </w:numPr>
        <w:rPr>
          <w:rFonts w:ascii="Arial" w:cs="Arial" w:eastAsia="Arial" w:hAnsi="Arial"/>
          <w:sz w:val="16"/>
          <w:szCs w:val="16"/>
          <w:color w:val="CB233C"/>
        </w:rPr>
      </w:pPr>
      <w:r>
        <w:rPr>
          <w:rFonts w:ascii="Arial" w:cs="Arial" w:eastAsia="Arial" w:hAnsi="Arial"/>
          <w:sz w:val="16"/>
          <w:szCs w:val="16"/>
          <w:color w:val="auto"/>
        </w:rPr>
        <w:t>Support our business strategies; and</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4"/>
        </w:numPr>
        <w:rPr>
          <w:rFonts w:ascii="Arial" w:cs="Arial" w:eastAsia="Arial" w:hAnsi="Arial"/>
          <w:sz w:val="16"/>
          <w:szCs w:val="16"/>
          <w:color w:val="CB233C"/>
        </w:rPr>
      </w:pPr>
      <w:r>
        <w:rPr>
          <w:rFonts w:ascii="Arial" w:cs="Arial" w:eastAsia="Arial" w:hAnsi="Arial"/>
          <w:sz w:val="16"/>
          <w:szCs w:val="16"/>
          <w:color w:val="auto"/>
        </w:rPr>
        <w:t>Maximize the return on our human resource investment.</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How Our Executive Compensation Program Links to Performance </w:t>
      </w:r>
      <w:r>
        <w:rPr>
          <w:rFonts w:ascii="Arial" w:cs="Arial" w:eastAsia="Arial" w:hAnsi="Arial"/>
          <w:sz w:val="17"/>
          <w:szCs w:val="17"/>
          <w:b w:val="1"/>
          <w:bCs w:val="1"/>
          <w:color w:val="auto"/>
        </w:rPr>
        <w:t>(page 41)</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executive compensation program emphasizes variable pay that aligns compensation with performance and shareholder value. The mix of compensation elements is heavily weighted toward variable, performance-based compensation to ensure our senior executives continue to deliver the reliable execution, strong cash flow, and industry-leading returns that our shareholders expect.</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left="100"/>
        <w:spacing w:after="0"/>
        <w:rPr>
          <w:sz w:val="20"/>
          <w:szCs w:val="20"/>
          <w:color w:val="auto"/>
        </w:rPr>
      </w:pPr>
      <w:r>
        <w:rPr>
          <w:rFonts w:ascii="Arial" w:cs="Arial" w:eastAsia="Arial" w:hAnsi="Arial"/>
          <w:sz w:val="16"/>
          <w:szCs w:val="16"/>
          <w:b w:val="1"/>
          <w:bCs w:val="1"/>
          <w:color w:val="FFFFFF"/>
        </w:rPr>
        <w:t>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428625" cy="3472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8625" cy="347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100"/>
        <w:spacing w:after="0"/>
        <w:rPr>
          <w:sz w:val="20"/>
          <w:szCs w:val="20"/>
          <w:color w:val="auto"/>
        </w:rPr>
      </w:pPr>
      <w:r>
        <w:rPr>
          <w:rFonts w:ascii="Arial" w:cs="Arial" w:eastAsia="Arial" w:hAnsi="Arial"/>
          <w:sz w:val="16"/>
          <w:szCs w:val="16"/>
          <w:b w:val="1"/>
          <w:bCs w:val="1"/>
          <w:color w:val="FFFFFF"/>
        </w:rPr>
        <w:t>AT</w:t>
      </w:r>
    </w:p>
    <w:p>
      <w:pPr>
        <w:spacing w:after="0" w:line="21" w:lineRule="exact"/>
        <w:rPr>
          <w:sz w:val="20"/>
          <w:szCs w:val="20"/>
          <w:color w:val="auto"/>
        </w:rPr>
      </w:pPr>
    </w:p>
    <w:p>
      <w:pPr>
        <w:jc w:val="center"/>
        <w:ind w:left="100"/>
        <w:spacing w:after="0"/>
        <w:rPr>
          <w:sz w:val="20"/>
          <w:szCs w:val="20"/>
          <w:color w:val="auto"/>
        </w:rPr>
      </w:pPr>
      <w:r>
        <w:rPr>
          <w:rFonts w:ascii="Arial" w:cs="Arial" w:eastAsia="Arial" w:hAnsi="Arial"/>
          <w:sz w:val="16"/>
          <w:szCs w:val="16"/>
          <w:b w:val="1"/>
          <w:bCs w:val="1"/>
          <w:color w:val="FFFFFF"/>
        </w:rPr>
        <w:t>RISK</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20" w:type="dxa"/>
            <w:vAlign w:val="bottom"/>
          </w:tcPr>
          <w:p>
            <w:pPr>
              <w:spacing w:after="0"/>
              <w:rPr>
                <w:sz w:val="16"/>
                <w:szCs w:val="16"/>
                <w:color w:val="auto"/>
              </w:rPr>
            </w:pP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Reward</w:t>
            </w:r>
          </w:p>
        </w:tc>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6"/>
                <w:szCs w:val="16"/>
                <w:b w:val="1"/>
                <w:bCs w:val="1"/>
                <w:color w:val="auto"/>
              </w:rPr>
              <w:t>How Award Value</w:t>
            </w: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Element</w:t>
            </w:r>
          </w:p>
        </w:tc>
        <w:tc>
          <w:tcPr>
            <w:tcW w:w="21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Objective</w:t>
            </w:r>
          </w:p>
        </w:tc>
        <w:tc>
          <w:tcPr>
            <w:tcW w:w="23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Key Features</w:t>
            </w: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is Determined</w:t>
            </w:r>
          </w:p>
        </w:tc>
        <w:tc>
          <w:tcPr>
            <w:tcW w:w="22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2021 Decisions</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1360" w:type="dxa"/>
            <w:vAlign w:val="bottom"/>
            <w:shd w:val="clear" w:color="auto" w:fill="EBECEE"/>
          </w:tcPr>
          <w:p>
            <w:pPr>
              <w:ind w:left="40"/>
              <w:spacing w:after="0"/>
              <w:rPr>
                <w:sz w:val="20"/>
                <w:szCs w:val="20"/>
                <w:color w:val="auto"/>
              </w:rPr>
            </w:pPr>
            <w:r>
              <w:rPr>
                <w:rFonts w:ascii="Arial" w:cs="Arial" w:eastAsia="Arial" w:hAnsi="Arial"/>
                <w:sz w:val="16"/>
                <w:szCs w:val="16"/>
                <w:b w:val="1"/>
                <w:bCs w:val="1"/>
                <w:color w:val="auto"/>
              </w:rPr>
              <w:t>Base Salary</w:t>
            </w:r>
          </w:p>
        </w:tc>
        <w:tc>
          <w:tcPr>
            <w:tcW w:w="2180" w:type="dxa"/>
            <w:vAlign w:val="bottom"/>
            <w:shd w:val="clear" w:color="auto" w:fill="EBECEE"/>
          </w:tcPr>
          <w:p>
            <w:pPr>
              <w:ind w:left="120"/>
              <w:spacing w:after="0"/>
              <w:rPr>
                <w:sz w:val="20"/>
                <w:szCs w:val="20"/>
                <w:color w:val="auto"/>
              </w:rPr>
            </w:pPr>
            <w:r>
              <w:rPr>
                <w:rFonts w:ascii="Arial" w:cs="Arial" w:eastAsia="Arial" w:hAnsi="Arial"/>
                <w:sz w:val="16"/>
                <w:szCs w:val="16"/>
                <w:color w:val="auto"/>
              </w:rPr>
              <w:t>Compensates executives</w:t>
            </w:r>
          </w:p>
        </w:tc>
        <w:tc>
          <w:tcPr>
            <w:tcW w:w="2360" w:type="dxa"/>
            <w:vAlign w:val="bottom"/>
            <w:gridSpan w:val="2"/>
            <w:shd w:val="clear" w:color="auto" w:fill="EBECEE"/>
          </w:tcPr>
          <w:p>
            <w:pPr>
              <w:ind w:left="60"/>
              <w:spacing w:after="0"/>
              <w:rPr>
                <w:sz w:val="20"/>
                <w:szCs w:val="20"/>
                <w:color w:val="auto"/>
              </w:rPr>
            </w:pPr>
            <w:r>
              <w:rPr>
                <w:rFonts w:ascii="Arial" w:cs="Arial" w:eastAsia="Arial" w:hAnsi="Arial"/>
                <w:sz w:val="16"/>
                <w:szCs w:val="16"/>
                <w:color w:val="auto"/>
              </w:rPr>
              <w:t>Fixed element of</w:t>
            </w:r>
          </w:p>
        </w:tc>
        <w:tc>
          <w:tcPr>
            <w:tcW w:w="2320" w:type="dxa"/>
            <w:vAlign w:val="bottom"/>
            <w:shd w:val="clear" w:color="auto" w:fill="EBECEE"/>
          </w:tcPr>
          <w:p>
            <w:pPr>
              <w:ind w:left="60"/>
              <w:spacing w:after="0"/>
              <w:rPr>
                <w:sz w:val="20"/>
                <w:szCs w:val="20"/>
                <w:color w:val="auto"/>
              </w:rPr>
            </w:pPr>
            <w:r>
              <w:rPr>
                <w:rFonts w:ascii="Arial" w:cs="Arial" w:eastAsia="Arial" w:hAnsi="Arial"/>
                <w:sz w:val="16"/>
                <w:szCs w:val="16"/>
                <w:color w:val="auto"/>
              </w:rPr>
              <w:t>Benchmarked against a group</w:t>
            </w:r>
          </w:p>
        </w:tc>
        <w:tc>
          <w:tcPr>
            <w:tcW w:w="2220" w:type="dxa"/>
            <w:vAlign w:val="bottom"/>
            <w:shd w:val="clear" w:color="auto" w:fill="EBECEE"/>
          </w:tcPr>
          <w:p>
            <w:pPr>
              <w:ind w:left="80"/>
              <w:spacing w:after="0"/>
              <w:rPr>
                <w:sz w:val="20"/>
                <w:szCs w:val="20"/>
                <w:color w:val="auto"/>
              </w:rPr>
            </w:pPr>
            <w:r>
              <w:rPr>
                <w:rFonts w:ascii="Arial" w:cs="Arial" w:eastAsia="Arial" w:hAnsi="Arial"/>
                <w:sz w:val="16"/>
                <w:szCs w:val="16"/>
                <w:color w:val="auto"/>
              </w:rPr>
              <w:t>Effective January 1, 2021,</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360" w:type="dxa"/>
            <w:vAlign w:val="bottom"/>
            <w:shd w:val="clear" w:color="auto" w:fill="EBECEE"/>
          </w:tcPr>
          <w:p>
            <w:pPr>
              <w:spacing w:after="0"/>
              <w:rPr>
                <w:sz w:val="16"/>
                <w:szCs w:val="16"/>
                <w:color w:val="auto"/>
              </w:rPr>
            </w:pPr>
          </w:p>
        </w:tc>
        <w:tc>
          <w:tcPr>
            <w:tcW w:w="2180" w:type="dxa"/>
            <w:vAlign w:val="bottom"/>
            <w:shd w:val="clear" w:color="auto" w:fill="EBECEE"/>
          </w:tcPr>
          <w:p>
            <w:pPr>
              <w:ind w:left="120"/>
              <w:spacing w:after="0"/>
              <w:rPr>
                <w:sz w:val="20"/>
                <w:szCs w:val="20"/>
                <w:color w:val="auto"/>
              </w:rPr>
            </w:pPr>
            <w:r>
              <w:rPr>
                <w:rFonts w:ascii="Arial" w:cs="Arial" w:eastAsia="Arial" w:hAnsi="Arial"/>
                <w:sz w:val="16"/>
                <w:szCs w:val="16"/>
                <w:color w:val="auto"/>
              </w:rPr>
              <w:t>based on their</w:t>
            </w:r>
          </w:p>
        </w:tc>
        <w:tc>
          <w:tcPr>
            <w:tcW w:w="2360" w:type="dxa"/>
            <w:vAlign w:val="bottom"/>
            <w:gridSpan w:val="2"/>
            <w:shd w:val="clear" w:color="auto" w:fill="EBECEE"/>
          </w:tcPr>
          <w:p>
            <w:pPr>
              <w:ind w:left="60"/>
              <w:spacing w:after="0"/>
              <w:rPr>
                <w:sz w:val="20"/>
                <w:szCs w:val="20"/>
                <w:color w:val="auto"/>
              </w:rPr>
            </w:pPr>
            <w:r>
              <w:rPr>
                <w:rFonts w:ascii="Arial" w:cs="Arial" w:eastAsia="Arial" w:hAnsi="Arial"/>
                <w:sz w:val="16"/>
                <w:szCs w:val="16"/>
                <w:color w:val="auto"/>
              </w:rPr>
              <w:t>compensation paid in cash.</w:t>
            </w:r>
          </w:p>
        </w:tc>
        <w:tc>
          <w:tcPr>
            <w:tcW w:w="2320" w:type="dxa"/>
            <w:vAlign w:val="bottom"/>
            <w:shd w:val="clear" w:color="auto" w:fill="EBECEE"/>
          </w:tcPr>
          <w:p>
            <w:pPr>
              <w:ind w:left="60"/>
              <w:spacing w:after="0"/>
              <w:rPr>
                <w:sz w:val="20"/>
                <w:szCs w:val="20"/>
                <w:color w:val="auto"/>
              </w:rPr>
            </w:pPr>
            <w:r>
              <w:rPr>
                <w:rFonts w:ascii="Arial" w:cs="Arial" w:eastAsia="Arial" w:hAnsi="Arial"/>
                <w:sz w:val="16"/>
                <w:szCs w:val="16"/>
                <w:color w:val="auto"/>
              </w:rPr>
              <w:t>of comparably sized</w:t>
            </w:r>
          </w:p>
        </w:tc>
        <w:tc>
          <w:tcPr>
            <w:tcW w:w="2220" w:type="dxa"/>
            <w:vAlign w:val="bottom"/>
            <w:shd w:val="clear" w:color="auto" w:fill="EBECEE"/>
          </w:tcPr>
          <w:p>
            <w:pPr>
              <w:ind w:left="80"/>
              <w:spacing w:after="0"/>
              <w:rPr>
                <w:sz w:val="20"/>
                <w:szCs w:val="20"/>
                <w:color w:val="auto"/>
              </w:rPr>
            </w:pPr>
            <w:r>
              <w:rPr>
                <w:rFonts w:ascii="Arial" w:cs="Arial" w:eastAsia="Arial" w:hAnsi="Arial"/>
                <w:sz w:val="16"/>
                <w:szCs w:val="16"/>
                <w:color w:val="auto"/>
              </w:rPr>
              <w:t>base salaries were</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360" w:type="dxa"/>
            <w:vAlign w:val="bottom"/>
            <w:shd w:val="clear" w:color="auto" w:fill="EBECEE"/>
          </w:tcPr>
          <w:p>
            <w:pPr>
              <w:spacing w:after="0"/>
              <w:rPr>
                <w:sz w:val="16"/>
                <w:szCs w:val="16"/>
                <w:color w:val="auto"/>
              </w:rPr>
            </w:pPr>
          </w:p>
        </w:tc>
        <w:tc>
          <w:tcPr>
            <w:tcW w:w="2180" w:type="dxa"/>
            <w:vAlign w:val="bottom"/>
            <w:shd w:val="clear" w:color="auto" w:fill="EBECEE"/>
          </w:tcPr>
          <w:p>
            <w:pPr>
              <w:ind w:left="120"/>
              <w:spacing w:after="0"/>
              <w:rPr>
                <w:sz w:val="20"/>
                <w:szCs w:val="20"/>
                <w:color w:val="auto"/>
              </w:rPr>
            </w:pPr>
            <w:r>
              <w:rPr>
                <w:rFonts w:ascii="Arial" w:cs="Arial" w:eastAsia="Arial" w:hAnsi="Arial"/>
                <w:sz w:val="16"/>
                <w:szCs w:val="16"/>
                <w:color w:val="auto"/>
              </w:rPr>
              <w:t>responsibilities, experience,</w:t>
            </w:r>
          </w:p>
        </w:tc>
        <w:tc>
          <w:tcPr>
            <w:tcW w:w="260" w:type="dxa"/>
            <w:vAlign w:val="bottom"/>
            <w:shd w:val="clear" w:color="auto" w:fill="EBECEE"/>
          </w:tcPr>
          <w:p>
            <w:pPr>
              <w:spacing w:after="0"/>
              <w:rPr>
                <w:sz w:val="16"/>
                <w:szCs w:val="16"/>
                <w:color w:val="auto"/>
              </w:rPr>
            </w:pPr>
          </w:p>
        </w:tc>
        <w:tc>
          <w:tcPr>
            <w:tcW w:w="2100" w:type="dxa"/>
            <w:vAlign w:val="bottom"/>
            <w:shd w:val="clear" w:color="auto" w:fill="EBECEE"/>
          </w:tcPr>
          <w:p>
            <w:pPr>
              <w:spacing w:after="0"/>
              <w:rPr>
                <w:sz w:val="16"/>
                <w:szCs w:val="16"/>
                <w:color w:val="auto"/>
              </w:rPr>
            </w:pPr>
          </w:p>
        </w:tc>
        <w:tc>
          <w:tcPr>
            <w:tcW w:w="2320" w:type="dxa"/>
            <w:vAlign w:val="bottom"/>
            <w:shd w:val="clear" w:color="auto" w:fill="EBECEE"/>
          </w:tcPr>
          <w:p>
            <w:pPr>
              <w:ind w:left="60"/>
              <w:spacing w:after="0"/>
              <w:rPr>
                <w:sz w:val="20"/>
                <w:szCs w:val="20"/>
                <w:color w:val="auto"/>
              </w:rPr>
            </w:pPr>
            <w:r>
              <w:rPr>
                <w:rFonts w:ascii="Arial" w:cs="Arial" w:eastAsia="Arial" w:hAnsi="Arial"/>
                <w:sz w:val="16"/>
                <w:szCs w:val="16"/>
                <w:color w:val="auto"/>
              </w:rPr>
              <w:t>corporations and industry</w:t>
            </w:r>
          </w:p>
        </w:tc>
        <w:tc>
          <w:tcPr>
            <w:tcW w:w="2220" w:type="dxa"/>
            <w:vAlign w:val="bottom"/>
            <w:shd w:val="clear" w:color="auto" w:fill="EBECEE"/>
          </w:tcPr>
          <w:p>
            <w:pPr>
              <w:ind w:left="80"/>
              <w:spacing w:after="0"/>
              <w:rPr>
                <w:sz w:val="20"/>
                <w:szCs w:val="20"/>
                <w:color w:val="auto"/>
              </w:rPr>
            </w:pPr>
            <w:r>
              <w:rPr>
                <w:rFonts w:ascii="Arial" w:cs="Arial" w:eastAsia="Arial" w:hAnsi="Arial"/>
                <w:sz w:val="16"/>
                <w:szCs w:val="16"/>
                <w:color w:val="auto"/>
              </w:rPr>
              <w:t>reinstated to pre-reduction</w:t>
            </w:r>
          </w:p>
        </w:tc>
        <w:tc>
          <w:tcPr>
            <w:tcW w:w="0" w:type="dxa"/>
            <w:vAlign w:val="bottom"/>
          </w:tcPr>
          <w:p>
            <w:pPr>
              <w:spacing w:after="0"/>
              <w:rPr>
                <w:sz w:val="1"/>
                <w:szCs w:val="1"/>
                <w:color w:val="auto"/>
              </w:rPr>
            </w:pPr>
          </w:p>
        </w:tc>
      </w:tr>
      <w:tr>
        <w:trPr>
          <w:trHeight w:val="262"/>
        </w:trPr>
        <w:tc>
          <w:tcPr>
            <w:tcW w:w="120" w:type="dxa"/>
            <w:vAlign w:val="bottom"/>
          </w:tcPr>
          <w:p>
            <w:pPr>
              <w:spacing w:after="0"/>
              <w:rPr>
                <w:sz w:val="22"/>
                <w:szCs w:val="22"/>
                <w:color w:val="auto"/>
              </w:rPr>
            </w:pPr>
          </w:p>
        </w:tc>
        <w:tc>
          <w:tcPr>
            <w:tcW w:w="1360" w:type="dxa"/>
            <w:vAlign w:val="bottom"/>
            <w:tcBorders>
              <w:bottom w:val="single" w:sz="8" w:color="EBECEE"/>
            </w:tcBorders>
            <w:shd w:val="clear" w:color="auto" w:fill="EBECEE"/>
          </w:tcPr>
          <w:p>
            <w:pPr>
              <w:spacing w:after="0"/>
              <w:rPr>
                <w:sz w:val="22"/>
                <w:szCs w:val="22"/>
                <w:color w:val="auto"/>
              </w:rPr>
            </w:pPr>
          </w:p>
        </w:tc>
        <w:tc>
          <w:tcPr>
            <w:tcW w:w="2180" w:type="dxa"/>
            <w:vAlign w:val="bottom"/>
            <w:tcBorders>
              <w:bottom w:val="single" w:sz="8" w:color="EBECEE"/>
            </w:tcBorders>
            <w:shd w:val="clear" w:color="auto" w:fill="EBECEE"/>
          </w:tcPr>
          <w:p>
            <w:pPr>
              <w:ind w:left="120"/>
              <w:spacing w:after="0"/>
              <w:rPr>
                <w:sz w:val="20"/>
                <w:szCs w:val="20"/>
                <w:color w:val="auto"/>
              </w:rPr>
            </w:pPr>
            <w:r>
              <w:rPr>
                <w:rFonts w:ascii="Arial" w:cs="Arial" w:eastAsia="Arial" w:hAnsi="Arial"/>
                <w:sz w:val="16"/>
                <w:szCs w:val="16"/>
                <w:color w:val="auto"/>
              </w:rPr>
              <w:t>and skillset.</w:t>
            </w:r>
          </w:p>
        </w:tc>
        <w:tc>
          <w:tcPr>
            <w:tcW w:w="260" w:type="dxa"/>
            <w:vAlign w:val="bottom"/>
            <w:tcBorders>
              <w:bottom w:val="single" w:sz="8" w:color="EBECEE"/>
            </w:tcBorders>
            <w:shd w:val="clear" w:color="auto" w:fill="EBECEE"/>
          </w:tcPr>
          <w:p>
            <w:pPr>
              <w:spacing w:after="0"/>
              <w:rPr>
                <w:sz w:val="22"/>
                <w:szCs w:val="22"/>
                <w:color w:val="auto"/>
              </w:rPr>
            </w:pPr>
          </w:p>
        </w:tc>
        <w:tc>
          <w:tcPr>
            <w:tcW w:w="2100" w:type="dxa"/>
            <w:vAlign w:val="bottom"/>
            <w:tcBorders>
              <w:bottom w:val="single" w:sz="8" w:color="EBECEE"/>
            </w:tcBorders>
            <w:shd w:val="clear" w:color="auto" w:fill="EBECEE"/>
          </w:tcPr>
          <w:p>
            <w:pPr>
              <w:spacing w:after="0"/>
              <w:rPr>
                <w:sz w:val="22"/>
                <w:szCs w:val="22"/>
                <w:color w:val="auto"/>
              </w:rPr>
            </w:pPr>
          </w:p>
        </w:tc>
        <w:tc>
          <w:tcPr>
            <w:tcW w:w="2320" w:type="dxa"/>
            <w:vAlign w:val="bottom"/>
            <w:tcBorders>
              <w:bottom w:val="single" w:sz="8" w:color="EBECEE"/>
            </w:tcBorders>
            <w:shd w:val="clear" w:color="auto" w:fill="EBECEE"/>
          </w:tcPr>
          <w:p>
            <w:pPr>
              <w:ind w:left="60"/>
              <w:spacing w:after="0"/>
              <w:rPr>
                <w:sz w:val="20"/>
                <w:szCs w:val="20"/>
                <w:color w:val="auto"/>
              </w:rPr>
            </w:pPr>
            <w:r>
              <w:rPr>
                <w:rFonts w:ascii="Arial" w:cs="Arial" w:eastAsia="Arial" w:hAnsi="Arial"/>
                <w:sz w:val="16"/>
                <w:szCs w:val="16"/>
                <w:color w:val="auto"/>
              </w:rPr>
              <w:t>peers.</w:t>
            </w:r>
          </w:p>
        </w:tc>
        <w:tc>
          <w:tcPr>
            <w:tcW w:w="2220" w:type="dxa"/>
            <w:vAlign w:val="bottom"/>
            <w:tcBorders>
              <w:bottom w:val="single" w:sz="8" w:color="EBECEE"/>
            </w:tcBorders>
            <w:shd w:val="clear" w:color="auto" w:fill="EBECEE"/>
          </w:tcPr>
          <w:p>
            <w:pPr>
              <w:ind w:left="80"/>
              <w:spacing w:after="0"/>
              <w:rPr>
                <w:sz w:val="20"/>
                <w:szCs w:val="20"/>
                <w:color w:val="auto"/>
              </w:rPr>
            </w:pPr>
            <w:r>
              <w:rPr>
                <w:rFonts w:ascii="Arial" w:cs="Arial" w:eastAsia="Arial" w:hAnsi="Arial"/>
                <w:sz w:val="16"/>
                <w:szCs w:val="16"/>
                <w:color w:val="auto"/>
              </w:rPr>
              <w:t>January 1, 2020 levels.</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1360" w:type="dxa"/>
            <w:vAlign w:val="bottom"/>
            <w:tcBorders>
              <w:top w:val="single" w:sz="8" w:color="808285"/>
            </w:tcBorders>
            <w:shd w:val="clear" w:color="auto" w:fill="F9F0F0"/>
          </w:tcPr>
          <w:p>
            <w:pPr>
              <w:ind w:left="40"/>
              <w:spacing w:after="0"/>
              <w:rPr>
                <w:sz w:val="20"/>
                <w:szCs w:val="20"/>
                <w:color w:val="auto"/>
              </w:rPr>
            </w:pPr>
            <w:r>
              <w:rPr>
                <w:rFonts w:ascii="Arial" w:cs="Arial" w:eastAsia="Arial" w:hAnsi="Arial"/>
                <w:sz w:val="16"/>
                <w:szCs w:val="16"/>
                <w:b w:val="1"/>
                <w:bCs w:val="1"/>
                <w:color w:val="CB233C"/>
              </w:rPr>
              <w:t>Short-Term</w:t>
            </w:r>
          </w:p>
        </w:tc>
        <w:tc>
          <w:tcPr>
            <w:tcW w:w="2180" w:type="dxa"/>
            <w:vAlign w:val="bottom"/>
            <w:tcBorders>
              <w:top w:val="single" w:sz="8" w:color="808285"/>
            </w:tcBorders>
            <w:shd w:val="clear" w:color="auto" w:fill="F9F0F0"/>
          </w:tcPr>
          <w:p>
            <w:pPr>
              <w:ind w:left="120"/>
              <w:spacing w:after="0"/>
              <w:rPr>
                <w:sz w:val="20"/>
                <w:szCs w:val="20"/>
                <w:color w:val="auto"/>
              </w:rPr>
            </w:pPr>
            <w:r>
              <w:rPr>
                <w:rFonts w:ascii="Arial" w:cs="Arial" w:eastAsia="Arial" w:hAnsi="Arial"/>
                <w:sz w:val="16"/>
                <w:szCs w:val="16"/>
                <w:color w:val="auto"/>
              </w:rPr>
              <w:t>To motivate and incentivize</w:t>
            </w:r>
          </w:p>
        </w:tc>
        <w:tc>
          <w:tcPr>
            <w:tcW w:w="2360" w:type="dxa"/>
            <w:vAlign w:val="bottom"/>
            <w:tcBorders>
              <w:top w:val="single" w:sz="8" w:color="808285"/>
            </w:tcBorders>
            <w:gridSpan w:val="2"/>
            <w:shd w:val="clear" w:color="auto" w:fill="F9F0F0"/>
          </w:tcPr>
          <w:p>
            <w:pPr>
              <w:ind w:left="60"/>
              <w:spacing w:after="0"/>
              <w:rPr>
                <w:sz w:val="20"/>
                <w:szCs w:val="20"/>
                <w:color w:val="auto"/>
              </w:rPr>
            </w:pPr>
            <w:r>
              <w:rPr>
                <w:rFonts w:ascii="Arial" w:cs="Arial" w:eastAsia="Arial" w:hAnsi="Arial"/>
                <w:sz w:val="16"/>
                <w:szCs w:val="16"/>
                <w:color w:val="auto"/>
              </w:rPr>
              <w:t>Award value and measures are</w:t>
            </w:r>
          </w:p>
        </w:tc>
        <w:tc>
          <w:tcPr>
            <w:tcW w:w="2320" w:type="dxa"/>
            <w:vAlign w:val="bottom"/>
            <w:tcBorders>
              <w:top w:val="single" w:sz="8" w:color="808285"/>
            </w:tcBorders>
            <w:shd w:val="clear" w:color="auto" w:fill="F9F0F0"/>
          </w:tcPr>
          <w:p>
            <w:pPr>
              <w:ind w:left="60"/>
              <w:spacing w:after="0"/>
              <w:rPr>
                <w:sz w:val="20"/>
                <w:szCs w:val="20"/>
                <w:color w:val="auto"/>
              </w:rPr>
            </w:pPr>
            <w:r>
              <w:rPr>
                <w:rFonts w:ascii="Arial" w:cs="Arial" w:eastAsia="Arial" w:hAnsi="Arial"/>
                <w:sz w:val="16"/>
                <w:szCs w:val="16"/>
                <w:color w:val="auto"/>
              </w:rPr>
              <w:t>Performance measured</w:t>
            </w:r>
          </w:p>
        </w:tc>
        <w:tc>
          <w:tcPr>
            <w:tcW w:w="2220" w:type="dxa"/>
            <w:vAlign w:val="bottom"/>
            <w:tcBorders>
              <w:top w:val="single" w:sz="8" w:color="808285"/>
            </w:tcBorders>
            <w:shd w:val="clear" w:color="auto" w:fill="F9F0F0"/>
          </w:tcPr>
          <w:p>
            <w:pPr>
              <w:ind w:left="80"/>
              <w:spacing w:after="0"/>
              <w:rPr>
                <w:sz w:val="20"/>
                <w:szCs w:val="20"/>
                <w:color w:val="auto"/>
              </w:rPr>
            </w:pPr>
            <w:r>
              <w:rPr>
                <w:rFonts w:ascii="Arial" w:cs="Arial" w:eastAsia="Arial" w:hAnsi="Arial"/>
                <w:sz w:val="16"/>
                <w:szCs w:val="16"/>
                <w:color w:val="auto"/>
              </w:rPr>
              <w:t>Award values were targeted</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360" w:type="dxa"/>
            <w:vAlign w:val="bottom"/>
            <w:shd w:val="clear" w:color="auto" w:fill="F9F0F0"/>
          </w:tcPr>
          <w:p>
            <w:pPr>
              <w:ind w:left="40"/>
              <w:spacing w:after="0"/>
              <w:rPr>
                <w:sz w:val="20"/>
                <w:szCs w:val="20"/>
                <w:color w:val="auto"/>
              </w:rPr>
            </w:pPr>
            <w:r>
              <w:rPr>
                <w:rFonts w:ascii="Arial" w:cs="Arial" w:eastAsia="Arial" w:hAnsi="Arial"/>
                <w:sz w:val="16"/>
                <w:szCs w:val="16"/>
                <w:b w:val="1"/>
                <w:bCs w:val="1"/>
                <w:color w:val="CB233C"/>
              </w:rPr>
              <w:t>(Annual)</w:t>
            </w:r>
          </w:p>
        </w:tc>
        <w:tc>
          <w:tcPr>
            <w:tcW w:w="2180" w:type="dxa"/>
            <w:vAlign w:val="bottom"/>
            <w:shd w:val="clear" w:color="auto" w:fill="F9F0F0"/>
          </w:tcPr>
          <w:p>
            <w:pPr>
              <w:ind w:left="120"/>
              <w:spacing w:after="0"/>
              <w:rPr>
                <w:sz w:val="20"/>
                <w:szCs w:val="20"/>
                <w:color w:val="auto"/>
              </w:rPr>
            </w:pPr>
            <w:r>
              <w:rPr>
                <w:rFonts w:ascii="Arial" w:cs="Arial" w:eastAsia="Arial" w:hAnsi="Arial"/>
                <w:sz w:val="16"/>
                <w:szCs w:val="16"/>
                <w:color w:val="auto"/>
              </w:rPr>
              <w:t>performance over a one-</w:t>
            </w:r>
          </w:p>
        </w:tc>
        <w:tc>
          <w:tcPr>
            <w:tcW w:w="2360" w:type="dxa"/>
            <w:vAlign w:val="bottom"/>
            <w:gridSpan w:val="2"/>
            <w:shd w:val="clear" w:color="auto" w:fill="F9F0F0"/>
          </w:tcPr>
          <w:p>
            <w:pPr>
              <w:ind w:left="60"/>
              <w:spacing w:after="0"/>
              <w:rPr>
                <w:sz w:val="20"/>
                <w:szCs w:val="20"/>
                <w:color w:val="auto"/>
              </w:rPr>
            </w:pPr>
            <w:r>
              <w:rPr>
                <w:rFonts w:ascii="Arial" w:cs="Arial" w:eastAsia="Arial" w:hAnsi="Arial"/>
                <w:sz w:val="16"/>
                <w:szCs w:val="16"/>
                <w:color w:val="auto"/>
              </w:rPr>
              <w:t>reviewed annually. Targets are</w:t>
            </w:r>
          </w:p>
        </w:tc>
        <w:tc>
          <w:tcPr>
            <w:tcW w:w="2320" w:type="dxa"/>
            <w:vAlign w:val="bottom"/>
            <w:shd w:val="clear" w:color="auto" w:fill="F9F0F0"/>
          </w:tcPr>
          <w:p>
            <w:pPr>
              <w:ind w:left="60"/>
              <w:spacing w:after="0"/>
              <w:rPr>
                <w:sz w:val="20"/>
                <w:szCs w:val="20"/>
                <w:color w:val="auto"/>
              </w:rPr>
            </w:pPr>
            <w:r>
              <w:rPr>
                <w:rFonts w:ascii="Arial" w:cs="Arial" w:eastAsia="Arial" w:hAnsi="Arial"/>
                <w:sz w:val="16"/>
                <w:szCs w:val="16"/>
                <w:color w:val="auto"/>
              </w:rPr>
              <w:t>against:</w:t>
            </w:r>
          </w:p>
        </w:tc>
        <w:tc>
          <w:tcPr>
            <w:tcW w:w="2220" w:type="dxa"/>
            <w:vAlign w:val="bottom"/>
            <w:shd w:val="clear" w:color="auto" w:fill="F9F0F0"/>
          </w:tcPr>
          <w:p>
            <w:pPr>
              <w:ind w:left="80"/>
              <w:spacing w:after="0"/>
              <w:rPr>
                <w:sz w:val="20"/>
                <w:szCs w:val="20"/>
                <w:color w:val="auto"/>
              </w:rPr>
            </w:pPr>
            <w:r>
              <w:rPr>
                <w:rFonts w:ascii="Arial" w:cs="Arial" w:eastAsia="Arial" w:hAnsi="Arial"/>
                <w:sz w:val="16"/>
                <w:szCs w:val="16"/>
                <w:color w:val="auto"/>
              </w:rPr>
              <w:t>at the market median for</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360" w:type="dxa"/>
            <w:vAlign w:val="bottom"/>
            <w:shd w:val="clear" w:color="auto" w:fill="F9F0F0"/>
          </w:tcPr>
          <w:p>
            <w:pPr>
              <w:ind w:left="40"/>
              <w:spacing w:after="0"/>
              <w:rPr>
                <w:sz w:val="20"/>
                <w:szCs w:val="20"/>
                <w:color w:val="auto"/>
              </w:rPr>
            </w:pPr>
            <w:r>
              <w:rPr>
                <w:rFonts w:ascii="Arial" w:cs="Arial" w:eastAsia="Arial" w:hAnsi="Arial"/>
                <w:sz w:val="16"/>
                <w:szCs w:val="16"/>
                <w:b w:val="1"/>
                <w:bCs w:val="1"/>
                <w:color w:val="CB233C"/>
              </w:rPr>
              <w:t>Incentive</w:t>
            </w:r>
          </w:p>
        </w:tc>
        <w:tc>
          <w:tcPr>
            <w:tcW w:w="2180" w:type="dxa"/>
            <w:vAlign w:val="bottom"/>
            <w:shd w:val="clear" w:color="auto" w:fill="F9F0F0"/>
          </w:tcPr>
          <w:p>
            <w:pPr>
              <w:ind w:left="120"/>
              <w:spacing w:after="0"/>
              <w:rPr>
                <w:sz w:val="20"/>
                <w:szCs w:val="20"/>
                <w:color w:val="auto"/>
              </w:rPr>
            </w:pPr>
            <w:r>
              <w:rPr>
                <w:rFonts w:ascii="Arial" w:cs="Arial" w:eastAsia="Arial" w:hAnsi="Arial"/>
                <w:sz w:val="16"/>
                <w:szCs w:val="16"/>
                <w:color w:val="auto"/>
              </w:rPr>
              <w:t>year period.</w:t>
            </w:r>
          </w:p>
        </w:tc>
        <w:tc>
          <w:tcPr>
            <w:tcW w:w="2360" w:type="dxa"/>
            <w:vAlign w:val="bottom"/>
            <w:gridSpan w:val="2"/>
            <w:shd w:val="clear" w:color="auto" w:fill="F9F0F0"/>
          </w:tcPr>
          <w:p>
            <w:pPr>
              <w:ind w:left="60"/>
              <w:spacing w:after="0"/>
              <w:rPr>
                <w:sz w:val="20"/>
                <w:szCs w:val="20"/>
                <w:color w:val="auto"/>
              </w:rPr>
            </w:pPr>
            <w:r>
              <w:rPr>
                <w:rFonts w:ascii="Arial" w:cs="Arial" w:eastAsia="Arial" w:hAnsi="Arial"/>
                <w:sz w:val="16"/>
                <w:szCs w:val="16"/>
                <w:color w:val="auto"/>
              </w:rPr>
              <w:t>set at the beginning of the</w:t>
            </w:r>
          </w:p>
        </w:tc>
        <w:tc>
          <w:tcPr>
            <w:tcW w:w="2320" w:type="dxa"/>
            <w:vAlign w:val="bottom"/>
            <w:vMerge w:val="restart"/>
            <w:shd w:val="clear" w:color="auto" w:fill="F9F0F0"/>
          </w:tcPr>
          <w:p>
            <w:pPr>
              <w:ind w:left="140"/>
              <w:spacing w:after="0"/>
              <w:rPr>
                <w:sz w:val="20"/>
                <w:szCs w:val="20"/>
                <w:color w:val="auto"/>
              </w:rPr>
            </w:pPr>
            <w:r>
              <w:rPr>
                <w:rFonts w:ascii="Arial" w:cs="Arial" w:eastAsia="Arial" w:hAnsi="Arial"/>
                <w:sz w:val="16"/>
                <w:szCs w:val="16"/>
                <w:color w:val="CB233C"/>
              </w:rPr>
              <w:t xml:space="preserve">• </w:t>
            </w:r>
            <w:r>
              <w:rPr>
                <w:rFonts w:ascii="Arial" w:cs="Arial" w:eastAsia="Arial" w:hAnsi="Arial"/>
                <w:sz w:val="16"/>
                <w:szCs w:val="16"/>
                <w:color w:val="000000"/>
              </w:rPr>
              <w:t>75% NOPAT</w:t>
            </w:r>
          </w:p>
        </w:tc>
        <w:tc>
          <w:tcPr>
            <w:tcW w:w="2220" w:type="dxa"/>
            <w:vAlign w:val="bottom"/>
            <w:shd w:val="clear" w:color="auto" w:fill="F9F0F0"/>
          </w:tcPr>
          <w:p>
            <w:pPr>
              <w:ind w:left="80"/>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20"/>
        </w:trPr>
        <w:tc>
          <w:tcPr>
            <w:tcW w:w="120" w:type="dxa"/>
            <w:vAlign w:val="bottom"/>
          </w:tcPr>
          <w:p>
            <w:pPr>
              <w:spacing w:after="0"/>
              <w:rPr>
                <w:sz w:val="10"/>
                <w:szCs w:val="10"/>
                <w:color w:val="auto"/>
              </w:rPr>
            </w:pPr>
          </w:p>
        </w:tc>
        <w:tc>
          <w:tcPr>
            <w:tcW w:w="1360" w:type="dxa"/>
            <w:vAlign w:val="bottom"/>
            <w:shd w:val="clear" w:color="auto" w:fill="F9F0F0"/>
          </w:tcPr>
          <w:p>
            <w:pPr>
              <w:spacing w:after="0"/>
              <w:rPr>
                <w:sz w:val="10"/>
                <w:szCs w:val="10"/>
                <w:color w:val="auto"/>
              </w:rPr>
            </w:pPr>
          </w:p>
        </w:tc>
        <w:tc>
          <w:tcPr>
            <w:tcW w:w="2180" w:type="dxa"/>
            <w:vAlign w:val="bottom"/>
            <w:shd w:val="clear" w:color="auto" w:fill="F9F0F0"/>
          </w:tcPr>
          <w:p>
            <w:pPr>
              <w:spacing w:after="0"/>
              <w:rPr>
                <w:sz w:val="10"/>
                <w:szCs w:val="10"/>
                <w:color w:val="auto"/>
              </w:rPr>
            </w:pPr>
          </w:p>
        </w:tc>
        <w:tc>
          <w:tcPr>
            <w:tcW w:w="2360" w:type="dxa"/>
            <w:vAlign w:val="bottom"/>
            <w:gridSpan w:val="2"/>
            <w:vMerge w:val="restart"/>
            <w:shd w:val="clear" w:color="auto" w:fill="F9F0F0"/>
          </w:tcPr>
          <w:p>
            <w:pPr>
              <w:ind w:left="60"/>
              <w:spacing w:after="0"/>
              <w:rPr>
                <w:sz w:val="20"/>
                <w:szCs w:val="20"/>
                <w:color w:val="auto"/>
              </w:rPr>
            </w:pPr>
            <w:r>
              <w:rPr>
                <w:rFonts w:ascii="Arial" w:cs="Arial" w:eastAsia="Arial" w:hAnsi="Arial"/>
                <w:sz w:val="16"/>
                <w:szCs w:val="16"/>
                <w:color w:val="auto"/>
              </w:rPr>
              <w:t>period.</w:t>
            </w:r>
          </w:p>
        </w:tc>
        <w:tc>
          <w:tcPr>
            <w:tcW w:w="2320" w:type="dxa"/>
            <w:vAlign w:val="bottom"/>
            <w:vMerge w:val="continue"/>
            <w:shd w:val="clear" w:color="auto" w:fill="F9F0F0"/>
          </w:tcPr>
          <w:p>
            <w:pPr>
              <w:spacing w:after="0"/>
              <w:rPr>
                <w:sz w:val="10"/>
                <w:szCs w:val="10"/>
                <w:color w:val="auto"/>
              </w:rPr>
            </w:pPr>
          </w:p>
        </w:tc>
        <w:tc>
          <w:tcPr>
            <w:tcW w:w="2220" w:type="dxa"/>
            <w:vAlign w:val="bottom"/>
            <w:shd w:val="clear" w:color="auto" w:fill="F9F0F0"/>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0" w:type="dxa"/>
            <w:vAlign w:val="bottom"/>
          </w:tcPr>
          <w:p>
            <w:pPr>
              <w:spacing w:after="0"/>
              <w:rPr>
                <w:sz w:val="8"/>
                <w:szCs w:val="8"/>
                <w:color w:val="auto"/>
              </w:rPr>
            </w:pPr>
          </w:p>
        </w:tc>
        <w:tc>
          <w:tcPr>
            <w:tcW w:w="1360" w:type="dxa"/>
            <w:vAlign w:val="bottom"/>
            <w:shd w:val="clear" w:color="auto" w:fill="F9F0F0"/>
          </w:tcPr>
          <w:p>
            <w:pPr>
              <w:spacing w:after="0"/>
              <w:rPr>
                <w:sz w:val="8"/>
                <w:szCs w:val="8"/>
                <w:color w:val="auto"/>
              </w:rPr>
            </w:pPr>
          </w:p>
        </w:tc>
        <w:tc>
          <w:tcPr>
            <w:tcW w:w="2180" w:type="dxa"/>
            <w:vAlign w:val="bottom"/>
            <w:shd w:val="clear" w:color="auto" w:fill="F9F0F0"/>
          </w:tcPr>
          <w:p>
            <w:pPr>
              <w:spacing w:after="0"/>
              <w:rPr>
                <w:sz w:val="8"/>
                <w:szCs w:val="8"/>
                <w:color w:val="auto"/>
              </w:rPr>
            </w:pPr>
          </w:p>
        </w:tc>
        <w:tc>
          <w:tcPr>
            <w:tcW w:w="2360" w:type="dxa"/>
            <w:vAlign w:val="bottom"/>
            <w:gridSpan w:val="2"/>
            <w:vMerge w:val="continue"/>
            <w:shd w:val="clear" w:color="auto" w:fill="F9F0F0"/>
          </w:tcPr>
          <w:p>
            <w:pPr>
              <w:spacing w:after="0"/>
              <w:rPr>
                <w:sz w:val="8"/>
                <w:szCs w:val="8"/>
                <w:color w:val="auto"/>
              </w:rPr>
            </w:pPr>
          </w:p>
        </w:tc>
        <w:tc>
          <w:tcPr>
            <w:tcW w:w="2320" w:type="dxa"/>
            <w:vAlign w:val="bottom"/>
            <w:vMerge w:val="restart"/>
            <w:shd w:val="clear" w:color="auto" w:fill="F9F0F0"/>
          </w:tcPr>
          <w:p>
            <w:pPr>
              <w:ind w:left="140"/>
              <w:spacing w:after="0"/>
              <w:rPr>
                <w:sz w:val="20"/>
                <w:szCs w:val="20"/>
                <w:color w:val="auto"/>
              </w:rPr>
            </w:pPr>
            <w:r>
              <w:rPr>
                <w:rFonts w:ascii="Arial" w:cs="Arial" w:eastAsia="Arial" w:hAnsi="Arial"/>
                <w:sz w:val="16"/>
                <w:szCs w:val="16"/>
                <w:color w:val="CB233C"/>
              </w:rPr>
              <w:t xml:space="preserve">• </w:t>
            </w:r>
            <w:r>
              <w:rPr>
                <w:rFonts w:ascii="Arial" w:cs="Arial" w:eastAsia="Arial" w:hAnsi="Arial"/>
                <w:sz w:val="16"/>
                <w:szCs w:val="16"/>
                <w:color w:val="000000"/>
              </w:rPr>
              <w:t>25% Asset Turns</w:t>
            </w:r>
          </w:p>
        </w:tc>
        <w:tc>
          <w:tcPr>
            <w:tcW w:w="2220" w:type="dxa"/>
            <w:vAlign w:val="bottom"/>
            <w:vMerge w:val="restart"/>
            <w:shd w:val="clear" w:color="auto" w:fill="F9F0F0"/>
          </w:tcPr>
          <w:p>
            <w:pPr>
              <w:ind w:left="80"/>
              <w:spacing w:after="0"/>
              <w:rPr>
                <w:sz w:val="20"/>
                <w:szCs w:val="20"/>
                <w:color w:val="auto"/>
              </w:rPr>
            </w:pPr>
            <w:r>
              <w:rPr>
                <w:rFonts w:ascii="Arial" w:cs="Arial" w:eastAsia="Arial" w:hAnsi="Arial"/>
                <w:sz w:val="16"/>
                <w:szCs w:val="16"/>
                <w:color w:val="auto"/>
              </w:rPr>
              <w:t>Additionally, split year</w:t>
            </w:r>
          </w:p>
        </w:tc>
        <w:tc>
          <w:tcPr>
            <w:tcW w:w="0" w:type="dxa"/>
            <w:vAlign w:val="bottom"/>
          </w:tcPr>
          <w:p>
            <w:pPr>
              <w:spacing w:after="0"/>
              <w:rPr>
                <w:sz w:val="1"/>
                <w:szCs w:val="1"/>
                <w:color w:val="auto"/>
              </w:rPr>
            </w:pPr>
          </w:p>
        </w:tc>
      </w:tr>
      <w:tr>
        <w:trPr>
          <w:trHeight w:val="163"/>
        </w:trPr>
        <w:tc>
          <w:tcPr>
            <w:tcW w:w="120" w:type="dxa"/>
            <w:vAlign w:val="bottom"/>
          </w:tcPr>
          <w:p>
            <w:pPr>
              <w:spacing w:after="0"/>
              <w:rPr>
                <w:sz w:val="14"/>
                <w:szCs w:val="14"/>
                <w:color w:val="auto"/>
              </w:rPr>
            </w:pPr>
          </w:p>
        </w:tc>
        <w:tc>
          <w:tcPr>
            <w:tcW w:w="1360" w:type="dxa"/>
            <w:vAlign w:val="bottom"/>
            <w:shd w:val="clear" w:color="auto" w:fill="F9F0F0"/>
          </w:tcPr>
          <w:p>
            <w:pPr>
              <w:spacing w:after="0"/>
              <w:rPr>
                <w:sz w:val="14"/>
                <w:szCs w:val="14"/>
                <w:color w:val="auto"/>
              </w:rPr>
            </w:pPr>
          </w:p>
        </w:tc>
        <w:tc>
          <w:tcPr>
            <w:tcW w:w="2180" w:type="dxa"/>
            <w:vAlign w:val="bottom"/>
            <w:shd w:val="clear" w:color="auto" w:fill="F9F0F0"/>
          </w:tcPr>
          <w:p>
            <w:pPr>
              <w:spacing w:after="0"/>
              <w:rPr>
                <w:sz w:val="14"/>
                <w:szCs w:val="14"/>
                <w:color w:val="auto"/>
              </w:rPr>
            </w:pPr>
          </w:p>
        </w:tc>
        <w:tc>
          <w:tcPr>
            <w:tcW w:w="260" w:type="dxa"/>
            <w:vAlign w:val="bottom"/>
            <w:shd w:val="clear" w:color="auto" w:fill="F9F0F0"/>
          </w:tcPr>
          <w:p>
            <w:pPr>
              <w:spacing w:after="0"/>
              <w:rPr>
                <w:sz w:val="14"/>
                <w:szCs w:val="14"/>
                <w:color w:val="auto"/>
              </w:rPr>
            </w:pPr>
          </w:p>
        </w:tc>
        <w:tc>
          <w:tcPr>
            <w:tcW w:w="2100" w:type="dxa"/>
            <w:vAlign w:val="bottom"/>
            <w:shd w:val="clear" w:color="auto" w:fill="F9F0F0"/>
          </w:tcPr>
          <w:p>
            <w:pPr>
              <w:spacing w:after="0"/>
              <w:rPr>
                <w:sz w:val="14"/>
                <w:szCs w:val="14"/>
                <w:color w:val="auto"/>
              </w:rPr>
            </w:pPr>
          </w:p>
        </w:tc>
        <w:tc>
          <w:tcPr>
            <w:tcW w:w="2320" w:type="dxa"/>
            <w:vAlign w:val="bottom"/>
            <w:vMerge w:val="continue"/>
            <w:shd w:val="clear" w:color="auto" w:fill="F9F0F0"/>
          </w:tcPr>
          <w:p>
            <w:pPr>
              <w:spacing w:after="0"/>
              <w:rPr>
                <w:sz w:val="14"/>
                <w:szCs w:val="14"/>
                <w:color w:val="auto"/>
              </w:rPr>
            </w:pPr>
          </w:p>
        </w:tc>
        <w:tc>
          <w:tcPr>
            <w:tcW w:w="2220" w:type="dxa"/>
            <w:vAlign w:val="bottom"/>
            <w:vMerge w:val="continue"/>
            <w:shd w:val="clear" w:color="auto" w:fill="F9F0F0"/>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360" w:type="dxa"/>
            <w:vAlign w:val="bottom"/>
            <w:shd w:val="clear" w:color="auto" w:fill="F9F0F0"/>
          </w:tcPr>
          <w:p>
            <w:pPr>
              <w:spacing w:after="0"/>
              <w:rPr>
                <w:sz w:val="16"/>
                <w:szCs w:val="16"/>
                <w:color w:val="auto"/>
              </w:rPr>
            </w:pPr>
          </w:p>
        </w:tc>
        <w:tc>
          <w:tcPr>
            <w:tcW w:w="2180" w:type="dxa"/>
            <w:vAlign w:val="bottom"/>
            <w:shd w:val="clear" w:color="auto" w:fill="F9F0F0"/>
          </w:tcPr>
          <w:p>
            <w:pPr>
              <w:spacing w:after="0"/>
              <w:rPr>
                <w:sz w:val="16"/>
                <w:szCs w:val="16"/>
                <w:color w:val="auto"/>
              </w:rPr>
            </w:pPr>
          </w:p>
        </w:tc>
        <w:tc>
          <w:tcPr>
            <w:tcW w:w="260" w:type="dxa"/>
            <w:vAlign w:val="bottom"/>
            <w:shd w:val="clear" w:color="auto" w:fill="F9F0F0"/>
          </w:tcPr>
          <w:p>
            <w:pPr>
              <w:spacing w:after="0"/>
              <w:rPr>
                <w:sz w:val="16"/>
                <w:szCs w:val="16"/>
                <w:color w:val="auto"/>
              </w:rPr>
            </w:pPr>
          </w:p>
        </w:tc>
        <w:tc>
          <w:tcPr>
            <w:tcW w:w="2100" w:type="dxa"/>
            <w:vAlign w:val="bottom"/>
            <w:shd w:val="clear" w:color="auto" w:fill="F9F0F0"/>
          </w:tcPr>
          <w:p>
            <w:pPr>
              <w:spacing w:after="0"/>
              <w:rPr>
                <w:sz w:val="16"/>
                <w:szCs w:val="16"/>
                <w:color w:val="auto"/>
              </w:rPr>
            </w:pPr>
          </w:p>
        </w:tc>
        <w:tc>
          <w:tcPr>
            <w:tcW w:w="2320" w:type="dxa"/>
            <w:vAlign w:val="bottom"/>
            <w:shd w:val="clear" w:color="auto" w:fill="F9F0F0"/>
          </w:tcPr>
          <w:p>
            <w:pPr>
              <w:spacing w:after="0"/>
              <w:rPr>
                <w:sz w:val="16"/>
                <w:szCs w:val="16"/>
                <w:color w:val="auto"/>
              </w:rPr>
            </w:pPr>
          </w:p>
        </w:tc>
        <w:tc>
          <w:tcPr>
            <w:tcW w:w="2220" w:type="dxa"/>
            <w:vAlign w:val="bottom"/>
            <w:shd w:val="clear" w:color="auto" w:fill="F9F0F0"/>
          </w:tcPr>
          <w:p>
            <w:pPr>
              <w:ind w:left="80"/>
              <w:spacing w:after="0"/>
              <w:rPr>
                <w:sz w:val="20"/>
                <w:szCs w:val="20"/>
                <w:color w:val="auto"/>
              </w:rPr>
            </w:pPr>
            <w:r>
              <w:rPr>
                <w:rFonts w:ascii="Arial" w:cs="Arial" w:eastAsia="Arial" w:hAnsi="Arial"/>
                <w:sz w:val="16"/>
                <w:szCs w:val="16"/>
                <w:color w:val="auto"/>
              </w:rPr>
              <w:t>performance goals</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360" w:type="dxa"/>
            <w:vAlign w:val="bottom"/>
            <w:shd w:val="clear" w:color="auto" w:fill="F9F0F0"/>
          </w:tcPr>
          <w:p>
            <w:pPr>
              <w:spacing w:after="0"/>
              <w:rPr>
                <w:sz w:val="16"/>
                <w:szCs w:val="16"/>
                <w:color w:val="auto"/>
              </w:rPr>
            </w:pPr>
          </w:p>
        </w:tc>
        <w:tc>
          <w:tcPr>
            <w:tcW w:w="2180" w:type="dxa"/>
            <w:vAlign w:val="bottom"/>
            <w:shd w:val="clear" w:color="auto" w:fill="F9F0F0"/>
          </w:tcPr>
          <w:p>
            <w:pPr>
              <w:spacing w:after="0"/>
              <w:rPr>
                <w:sz w:val="16"/>
                <w:szCs w:val="16"/>
                <w:color w:val="auto"/>
              </w:rPr>
            </w:pPr>
          </w:p>
        </w:tc>
        <w:tc>
          <w:tcPr>
            <w:tcW w:w="260" w:type="dxa"/>
            <w:vAlign w:val="bottom"/>
            <w:shd w:val="clear" w:color="auto" w:fill="F9F0F0"/>
          </w:tcPr>
          <w:p>
            <w:pPr>
              <w:spacing w:after="0"/>
              <w:rPr>
                <w:sz w:val="16"/>
                <w:szCs w:val="16"/>
                <w:color w:val="auto"/>
              </w:rPr>
            </w:pPr>
          </w:p>
        </w:tc>
        <w:tc>
          <w:tcPr>
            <w:tcW w:w="2100" w:type="dxa"/>
            <w:vAlign w:val="bottom"/>
            <w:shd w:val="clear" w:color="auto" w:fill="F9F0F0"/>
          </w:tcPr>
          <w:p>
            <w:pPr>
              <w:spacing w:after="0"/>
              <w:rPr>
                <w:sz w:val="16"/>
                <w:szCs w:val="16"/>
                <w:color w:val="auto"/>
              </w:rPr>
            </w:pPr>
          </w:p>
        </w:tc>
        <w:tc>
          <w:tcPr>
            <w:tcW w:w="2320" w:type="dxa"/>
            <w:vAlign w:val="bottom"/>
            <w:shd w:val="clear" w:color="auto" w:fill="F9F0F0"/>
          </w:tcPr>
          <w:p>
            <w:pPr>
              <w:spacing w:after="0"/>
              <w:rPr>
                <w:sz w:val="16"/>
                <w:szCs w:val="16"/>
                <w:color w:val="auto"/>
              </w:rPr>
            </w:pPr>
          </w:p>
        </w:tc>
        <w:tc>
          <w:tcPr>
            <w:tcW w:w="2220" w:type="dxa"/>
            <w:vAlign w:val="bottom"/>
            <w:shd w:val="clear" w:color="auto" w:fill="F9F0F0"/>
          </w:tcPr>
          <w:p>
            <w:pPr>
              <w:ind w:left="80"/>
              <w:spacing w:after="0"/>
              <w:rPr>
                <w:sz w:val="20"/>
                <w:szCs w:val="20"/>
                <w:color w:val="auto"/>
              </w:rPr>
            </w:pPr>
            <w:r>
              <w:rPr>
                <w:rFonts w:ascii="Arial" w:cs="Arial" w:eastAsia="Arial" w:hAnsi="Arial"/>
                <w:sz w:val="16"/>
                <w:szCs w:val="16"/>
                <w:color w:val="auto"/>
              </w:rPr>
              <w:t>consisting of two six-month</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360" w:type="dxa"/>
            <w:vAlign w:val="bottom"/>
            <w:shd w:val="clear" w:color="auto" w:fill="F9F0F0"/>
          </w:tcPr>
          <w:p>
            <w:pPr>
              <w:spacing w:after="0"/>
              <w:rPr>
                <w:sz w:val="16"/>
                <w:szCs w:val="16"/>
                <w:color w:val="auto"/>
              </w:rPr>
            </w:pPr>
          </w:p>
        </w:tc>
        <w:tc>
          <w:tcPr>
            <w:tcW w:w="2180" w:type="dxa"/>
            <w:vAlign w:val="bottom"/>
            <w:shd w:val="clear" w:color="auto" w:fill="F9F0F0"/>
          </w:tcPr>
          <w:p>
            <w:pPr>
              <w:spacing w:after="0"/>
              <w:rPr>
                <w:sz w:val="16"/>
                <w:szCs w:val="16"/>
                <w:color w:val="auto"/>
              </w:rPr>
            </w:pPr>
          </w:p>
        </w:tc>
        <w:tc>
          <w:tcPr>
            <w:tcW w:w="260" w:type="dxa"/>
            <w:vAlign w:val="bottom"/>
            <w:shd w:val="clear" w:color="auto" w:fill="F9F0F0"/>
          </w:tcPr>
          <w:p>
            <w:pPr>
              <w:spacing w:after="0"/>
              <w:rPr>
                <w:sz w:val="16"/>
                <w:szCs w:val="16"/>
                <w:color w:val="auto"/>
              </w:rPr>
            </w:pPr>
          </w:p>
        </w:tc>
        <w:tc>
          <w:tcPr>
            <w:tcW w:w="2100" w:type="dxa"/>
            <w:vAlign w:val="bottom"/>
            <w:shd w:val="clear" w:color="auto" w:fill="F9F0F0"/>
          </w:tcPr>
          <w:p>
            <w:pPr>
              <w:spacing w:after="0"/>
              <w:rPr>
                <w:sz w:val="16"/>
                <w:szCs w:val="16"/>
                <w:color w:val="auto"/>
              </w:rPr>
            </w:pPr>
          </w:p>
        </w:tc>
        <w:tc>
          <w:tcPr>
            <w:tcW w:w="2320" w:type="dxa"/>
            <w:vAlign w:val="bottom"/>
            <w:shd w:val="clear" w:color="auto" w:fill="F9F0F0"/>
          </w:tcPr>
          <w:p>
            <w:pPr>
              <w:spacing w:after="0"/>
              <w:rPr>
                <w:sz w:val="16"/>
                <w:szCs w:val="16"/>
                <w:color w:val="auto"/>
              </w:rPr>
            </w:pPr>
          </w:p>
        </w:tc>
        <w:tc>
          <w:tcPr>
            <w:tcW w:w="2220" w:type="dxa"/>
            <w:vAlign w:val="bottom"/>
            <w:shd w:val="clear" w:color="auto" w:fill="F9F0F0"/>
          </w:tcPr>
          <w:p>
            <w:pPr>
              <w:ind w:left="80"/>
              <w:spacing w:after="0"/>
              <w:rPr>
                <w:sz w:val="20"/>
                <w:szCs w:val="20"/>
                <w:color w:val="auto"/>
              </w:rPr>
            </w:pPr>
            <w:r>
              <w:rPr>
                <w:rFonts w:ascii="Arial" w:cs="Arial" w:eastAsia="Arial" w:hAnsi="Arial"/>
                <w:sz w:val="16"/>
                <w:szCs w:val="16"/>
                <w:color w:val="auto"/>
              </w:rPr>
              <w:t>performance periods were</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360" w:type="dxa"/>
            <w:vAlign w:val="bottom"/>
            <w:shd w:val="clear" w:color="auto" w:fill="F9F0F0"/>
          </w:tcPr>
          <w:p>
            <w:pPr>
              <w:spacing w:after="0"/>
              <w:rPr>
                <w:sz w:val="16"/>
                <w:szCs w:val="16"/>
                <w:color w:val="auto"/>
              </w:rPr>
            </w:pPr>
          </w:p>
        </w:tc>
        <w:tc>
          <w:tcPr>
            <w:tcW w:w="2180" w:type="dxa"/>
            <w:vAlign w:val="bottom"/>
            <w:shd w:val="clear" w:color="auto" w:fill="F9F0F0"/>
          </w:tcPr>
          <w:p>
            <w:pPr>
              <w:spacing w:after="0"/>
              <w:rPr>
                <w:sz w:val="16"/>
                <w:szCs w:val="16"/>
                <w:color w:val="auto"/>
              </w:rPr>
            </w:pPr>
          </w:p>
        </w:tc>
        <w:tc>
          <w:tcPr>
            <w:tcW w:w="260" w:type="dxa"/>
            <w:vAlign w:val="bottom"/>
            <w:shd w:val="clear" w:color="auto" w:fill="F9F0F0"/>
          </w:tcPr>
          <w:p>
            <w:pPr>
              <w:spacing w:after="0"/>
              <w:rPr>
                <w:sz w:val="16"/>
                <w:szCs w:val="16"/>
                <w:color w:val="auto"/>
              </w:rPr>
            </w:pPr>
          </w:p>
        </w:tc>
        <w:tc>
          <w:tcPr>
            <w:tcW w:w="2100" w:type="dxa"/>
            <w:vAlign w:val="bottom"/>
            <w:shd w:val="clear" w:color="auto" w:fill="F9F0F0"/>
          </w:tcPr>
          <w:p>
            <w:pPr>
              <w:spacing w:after="0"/>
              <w:rPr>
                <w:sz w:val="16"/>
                <w:szCs w:val="16"/>
                <w:color w:val="auto"/>
              </w:rPr>
            </w:pPr>
          </w:p>
        </w:tc>
        <w:tc>
          <w:tcPr>
            <w:tcW w:w="2320" w:type="dxa"/>
            <w:vAlign w:val="bottom"/>
            <w:shd w:val="clear" w:color="auto" w:fill="F9F0F0"/>
          </w:tcPr>
          <w:p>
            <w:pPr>
              <w:spacing w:after="0"/>
              <w:rPr>
                <w:sz w:val="16"/>
                <w:szCs w:val="16"/>
                <w:color w:val="auto"/>
              </w:rPr>
            </w:pPr>
          </w:p>
        </w:tc>
        <w:tc>
          <w:tcPr>
            <w:tcW w:w="2220" w:type="dxa"/>
            <w:vAlign w:val="bottom"/>
            <w:shd w:val="clear" w:color="auto" w:fill="F9F0F0"/>
          </w:tcPr>
          <w:p>
            <w:pPr>
              <w:ind w:left="80"/>
              <w:spacing w:after="0"/>
              <w:rPr>
                <w:sz w:val="20"/>
                <w:szCs w:val="20"/>
                <w:color w:val="auto"/>
              </w:rPr>
            </w:pPr>
            <w:r>
              <w:rPr>
                <w:rFonts w:ascii="Arial" w:cs="Arial" w:eastAsia="Arial" w:hAnsi="Arial"/>
                <w:sz w:val="16"/>
                <w:szCs w:val="16"/>
                <w:color w:val="auto"/>
              </w:rPr>
              <w:t>established to address the</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360" w:type="dxa"/>
            <w:vAlign w:val="bottom"/>
            <w:shd w:val="clear" w:color="auto" w:fill="F9F0F0"/>
          </w:tcPr>
          <w:p>
            <w:pPr>
              <w:spacing w:after="0"/>
              <w:rPr>
                <w:sz w:val="16"/>
                <w:szCs w:val="16"/>
                <w:color w:val="auto"/>
              </w:rPr>
            </w:pPr>
          </w:p>
        </w:tc>
        <w:tc>
          <w:tcPr>
            <w:tcW w:w="2180" w:type="dxa"/>
            <w:vAlign w:val="bottom"/>
            <w:shd w:val="clear" w:color="auto" w:fill="F9F0F0"/>
          </w:tcPr>
          <w:p>
            <w:pPr>
              <w:spacing w:after="0"/>
              <w:rPr>
                <w:sz w:val="16"/>
                <w:szCs w:val="16"/>
                <w:color w:val="auto"/>
              </w:rPr>
            </w:pPr>
          </w:p>
        </w:tc>
        <w:tc>
          <w:tcPr>
            <w:tcW w:w="260" w:type="dxa"/>
            <w:vAlign w:val="bottom"/>
            <w:shd w:val="clear" w:color="auto" w:fill="F9F0F0"/>
          </w:tcPr>
          <w:p>
            <w:pPr>
              <w:spacing w:after="0"/>
              <w:rPr>
                <w:sz w:val="16"/>
                <w:szCs w:val="16"/>
                <w:color w:val="auto"/>
              </w:rPr>
            </w:pPr>
          </w:p>
        </w:tc>
        <w:tc>
          <w:tcPr>
            <w:tcW w:w="2100" w:type="dxa"/>
            <w:vAlign w:val="bottom"/>
            <w:shd w:val="clear" w:color="auto" w:fill="F9F0F0"/>
          </w:tcPr>
          <w:p>
            <w:pPr>
              <w:spacing w:after="0"/>
              <w:rPr>
                <w:sz w:val="16"/>
                <w:szCs w:val="16"/>
                <w:color w:val="auto"/>
              </w:rPr>
            </w:pPr>
          </w:p>
        </w:tc>
        <w:tc>
          <w:tcPr>
            <w:tcW w:w="2320" w:type="dxa"/>
            <w:vAlign w:val="bottom"/>
            <w:shd w:val="clear" w:color="auto" w:fill="F9F0F0"/>
          </w:tcPr>
          <w:p>
            <w:pPr>
              <w:spacing w:after="0"/>
              <w:rPr>
                <w:sz w:val="16"/>
                <w:szCs w:val="16"/>
                <w:color w:val="auto"/>
              </w:rPr>
            </w:pPr>
          </w:p>
        </w:tc>
        <w:tc>
          <w:tcPr>
            <w:tcW w:w="2220" w:type="dxa"/>
            <w:vAlign w:val="bottom"/>
            <w:shd w:val="clear" w:color="auto" w:fill="F9F0F0"/>
          </w:tcPr>
          <w:p>
            <w:pPr>
              <w:ind w:left="80"/>
              <w:spacing w:after="0"/>
              <w:rPr>
                <w:sz w:val="20"/>
                <w:szCs w:val="20"/>
                <w:color w:val="auto"/>
              </w:rPr>
            </w:pPr>
            <w:r>
              <w:rPr>
                <w:rFonts w:ascii="Arial" w:cs="Arial" w:eastAsia="Arial" w:hAnsi="Arial"/>
                <w:sz w:val="16"/>
                <w:szCs w:val="16"/>
                <w:color w:val="auto"/>
              </w:rPr>
              <w:t>challenge with setting full</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360" w:type="dxa"/>
            <w:vAlign w:val="bottom"/>
            <w:shd w:val="clear" w:color="auto" w:fill="F9F0F0"/>
          </w:tcPr>
          <w:p>
            <w:pPr>
              <w:spacing w:after="0"/>
              <w:rPr>
                <w:sz w:val="16"/>
                <w:szCs w:val="16"/>
                <w:color w:val="auto"/>
              </w:rPr>
            </w:pPr>
          </w:p>
        </w:tc>
        <w:tc>
          <w:tcPr>
            <w:tcW w:w="2180" w:type="dxa"/>
            <w:vAlign w:val="bottom"/>
            <w:shd w:val="clear" w:color="auto" w:fill="F9F0F0"/>
          </w:tcPr>
          <w:p>
            <w:pPr>
              <w:spacing w:after="0"/>
              <w:rPr>
                <w:sz w:val="16"/>
                <w:szCs w:val="16"/>
                <w:color w:val="auto"/>
              </w:rPr>
            </w:pPr>
          </w:p>
        </w:tc>
        <w:tc>
          <w:tcPr>
            <w:tcW w:w="260" w:type="dxa"/>
            <w:vAlign w:val="bottom"/>
            <w:shd w:val="clear" w:color="auto" w:fill="F9F0F0"/>
          </w:tcPr>
          <w:p>
            <w:pPr>
              <w:spacing w:after="0"/>
              <w:rPr>
                <w:sz w:val="16"/>
                <w:szCs w:val="16"/>
                <w:color w:val="auto"/>
              </w:rPr>
            </w:pPr>
          </w:p>
        </w:tc>
        <w:tc>
          <w:tcPr>
            <w:tcW w:w="2100" w:type="dxa"/>
            <w:vAlign w:val="bottom"/>
            <w:shd w:val="clear" w:color="auto" w:fill="F9F0F0"/>
          </w:tcPr>
          <w:p>
            <w:pPr>
              <w:spacing w:after="0"/>
              <w:rPr>
                <w:sz w:val="16"/>
                <w:szCs w:val="16"/>
                <w:color w:val="auto"/>
              </w:rPr>
            </w:pPr>
          </w:p>
        </w:tc>
        <w:tc>
          <w:tcPr>
            <w:tcW w:w="2320" w:type="dxa"/>
            <w:vAlign w:val="bottom"/>
            <w:shd w:val="clear" w:color="auto" w:fill="F9F0F0"/>
          </w:tcPr>
          <w:p>
            <w:pPr>
              <w:spacing w:after="0"/>
              <w:rPr>
                <w:sz w:val="16"/>
                <w:szCs w:val="16"/>
                <w:color w:val="auto"/>
              </w:rPr>
            </w:pPr>
          </w:p>
        </w:tc>
        <w:tc>
          <w:tcPr>
            <w:tcW w:w="2220" w:type="dxa"/>
            <w:vAlign w:val="bottom"/>
            <w:shd w:val="clear" w:color="auto" w:fill="F9F0F0"/>
          </w:tcPr>
          <w:p>
            <w:pPr>
              <w:ind w:left="80"/>
              <w:spacing w:after="0"/>
              <w:rPr>
                <w:sz w:val="20"/>
                <w:szCs w:val="20"/>
                <w:color w:val="auto"/>
              </w:rPr>
            </w:pPr>
            <w:r>
              <w:rPr>
                <w:rFonts w:ascii="Arial" w:cs="Arial" w:eastAsia="Arial" w:hAnsi="Arial"/>
                <w:sz w:val="16"/>
                <w:szCs w:val="16"/>
                <w:color w:val="auto"/>
              </w:rPr>
              <w:t>year performance goals in</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360" w:type="dxa"/>
            <w:vAlign w:val="bottom"/>
            <w:shd w:val="clear" w:color="auto" w:fill="F9F0F0"/>
          </w:tcPr>
          <w:p>
            <w:pPr>
              <w:spacing w:after="0"/>
              <w:rPr>
                <w:sz w:val="16"/>
                <w:szCs w:val="16"/>
                <w:color w:val="auto"/>
              </w:rPr>
            </w:pPr>
          </w:p>
        </w:tc>
        <w:tc>
          <w:tcPr>
            <w:tcW w:w="2180" w:type="dxa"/>
            <w:vAlign w:val="bottom"/>
            <w:shd w:val="clear" w:color="auto" w:fill="F9F0F0"/>
          </w:tcPr>
          <w:p>
            <w:pPr>
              <w:spacing w:after="0"/>
              <w:rPr>
                <w:sz w:val="16"/>
                <w:szCs w:val="16"/>
                <w:color w:val="auto"/>
              </w:rPr>
            </w:pPr>
          </w:p>
        </w:tc>
        <w:tc>
          <w:tcPr>
            <w:tcW w:w="260" w:type="dxa"/>
            <w:vAlign w:val="bottom"/>
            <w:shd w:val="clear" w:color="auto" w:fill="F9F0F0"/>
          </w:tcPr>
          <w:p>
            <w:pPr>
              <w:spacing w:after="0"/>
              <w:rPr>
                <w:sz w:val="16"/>
                <w:szCs w:val="16"/>
                <w:color w:val="auto"/>
              </w:rPr>
            </w:pPr>
          </w:p>
        </w:tc>
        <w:tc>
          <w:tcPr>
            <w:tcW w:w="2100" w:type="dxa"/>
            <w:vAlign w:val="bottom"/>
            <w:shd w:val="clear" w:color="auto" w:fill="F9F0F0"/>
          </w:tcPr>
          <w:p>
            <w:pPr>
              <w:spacing w:after="0"/>
              <w:rPr>
                <w:sz w:val="16"/>
                <w:szCs w:val="16"/>
                <w:color w:val="auto"/>
              </w:rPr>
            </w:pPr>
          </w:p>
        </w:tc>
        <w:tc>
          <w:tcPr>
            <w:tcW w:w="2320" w:type="dxa"/>
            <w:vAlign w:val="bottom"/>
            <w:shd w:val="clear" w:color="auto" w:fill="F9F0F0"/>
          </w:tcPr>
          <w:p>
            <w:pPr>
              <w:spacing w:after="0"/>
              <w:rPr>
                <w:sz w:val="16"/>
                <w:szCs w:val="16"/>
                <w:color w:val="auto"/>
              </w:rPr>
            </w:pPr>
          </w:p>
        </w:tc>
        <w:tc>
          <w:tcPr>
            <w:tcW w:w="2220" w:type="dxa"/>
            <w:vAlign w:val="bottom"/>
            <w:shd w:val="clear" w:color="auto" w:fill="F9F0F0"/>
          </w:tcPr>
          <w:p>
            <w:pPr>
              <w:ind w:left="80"/>
              <w:spacing w:after="0"/>
              <w:rPr>
                <w:sz w:val="20"/>
                <w:szCs w:val="20"/>
                <w:color w:val="auto"/>
              </w:rPr>
            </w:pPr>
            <w:r>
              <w:rPr>
                <w:rFonts w:ascii="Arial" w:cs="Arial" w:eastAsia="Arial" w:hAnsi="Arial"/>
                <w:sz w:val="16"/>
                <w:szCs w:val="16"/>
                <w:color w:val="auto"/>
              </w:rPr>
              <w:t>an uncertain market</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360" w:type="dxa"/>
            <w:vAlign w:val="bottom"/>
            <w:tcBorders>
              <w:bottom w:val="single" w:sz="8" w:color="F9F0F0"/>
            </w:tcBorders>
            <w:shd w:val="clear" w:color="auto" w:fill="F9F0F0"/>
          </w:tcPr>
          <w:p>
            <w:pPr>
              <w:spacing w:after="0"/>
              <w:rPr>
                <w:sz w:val="22"/>
                <w:szCs w:val="22"/>
                <w:color w:val="auto"/>
              </w:rPr>
            </w:pPr>
          </w:p>
        </w:tc>
        <w:tc>
          <w:tcPr>
            <w:tcW w:w="2180" w:type="dxa"/>
            <w:vAlign w:val="bottom"/>
            <w:tcBorders>
              <w:bottom w:val="single" w:sz="8" w:color="F9F0F0"/>
            </w:tcBorders>
            <w:shd w:val="clear" w:color="auto" w:fill="F9F0F0"/>
          </w:tcPr>
          <w:p>
            <w:pPr>
              <w:spacing w:after="0"/>
              <w:rPr>
                <w:sz w:val="22"/>
                <w:szCs w:val="22"/>
                <w:color w:val="auto"/>
              </w:rPr>
            </w:pPr>
          </w:p>
        </w:tc>
        <w:tc>
          <w:tcPr>
            <w:tcW w:w="260" w:type="dxa"/>
            <w:vAlign w:val="bottom"/>
            <w:tcBorders>
              <w:bottom w:val="single" w:sz="8" w:color="F9F0F0"/>
            </w:tcBorders>
            <w:shd w:val="clear" w:color="auto" w:fill="F9F0F0"/>
          </w:tcPr>
          <w:p>
            <w:pPr>
              <w:spacing w:after="0"/>
              <w:rPr>
                <w:sz w:val="22"/>
                <w:szCs w:val="22"/>
                <w:color w:val="auto"/>
              </w:rPr>
            </w:pPr>
          </w:p>
        </w:tc>
        <w:tc>
          <w:tcPr>
            <w:tcW w:w="2100" w:type="dxa"/>
            <w:vAlign w:val="bottom"/>
            <w:tcBorders>
              <w:bottom w:val="single" w:sz="8" w:color="F9F0F0"/>
            </w:tcBorders>
            <w:shd w:val="clear" w:color="auto" w:fill="F9F0F0"/>
          </w:tcPr>
          <w:p>
            <w:pPr>
              <w:spacing w:after="0"/>
              <w:rPr>
                <w:sz w:val="22"/>
                <w:szCs w:val="22"/>
                <w:color w:val="auto"/>
              </w:rPr>
            </w:pPr>
          </w:p>
        </w:tc>
        <w:tc>
          <w:tcPr>
            <w:tcW w:w="2320" w:type="dxa"/>
            <w:vAlign w:val="bottom"/>
            <w:tcBorders>
              <w:bottom w:val="single" w:sz="8" w:color="F9F0F0"/>
            </w:tcBorders>
            <w:shd w:val="clear" w:color="auto" w:fill="F9F0F0"/>
          </w:tcPr>
          <w:p>
            <w:pPr>
              <w:spacing w:after="0"/>
              <w:rPr>
                <w:sz w:val="22"/>
                <w:szCs w:val="22"/>
                <w:color w:val="auto"/>
              </w:rPr>
            </w:pPr>
          </w:p>
        </w:tc>
        <w:tc>
          <w:tcPr>
            <w:tcW w:w="2220" w:type="dxa"/>
            <w:vAlign w:val="bottom"/>
            <w:tcBorders>
              <w:bottom w:val="single" w:sz="8" w:color="F9F0F0"/>
            </w:tcBorders>
            <w:shd w:val="clear" w:color="auto" w:fill="F9F0F0"/>
          </w:tcPr>
          <w:p>
            <w:pPr>
              <w:ind w:left="80"/>
              <w:spacing w:after="0"/>
              <w:rPr>
                <w:sz w:val="20"/>
                <w:szCs w:val="20"/>
                <w:color w:val="auto"/>
              </w:rPr>
            </w:pPr>
            <w:r>
              <w:rPr>
                <w:rFonts w:ascii="Arial" w:cs="Arial" w:eastAsia="Arial" w:hAnsi="Arial"/>
                <w:sz w:val="16"/>
                <w:szCs w:val="16"/>
                <w:color w:val="auto"/>
              </w:rPr>
              <w:t>environment.</w:t>
            </w:r>
          </w:p>
        </w:tc>
        <w:tc>
          <w:tcPr>
            <w:tcW w:w="0" w:type="dxa"/>
            <w:vAlign w:val="bottom"/>
          </w:tcPr>
          <w:p>
            <w:pPr>
              <w:spacing w:after="0"/>
              <w:rPr>
                <w:sz w:val="1"/>
                <w:szCs w:val="1"/>
                <w:color w:val="auto"/>
              </w:rPr>
            </w:pPr>
          </w:p>
        </w:tc>
      </w:tr>
      <w:tr>
        <w:trPr>
          <w:trHeight w:val="222"/>
        </w:trPr>
        <w:tc>
          <w:tcPr>
            <w:tcW w:w="120" w:type="dxa"/>
            <w:vAlign w:val="bottom"/>
            <w:tcBorders>
              <w:top w:val="single" w:sz="8" w:color="FCEAEE"/>
            </w:tcBorders>
            <w:shd w:val="clear" w:color="auto" w:fill="FCEAEE"/>
          </w:tcPr>
          <w:p>
            <w:pPr>
              <w:spacing w:after="0"/>
              <w:rPr>
                <w:sz w:val="19"/>
                <w:szCs w:val="19"/>
                <w:color w:val="auto"/>
              </w:rPr>
            </w:pPr>
          </w:p>
        </w:tc>
        <w:tc>
          <w:tcPr>
            <w:tcW w:w="1360" w:type="dxa"/>
            <w:vAlign w:val="bottom"/>
            <w:tcBorders>
              <w:top w:val="single" w:sz="8" w:color="CB233C"/>
            </w:tcBorders>
            <w:shd w:val="clear" w:color="auto" w:fill="F9F0F0"/>
          </w:tcPr>
          <w:p>
            <w:pPr>
              <w:ind w:left="40"/>
              <w:spacing w:after="0"/>
              <w:rPr>
                <w:sz w:val="20"/>
                <w:szCs w:val="20"/>
                <w:color w:val="auto"/>
              </w:rPr>
            </w:pPr>
            <w:r>
              <w:rPr>
                <w:rFonts w:ascii="Arial" w:cs="Arial" w:eastAsia="Arial" w:hAnsi="Arial"/>
                <w:sz w:val="16"/>
                <w:szCs w:val="16"/>
                <w:b w:val="1"/>
                <w:bCs w:val="1"/>
                <w:color w:val="CB233C"/>
              </w:rPr>
              <w:t>Long-Term</w:t>
            </w:r>
          </w:p>
        </w:tc>
        <w:tc>
          <w:tcPr>
            <w:tcW w:w="2180" w:type="dxa"/>
            <w:vAlign w:val="bottom"/>
            <w:tcBorders>
              <w:top w:val="single" w:sz="8" w:color="CB233C"/>
            </w:tcBorders>
            <w:shd w:val="clear" w:color="auto" w:fill="F9F0F0"/>
          </w:tcPr>
          <w:p>
            <w:pPr>
              <w:ind w:left="120"/>
              <w:spacing w:after="0"/>
              <w:rPr>
                <w:sz w:val="20"/>
                <w:szCs w:val="20"/>
                <w:color w:val="auto"/>
              </w:rPr>
            </w:pPr>
            <w:r>
              <w:rPr>
                <w:rFonts w:ascii="Arial" w:cs="Arial" w:eastAsia="Arial" w:hAnsi="Arial"/>
                <w:sz w:val="16"/>
                <w:szCs w:val="16"/>
                <w:color w:val="auto"/>
              </w:rPr>
              <w:t>To motivate and incentivize</w:t>
            </w:r>
          </w:p>
        </w:tc>
        <w:tc>
          <w:tcPr>
            <w:tcW w:w="2360" w:type="dxa"/>
            <w:vAlign w:val="bottom"/>
            <w:tcBorders>
              <w:top w:val="single" w:sz="8" w:color="CB233C"/>
            </w:tcBorders>
            <w:gridSpan w:val="2"/>
            <w:shd w:val="clear" w:color="auto" w:fill="F9F0F0"/>
          </w:tcPr>
          <w:p>
            <w:pPr>
              <w:ind w:left="60"/>
              <w:spacing w:after="0"/>
              <w:rPr>
                <w:sz w:val="20"/>
                <w:szCs w:val="20"/>
                <w:color w:val="auto"/>
              </w:rPr>
            </w:pPr>
            <w:r>
              <w:rPr>
                <w:rFonts w:ascii="Arial" w:cs="Arial" w:eastAsia="Arial" w:hAnsi="Arial"/>
                <w:sz w:val="16"/>
                <w:szCs w:val="16"/>
                <w:color w:val="auto"/>
              </w:rPr>
              <w:t>Value is delivered:</w:t>
            </w:r>
          </w:p>
        </w:tc>
        <w:tc>
          <w:tcPr>
            <w:tcW w:w="2320" w:type="dxa"/>
            <w:vAlign w:val="bottom"/>
            <w:tcBorders>
              <w:top w:val="single" w:sz="8" w:color="CB233C"/>
            </w:tcBorders>
            <w:shd w:val="clear" w:color="auto" w:fill="F9F0F0"/>
          </w:tcPr>
          <w:p>
            <w:pPr>
              <w:ind w:left="60"/>
              <w:spacing w:after="0"/>
              <w:rPr>
                <w:sz w:val="20"/>
                <w:szCs w:val="20"/>
                <w:color w:val="auto"/>
              </w:rPr>
            </w:pPr>
            <w:r>
              <w:rPr>
                <w:rFonts w:ascii="Arial" w:cs="Arial" w:eastAsia="Arial" w:hAnsi="Arial"/>
                <w:sz w:val="16"/>
                <w:szCs w:val="16"/>
                <w:color w:val="auto"/>
              </w:rPr>
              <w:t>The 2021 performance units</w:t>
            </w:r>
          </w:p>
        </w:tc>
        <w:tc>
          <w:tcPr>
            <w:tcW w:w="2220" w:type="dxa"/>
            <w:vAlign w:val="bottom"/>
            <w:tcBorders>
              <w:top w:val="single" w:sz="8" w:color="CB233C"/>
            </w:tcBorders>
            <w:shd w:val="clear" w:color="auto" w:fill="F9F0F0"/>
          </w:tcPr>
          <w:p>
            <w:pPr>
              <w:ind w:left="80"/>
              <w:spacing w:after="0"/>
              <w:rPr>
                <w:sz w:val="20"/>
                <w:szCs w:val="20"/>
                <w:color w:val="auto"/>
              </w:rPr>
            </w:pPr>
            <w:r>
              <w:rPr>
                <w:rFonts w:ascii="Arial" w:cs="Arial" w:eastAsia="Arial" w:hAnsi="Arial"/>
                <w:sz w:val="16"/>
                <w:szCs w:val="16"/>
                <w:color w:val="auto"/>
              </w:rPr>
              <w:t>Award values were targeted</w:t>
            </w:r>
          </w:p>
        </w:tc>
        <w:tc>
          <w:tcPr>
            <w:tcW w:w="0" w:type="dxa"/>
            <w:vAlign w:val="bottom"/>
          </w:tcPr>
          <w:p>
            <w:pPr>
              <w:spacing w:after="0"/>
              <w:rPr>
                <w:sz w:val="1"/>
                <w:szCs w:val="1"/>
                <w:color w:val="auto"/>
              </w:rPr>
            </w:pPr>
          </w:p>
        </w:tc>
      </w:tr>
      <w:tr>
        <w:trPr>
          <w:trHeight w:val="189"/>
        </w:trPr>
        <w:tc>
          <w:tcPr>
            <w:tcW w:w="120" w:type="dxa"/>
            <w:vAlign w:val="bottom"/>
            <w:shd w:val="clear" w:color="auto" w:fill="FCEAEE"/>
          </w:tcPr>
          <w:p>
            <w:pPr>
              <w:spacing w:after="0"/>
              <w:rPr>
                <w:sz w:val="16"/>
                <w:szCs w:val="16"/>
                <w:color w:val="auto"/>
              </w:rPr>
            </w:pPr>
          </w:p>
        </w:tc>
        <w:tc>
          <w:tcPr>
            <w:tcW w:w="1360" w:type="dxa"/>
            <w:vAlign w:val="bottom"/>
            <w:shd w:val="clear" w:color="auto" w:fill="F9F0F0"/>
          </w:tcPr>
          <w:p>
            <w:pPr>
              <w:ind w:left="40"/>
              <w:spacing w:after="0"/>
              <w:rPr>
                <w:sz w:val="20"/>
                <w:szCs w:val="20"/>
                <w:color w:val="auto"/>
              </w:rPr>
            </w:pPr>
            <w:r>
              <w:rPr>
                <w:rFonts w:ascii="Arial" w:cs="Arial" w:eastAsia="Arial" w:hAnsi="Arial"/>
                <w:sz w:val="16"/>
                <w:szCs w:val="16"/>
                <w:b w:val="1"/>
                <w:bCs w:val="1"/>
                <w:color w:val="CB233C"/>
              </w:rPr>
              <w:t>Incentives</w:t>
            </w:r>
          </w:p>
        </w:tc>
        <w:tc>
          <w:tcPr>
            <w:tcW w:w="2180" w:type="dxa"/>
            <w:vAlign w:val="bottom"/>
            <w:shd w:val="clear" w:color="auto" w:fill="F9F0F0"/>
          </w:tcPr>
          <w:p>
            <w:pPr>
              <w:ind w:left="120"/>
              <w:spacing w:after="0"/>
              <w:rPr>
                <w:sz w:val="20"/>
                <w:szCs w:val="20"/>
                <w:color w:val="auto"/>
              </w:rPr>
            </w:pPr>
            <w:r>
              <w:rPr>
                <w:rFonts w:ascii="Arial" w:cs="Arial" w:eastAsia="Arial" w:hAnsi="Arial"/>
                <w:sz w:val="16"/>
                <w:szCs w:val="16"/>
                <w:color w:val="auto"/>
              </w:rPr>
              <w:t>sustained performance over</w:t>
            </w:r>
          </w:p>
        </w:tc>
        <w:tc>
          <w:tcPr>
            <w:tcW w:w="260" w:type="dxa"/>
            <w:vAlign w:val="bottom"/>
            <w:vMerge w:val="restart"/>
            <w:shd w:val="clear" w:color="auto" w:fill="F9F0F0"/>
          </w:tcPr>
          <w:p>
            <w:pPr>
              <w:ind w:left="160"/>
              <w:spacing w:after="0"/>
              <w:rPr>
                <w:sz w:val="20"/>
                <w:szCs w:val="20"/>
                <w:color w:val="auto"/>
              </w:rPr>
            </w:pPr>
            <w:r>
              <w:rPr>
                <w:rFonts w:ascii="Arial" w:cs="Arial" w:eastAsia="Arial" w:hAnsi="Arial"/>
                <w:sz w:val="16"/>
                <w:szCs w:val="16"/>
                <w:color w:val="CB233C"/>
              </w:rPr>
              <w:t>•</w:t>
            </w:r>
          </w:p>
        </w:tc>
        <w:tc>
          <w:tcPr>
            <w:tcW w:w="2100" w:type="dxa"/>
            <w:vAlign w:val="bottom"/>
            <w:vMerge w:val="restart"/>
            <w:shd w:val="clear" w:color="auto" w:fill="F9F0F0"/>
          </w:tcPr>
          <w:p>
            <w:pPr>
              <w:ind w:left="40"/>
              <w:spacing w:after="0"/>
              <w:rPr>
                <w:sz w:val="20"/>
                <w:szCs w:val="20"/>
                <w:color w:val="auto"/>
              </w:rPr>
            </w:pPr>
            <w:r>
              <w:rPr>
                <w:rFonts w:ascii="Arial" w:cs="Arial" w:eastAsia="Arial" w:hAnsi="Arial"/>
                <w:sz w:val="16"/>
                <w:szCs w:val="16"/>
                <w:color w:val="auto"/>
              </w:rPr>
              <w:t>70% performance units</w:t>
            </w:r>
          </w:p>
        </w:tc>
        <w:tc>
          <w:tcPr>
            <w:tcW w:w="2320" w:type="dxa"/>
            <w:vAlign w:val="bottom"/>
            <w:shd w:val="clear" w:color="auto" w:fill="F9F0F0"/>
          </w:tcPr>
          <w:p>
            <w:pPr>
              <w:ind w:left="60"/>
              <w:spacing w:after="0"/>
              <w:rPr>
                <w:sz w:val="20"/>
                <w:szCs w:val="20"/>
                <w:color w:val="auto"/>
              </w:rPr>
            </w:pPr>
            <w:r>
              <w:rPr>
                <w:rFonts w:ascii="Arial" w:cs="Arial" w:eastAsia="Arial" w:hAnsi="Arial"/>
                <w:sz w:val="16"/>
                <w:szCs w:val="16"/>
                <w:color w:val="auto"/>
              </w:rPr>
              <w:t>measured against ROCE</w:t>
            </w:r>
          </w:p>
        </w:tc>
        <w:tc>
          <w:tcPr>
            <w:tcW w:w="2220" w:type="dxa"/>
            <w:vAlign w:val="bottom"/>
            <w:shd w:val="clear" w:color="auto" w:fill="F9F0F0"/>
          </w:tcPr>
          <w:p>
            <w:pPr>
              <w:ind w:left="80"/>
              <w:spacing w:after="0"/>
              <w:rPr>
                <w:sz w:val="20"/>
                <w:szCs w:val="20"/>
                <w:color w:val="auto"/>
              </w:rPr>
            </w:pPr>
            <w:r>
              <w:rPr>
                <w:rFonts w:ascii="Arial" w:cs="Arial" w:eastAsia="Arial" w:hAnsi="Arial"/>
                <w:sz w:val="16"/>
                <w:szCs w:val="16"/>
                <w:color w:val="auto"/>
              </w:rPr>
              <w:t>at the market median for</w:t>
            </w:r>
          </w:p>
        </w:tc>
        <w:tc>
          <w:tcPr>
            <w:tcW w:w="0" w:type="dxa"/>
            <w:vAlign w:val="bottom"/>
          </w:tcPr>
          <w:p>
            <w:pPr>
              <w:spacing w:after="0"/>
              <w:rPr>
                <w:sz w:val="1"/>
                <w:szCs w:val="1"/>
                <w:color w:val="auto"/>
              </w:rPr>
            </w:pPr>
          </w:p>
        </w:tc>
      </w:tr>
      <w:tr>
        <w:trPr>
          <w:trHeight w:val="95"/>
        </w:trPr>
        <w:tc>
          <w:tcPr>
            <w:tcW w:w="120" w:type="dxa"/>
            <w:vAlign w:val="bottom"/>
            <w:shd w:val="clear" w:color="auto" w:fill="FCEAEE"/>
          </w:tcPr>
          <w:p>
            <w:pPr>
              <w:spacing w:after="0"/>
              <w:rPr>
                <w:sz w:val="8"/>
                <w:szCs w:val="8"/>
                <w:color w:val="auto"/>
              </w:rPr>
            </w:pPr>
          </w:p>
        </w:tc>
        <w:tc>
          <w:tcPr>
            <w:tcW w:w="1360" w:type="dxa"/>
            <w:vAlign w:val="bottom"/>
            <w:shd w:val="clear" w:color="auto" w:fill="F9F0F0"/>
          </w:tcPr>
          <w:p>
            <w:pPr>
              <w:spacing w:after="0"/>
              <w:rPr>
                <w:sz w:val="8"/>
                <w:szCs w:val="8"/>
                <w:color w:val="auto"/>
              </w:rPr>
            </w:pPr>
          </w:p>
        </w:tc>
        <w:tc>
          <w:tcPr>
            <w:tcW w:w="2180" w:type="dxa"/>
            <w:vAlign w:val="bottom"/>
            <w:vMerge w:val="restart"/>
            <w:shd w:val="clear" w:color="auto" w:fill="F9F0F0"/>
          </w:tcPr>
          <w:p>
            <w:pPr>
              <w:ind w:left="120"/>
              <w:spacing w:after="0"/>
              <w:rPr>
                <w:sz w:val="20"/>
                <w:szCs w:val="20"/>
                <w:color w:val="auto"/>
              </w:rPr>
            </w:pPr>
            <w:r>
              <w:rPr>
                <w:rFonts w:ascii="Arial" w:cs="Arial" w:eastAsia="Arial" w:hAnsi="Arial"/>
                <w:sz w:val="16"/>
                <w:szCs w:val="16"/>
                <w:color w:val="auto"/>
              </w:rPr>
              <w:t>the long-term. Aligns</w:t>
            </w:r>
          </w:p>
        </w:tc>
        <w:tc>
          <w:tcPr>
            <w:tcW w:w="260" w:type="dxa"/>
            <w:vAlign w:val="bottom"/>
            <w:vMerge w:val="continue"/>
            <w:shd w:val="clear" w:color="auto" w:fill="F9F0F0"/>
          </w:tcPr>
          <w:p>
            <w:pPr>
              <w:spacing w:after="0"/>
              <w:rPr>
                <w:sz w:val="8"/>
                <w:szCs w:val="8"/>
                <w:color w:val="auto"/>
              </w:rPr>
            </w:pPr>
          </w:p>
        </w:tc>
        <w:tc>
          <w:tcPr>
            <w:tcW w:w="2100" w:type="dxa"/>
            <w:vAlign w:val="bottom"/>
            <w:vMerge w:val="continue"/>
            <w:shd w:val="clear" w:color="auto" w:fill="F9F0F0"/>
          </w:tcPr>
          <w:p>
            <w:pPr>
              <w:spacing w:after="0"/>
              <w:rPr>
                <w:sz w:val="8"/>
                <w:szCs w:val="8"/>
                <w:color w:val="auto"/>
              </w:rPr>
            </w:pPr>
          </w:p>
        </w:tc>
        <w:tc>
          <w:tcPr>
            <w:tcW w:w="2320" w:type="dxa"/>
            <w:vAlign w:val="bottom"/>
            <w:vMerge w:val="restart"/>
            <w:shd w:val="clear" w:color="auto" w:fill="F9F0F0"/>
          </w:tcPr>
          <w:p>
            <w:pPr>
              <w:ind w:left="60"/>
              <w:spacing w:after="0"/>
              <w:rPr>
                <w:sz w:val="20"/>
                <w:szCs w:val="20"/>
                <w:color w:val="auto"/>
              </w:rPr>
            </w:pPr>
            <w:r>
              <w:rPr>
                <w:rFonts w:ascii="Arial" w:cs="Arial" w:eastAsia="Arial" w:hAnsi="Arial"/>
                <w:sz w:val="16"/>
                <w:szCs w:val="16"/>
                <w:color w:val="auto"/>
              </w:rPr>
              <w:t>performance relative to</w:t>
            </w:r>
          </w:p>
        </w:tc>
        <w:tc>
          <w:tcPr>
            <w:tcW w:w="2220" w:type="dxa"/>
            <w:vAlign w:val="bottom"/>
            <w:vMerge w:val="restart"/>
            <w:shd w:val="clear" w:color="auto" w:fill="F9F0F0"/>
          </w:tcPr>
          <w:p>
            <w:pPr>
              <w:ind w:left="80"/>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95"/>
        </w:trPr>
        <w:tc>
          <w:tcPr>
            <w:tcW w:w="120" w:type="dxa"/>
            <w:vAlign w:val="bottom"/>
            <w:shd w:val="clear" w:color="auto" w:fill="FCEAEE"/>
          </w:tcPr>
          <w:p>
            <w:pPr>
              <w:spacing w:after="0"/>
              <w:rPr>
                <w:sz w:val="8"/>
                <w:szCs w:val="8"/>
                <w:color w:val="auto"/>
              </w:rPr>
            </w:pPr>
          </w:p>
        </w:tc>
        <w:tc>
          <w:tcPr>
            <w:tcW w:w="1360" w:type="dxa"/>
            <w:vAlign w:val="bottom"/>
            <w:shd w:val="clear" w:color="auto" w:fill="F9F0F0"/>
          </w:tcPr>
          <w:p>
            <w:pPr>
              <w:spacing w:after="0"/>
              <w:rPr>
                <w:sz w:val="8"/>
                <w:szCs w:val="8"/>
                <w:color w:val="auto"/>
              </w:rPr>
            </w:pPr>
          </w:p>
        </w:tc>
        <w:tc>
          <w:tcPr>
            <w:tcW w:w="2180" w:type="dxa"/>
            <w:vAlign w:val="bottom"/>
            <w:vMerge w:val="continue"/>
            <w:shd w:val="clear" w:color="auto" w:fill="F9F0F0"/>
          </w:tcPr>
          <w:p>
            <w:pPr>
              <w:spacing w:after="0"/>
              <w:rPr>
                <w:sz w:val="8"/>
                <w:szCs w:val="8"/>
                <w:color w:val="auto"/>
              </w:rPr>
            </w:pPr>
          </w:p>
        </w:tc>
        <w:tc>
          <w:tcPr>
            <w:tcW w:w="260" w:type="dxa"/>
            <w:vAlign w:val="bottom"/>
            <w:shd w:val="clear" w:color="auto" w:fill="F9F0F0"/>
          </w:tcPr>
          <w:p>
            <w:pPr>
              <w:spacing w:after="0"/>
              <w:rPr>
                <w:sz w:val="8"/>
                <w:szCs w:val="8"/>
                <w:color w:val="auto"/>
              </w:rPr>
            </w:pPr>
          </w:p>
        </w:tc>
        <w:tc>
          <w:tcPr>
            <w:tcW w:w="2100" w:type="dxa"/>
            <w:vAlign w:val="bottom"/>
            <w:vMerge w:val="restart"/>
            <w:shd w:val="clear" w:color="auto" w:fill="F9F0F0"/>
          </w:tcPr>
          <w:p>
            <w:pPr>
              <w:ind w:left="40"/>
              <w:spacing w:after="0"/>
              <w:rPr>
                <w:sz w:val="20"/>
                <w:szCs w:val="20"/>
                <w:color w:val="auto"/>
              </w:rPr>
            </w:pPr>
            <w:r>
              <w:rPr>
                <w:rFonts w:ascii="Arial" w:cs="Arial" w:eastAsia="Arial" w:hAnsi="Arial"/>
                <w:sz w:val="16"/>
                <w:szCs w:val="16"/>
                <w:color w:val="auto"/>
              </w:rPr>
              <w:t>measured over three years</w:t>
            </w:r>
          </w:p>
        </w:tc>
        <w:tc>
          <w:tcPr>
            <w:tcW w:w="2320" w:type="dxa"/>
            <w:vAlign w:val="bottom"/>
            <w:vMerge w:val="continue"/>
            <w:shd w:val="clear" w:color="auto" w:fill="F9F0F0"/>
          </w:tcPr>
          <w:p>
            <w:pPr>
              <w:spacing w:after="0"/>
              <w:rPr>
                <w:sz w:val="8"/>
                <w:szCs w:val="8"/>
                <w:color w:val="auto"/>
              </w:rPr>
            </w:pPr>
          </w:p>
        </w:tc>
        <w:tc>
          <w:tcPr>
            <w:tcW w:w="2220" w:type="dxa"/>
            <w:vAlign w:val="bottom"/>
            <w:vMerge w:val="continue"/>
            <w:shd w:val="clear" w:color="auto" w:fill="F9F0F0"/>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20" w:type="dxa"/>
            <w:vAlign w:val="bottom"/>
            <w:shd w:val="clear" w:color="auto" w:fill="FCEAEE"/>
          </w:tcPr>
          <w:p>
            <w:pPr>
              <w:spacing w:after="0"/>
              <w:rPr>
                <w:sz w:val="8"/>
                <w:szCs w:val="8"/>
                <w:color w:val="auto"/>
              </w:rPr>
            </w:pPr>
          </w:p>
        </w:tc>
        <w:tc>
          <w:tcPr>
            <w:tcW w:w="1360" w:type="dxa"/>
            <w:vAlign w:val="bottom"/>
            <w:shd w:val="clear" w:color="auto" w:fill="F9F0F0"/>
          </w:tcPr>
          <w:p>
            <w:pPr>
              <w:spacing w:after="0"/>
              <w:rPr>
                <w:sz w:val="8"/>
                <w:szCs w:val="8"/>
                <w:color w:val="auto"/>
              </w:rPr>
            </w:pPr>
          </w:p>
        </w:tc>
        <w:tc>
          <w:tcPr>
            <w:tcW w:w="2180" w:type="dxa"/>
            <w:vAlign w:val="bottom"/>
            <w:vMerge w:val="restart"/>
            <w:shd w:val="clear" w:color="auto" w:fill="F9F0F0"/>
          </w:tcPr>
          <w:p>
            <w:pPr>
              <w:ind w:left="120"/>
              <w:spacing w:after="0"/>
              <w:rPr>
                <w:sz w:val="20"/>
                <w:szCs w:val="20"/>
                <w:color w:val="auto"/>
              </w:rPr>
            </w:pPr>
            <w:r>
              <w:rPr>
                <w:rFonts w:ascii="Arial" w:cs="Arial" w:eastAsia="Arial" w:hAnsi="Arial"/>
                <w:sz w:val="16"/>
                <w:szCs w:val="16"/>
                <w:color w:val="auto"/>
              </w:rPr>
              <w:t>interests of our NEOs with</w:t>
            </w:r>
          </w:p>
        </w:tc>
        <w:tc>
          <w:tcPr>
            <w:tcW w:w="260" w:type="dxa"/>
            <w:vAlign w:val="bottom"/>
            <w:shd w:val="clear" w:color="auto" w:fill="F9F0F0"/>
          </w:tcPr>
          <w:p>
            <w:pPr>
              <w:spacing w:after="0"/>
              <w:rPr>
                <w:sz w:val="8"/>
                <w:szCs w:val="8"/>
                <w:color w:val="auto"/>
              </w:rPr>
            </w:pPr>
          </w:p>
        </w:tc>
        <w:tc>
          <w:tcPr>
            <w:tcW w:w="2100" w:type="dxa"/>
            <w:vAlign w:val="bottom"/>
            <w:vMerge w:val="continue"/>
            <w:shd w:val="clear" w:color="auto" w:fill="F9F0F0"/>
          </w:tcPr>
          <w:p>
            <w:pPr>
              <w:spacing w:after="0"/>
              <w:rPr>
                <w:sz w:val="8"/>
                <w:szCs w:val="8"/>
                <w:color w:val="auto"/>
              </w:rPr>
            </w:pPr>
          </w:p>
        </w:tc>
        <w:tc>
          <w:tcPr>
            <w:tcW w:w="2320" w:type="dxa"/>
            <w:vAlign w:val="bottom"/>
            <w:vMerge w:val="restart"/>
            <w:shd w:val="clear" w:color="auto" w:fill="F9F0F0"/>
          </w:tcPr>
          <w:p>
            <w:pPr>
              <w:ind w:left="60"/>
              <w:spacing w:after="0"/>
              <w:rPr>
                <w:sz w:val="20"/>
                <w:szCs w:val="20"/>
                <w:color w:val="auto"/>
              </w:rPr>
            </w:pPr>
            <w:r>
              <w:rPr>
                <w:rFonts w:ascii="Arial" w:cs="Arial" w:eastAsia="Arial" w:hAnsi="Arial"/>
                <w:sz w:val="16"/>
                <w:szCs w:val="16"/>
                <w:color w:val="auto"/>
              </w:rPr>
              <w:t>performance peers and</w:t>
            </w:r>
          </w:p>
        </w:tc>
        <w:tc>
          <w:tcPr>
            <w:tcW w:w="2220" w:type="dxa"/>
            <w:vAlign w:val="bottom"/>
            <w:shd w:val="clear" w:color="auto" w:fill="F9F0F0"/>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0" w:type="dxa"/>
            <w:vAlign w:val="bottom"/>
            <w:shd w:val="clear" w:color="auto" w:fill="FCEAEE"/>
          </w:tcPr>
          <w:p>
            <w:pPr>
              <w:spacing w:after="0"/>
              <w:rPr>
                <w:sz w:val="8"/>
                <w:szCs w:val="8"/>
                <w:color w:val="auto"/>
              </w:rPr>
            </w:pPr>
          </w:p>
        </w:tc>
        <w:tc>
          <w:tcPr>
            <w:tcW w:w="1360" w:type="dxa"/>
            <w:vAlign w:val="bottom"/>
            <w:shd w:val="clear" w:color="auto" w:fill="F9F0F0"/>
          </w:tcPr>
          <w:p>
            <w:pPr>
              <w:spacing w:after="0"/>
              <w:rPr>
                <w:sz w:val="8"/>
                <w:szCs w:val="8"/>
                <w:color w:val="auto"/>
              </w:rPr>
            </w:pPr>
          </w:p>
        </w:tc>
        <w:tc>
          <w:tcPr>
            <w:tcW w:w="2180" w:type="dxa"/>
            <w:vAlign w:val="bottom"/>
            <w:vMerge w:val="continue"/>
            <w:shd w:val="clear" w:color="auto" w:fill="F9F0F0"/>
          </w:tcPr>
          <w:p>
            <w:pPr>
              <w:spacing w:after="0"/>
              <w:rPr>
                <w:sz w:val="8"/>
                <w:szCs w:val="8"/>
                <w:color w:val="auto"/>
              </w:rPr>
            </w:pPr>
          </w:p>
        </w:tc>
        <w:tc>
          <w:tcPr>
            <w:tcW w:w="260" w:type="dxa"/>
            <w:vAlign w:val="bottom"/>
            <w:shd w:val="clear" w:color="auto" w:fill="F9F0F0"/>
          </w:tcPr>
          <w:p>
            <w:pPr>
              <w:spacing w:after="0"/>
              <w:rPr>
                <w:sz w:val="8"/>
                <w:szCs w:val="8"/>
                <w:color w:val="auto"/>
              </w:rPr>
            </w:pPr>
          </w:p>
        </w:tc>
        <w:tc>
          <w:tcPr>
            <w:tcW w:w="2100" w:type="dxa"/>
            <w:vAlign w:val="bottom"/>
            <w:vMerge w:val="restart"/>
            <w:shd w:val="clear" w:color="auto" w:fill="F9F0F0"/>
          </w:tcPr>
          <w:p>
            <w:pPr>
              <w:ind w:left="40"/>
              <w:spacing w:after="0"/>
              <w:rPr>
                <w:sz w:val="20"/>
                <w:szCs w:val="20"/>
                <w:color w:val="auto"/>
              </w:rPr>
            </w:pPr>
            <w:r>
              <w:rPr>
                <w:rFonts w:ascii="Arial" w:cs="Arial" w:eastAsia="Arial" w:hAnsi="Arial"/>
                <w:sz w:val="16"/>
                <w:szCs w:val="16"/>
                <w:color w:val="auto"/>
              </w:rPr>
              <w:t>(1/2 in stock; 1/2 in cash)</w:t>
            </w:r>
          </w:p>
        </w:tc>
        <w:tc>
          <w:tcPr>
            <w:tcW w:w="2320" w:type="dxa"/>
            <w:vAlign w:val="bottom"/>
            <w:vMerge w:val="continue"/>
            <w:shd w:val="clear" w:color="auto" w:fill="F9F0F0"/>
          </w:tcPr>
          <w:p>
            <w:pPr>
              <w:spacing w:after="0"/>
              <w:rPr>
                <w:sz w:val="8"/>
                <w:szCs w:val="8"/>
                <w:color w:val="auto"/>
              </w:rPr>
            </w:pPr>
          </w:p>
        </w:tc>
        <w:tc>
          <w:tcPr>
            <w:tcW w:w="2220" w:type="dxa"/>
            <w:vAlign w:val="bottom"/>
            <w:shd w:val="clear" w:color="auto" w:fill="F9F0F0"/>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0" w:type="dxa"/>
            <w:vAlign w:val="bottom"/>
            <w:shd w:val="clear" w:color="auto" w:fill="FCEAEE"/>
          </w:tcPr>
          <w:p>
            <w:pPr>
              <w:spacing w:after="0"/>
              <w:rPr>
                <w:sz w:val="8"/>
                <w:szCs w:val="8"/>
                <w:color w:val="auto"/>
              </w:rPr>
            </w:pPr>
          </w:p>
        </w:tc>
        <w:tc>
          <w:tcPr>
            <w:tcW w:w="1360" w:type="dxa"/>
            <w:vAlign w:val="bottom"/>
            <w:shd w:val="clear" w:color="auto" w:fill="F9F0F0"/>
          </w:tcPr>
          <w:p>
            <w:pPr>
              <w:spacing w:after="0"/>
              <w:rPr>
                <w:sz w:val="8"/>
                <w:szCs w:val="8"/>
                <w:color w:val="auto"/>
              </w:rPr>
            </w:pPr>
          </w:p>
        </w:tc>
        <w:tc>
          <w:tcPr>
            <w:tcW w:w="2180" w:type="dxa"/>
            <w:vAlign w:val="bottom"/>
            <w:vMerge w:val="restart"/>
            <w:shd w:val="clear" w:color="auto" w:fill="F9F0F0"/>
          </w:tcPr>
          <w:p>
            <w:pPr>
              <w:ind w:left="120"/>
              <w:spacing w:after="0"/>
              <w:rPr>
                <w:sz w:val="20"/>
                <w:szCs w:val="20"/>
                <w:color w:val="auto"/>
              </w:rPr>
            </w:pPr>
            <w:r>
              <w:rPr>
                <w:rFonts w:ascii="Arial" w:cs="Arial" w:eastAsia="Arial" w:hAnsi="Arial"/>
                <w:sz w:val="16"/>
                <w:szCs w:val="16"/>
                <w:color w:val="auto"/>
              </w:rPr>
              <w:t>long-term shareholders.</w:t>
            </w:r>
          </w:p>
        </w:tc>
        <w:tc>
          <w:tcPr>
            <w:tcW w:w="260" w:type="dxa"/>
            <w:vAlign w:val="bottom"/>
            <w:shd w:val="clear" w:color="auto" w:fill="F9F0F0"/>
          </w:tcPr>
          <w:p>
            <w:pPr>
              <w:spacing w:after="0"/>
              <w:rPr>
                <w:sz w:val="8"/>
                <w:szCs w:val="8"/>
                <w:color w:val="auto"/>
              </w:rPr>
            </w:pPr>
          </w:p>
        </w:tc>
        <w:tc>
          <w:tcPr>
            <w:tcW w:w="2100" w:type="dxa"/>
            <w:vAlign w:val="bottom"/>
            <w:vMerge w:val="continue"/>
            <w:shd w:val="clear" w:color="auto" w:fill="F9F0F0"/>
          </w:tcPr>
          <w:p>
            <w:pPr>
              <w:spacing w:after="0"/>
              <w:rPr>
                <w:sz w:val="8"/>
                <w:szCs w:val="8"/>
                <w:color w:val="auto"/>
              </w:rPr>
            </w:pPr>
          </w:p>
        </w:tc>
        <w:tc>
          <w:tcPr>
            <w:tcW w:w="2320" w:type="dxa"/>
            <w:vAlign w:val="bottom"/>
            <w:vMerge w:val="restart"/>
            <w:shd w:val="clear" w:color="auto" w:fill="F9F0F0"/>
          </w:tcPr>
          <w:p>
            <w:pPr>
              <w:ind w:left="60"/>
              <w:spacing w:after="0"/>
              <w:rPr>
                <w:sz w:val="20"/>
                <w:szCs w:val="20"/>
                <w:color w:val="auto"/>
              </w:rPr>
            </w:pPr>
            <w:r>
              <w:rPr>
                <w:rFonts w:ascii="Arial" w:cs="Arial" w:eastAsia="Arial" w:hAnsi="Arial"/>
                <w:sz w:val="16"/>
                <w:szCs w:val="16"/>
                <w:color w:val="auto"/>
              </w:rPr>
              <w:t>includes a relative TSR</w:t>
            </w:r>
          </w:p>
        </w:tc>
        <w:tc>
          <w:tcPr>
            <w:tcW w:w="2220" w:type="dxa"/>
            <w:vAlign w:val="bottom"/>
            <w:shd w:val="clear" w:color="auto" w:fill="F9F0F0"/>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0" w:type="dxa"/>
            <w:vAlign w:val="bottom"/>
            <w:shd w:val="clear" w:color="auto" w:fill="FCEAEE"/>
          </w:tcPr>
          <w:p>
            <w:pPr>
              <w:spacing w:after="0"/>
              <w:rPr>
                <w:sz w:val="8"/>
                <w:szCs w:val="8"/>
                <w:color w:val="auto"/>
              </w:rPr>
            </w:pPr>
          </w:p>
        </w:tc>
        <w:tc>
          <w:tcPr>
            <w:tcW w:w="1360" w:type="dxa"/>
            <w:vAlign w:val="bottom"/>
            <w:shd w:val="clear" w:color="auto" w:fill="F9F0F0"/>
          </w:tcPr>
          <w:p>
            <w:pPr>
              <w:spacing w:after="0"/>
              <w:rPr>
                <w:sz w:val="8"/>
                <w:szCs w:val="8"/>
                <w:color w:val="auto"/>
              </w:rPr>
            </w:pPr>
          </w:p>
        </w:tc>
        <w:tc>
          <w:tcPr>
            <w:tcW w:w="2180" w:type="dxa"/>
            <w:vAlign w:val="bottom"/>
            <w:vMerge w:val="continue"/>
            <w:shd w:val="clear" w:color="auto" w:fill="F9F0F0"/>
          </w:tcPr>
          <w:p>
            <w:pPr>
              <w:spacing w:after="0"/>
              <w:rPr>
                <w:sz w:val="8"/>
                <w:szCs w:val="8"/>
                <w:color w:val="auto"/>
              </w:rPr>
            </w:pPr>
          </w:p>
        </w:tc>
        <w:tc>
          <w:tcPr>
            <w:tcW w:w="260" w:type="dxa"/>
            <w:vAlign w:val="bottom"/>
            <w:shd w:val="clear" w:color="auto" w:fill="F9F0F0"/>
          </w:tcPr>
          <w:p>
            <w:pPr>
              <w:spacing w:after="0"/>
              <w:rPr>
                <w:sz w:val="8"/>
                <w:szCs w:val="8"/>
                <w:color w:val="auto"/>
              </w:rPr>
            </w:pPr>
          </w:p>
        </w:tc>
        <w:tc>
          <w:tcPr>
            <w:tcW w:w="2100" w:type="dxa"/>
            <w:vAlign w:val="bottom"/>
            <w:vMerge w:val="restart"/>
            <w:shd w:val="clear" w:color="auto" w:fill="F9F0F0"/>
          </w:tcPr>
          <w:p>
            <w:pPr>
              <w:ind w:left="40"/>
              <w:spacing w:after="0"/>
              <w:rPr>
                <w:sz w:val="20"/>
                <w:szCs w:val="20"/>
                <w:color w:val="auto"/>
              </w:rPr>
            </w:pPr>
            <w:r>
              <w:rPr>
                <w:rFonts w:ascii="Arial" w:cs="Arial" w:eastAsia="Arial" w:hAnsi="Arial"/>
                <w:sz w:val="16"/>
                <w:szCs w:val="16"/>
                <w:color w:val="auto"/>
              </w:rPr>
              <w:t>with relative TSR modifier</w:t>
            </w:r>
          </w:p>
        </w:tc>
        <w:tc>
          <w:tcPr>
            <w:tcW w:w="2320" w:type="dxa"/>
            <w:vAlign w:val="bottom"/>
            <w:vMerge w:val="continue"/>
            <w:shd w:val="clear" w:color="auto" w:fill="F9F0F0"/>
          </w:tcPr>
          <w:p>
            <w:pPr>
              <w:spacing w:after="0"/>
              <w:rPr>
                <w:sz w:val="8"/>
                <w:szCs w:val="8"/>
                <w:color w:val="auto"/>
              </w:rPr>
            </w:pPr>
          </w:p>
        </w:tc>
        <w:tc>
          <w:tcPr>
            <w:tcW w:w="2220" w:type="dxa"/>
            <w:vAlign w:val="bottom"/>
            <w:shd w:val="clear" w:color="auto" w:fill="F9F0F0"/>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0" w:type="dxa"/>
            <w:vAlign w:val="bottom"/>
            <w:shd w:val="clear" w:color="auto" w:fill="FCEAEE"/>
          </w:tcPr>
          <w:p>
            <w:pPr>
              <w:spacing w:after="0"/>
              <w:rPr>
                <w:sz w:val="10"/>
                <w:szCs w:val="10"/>
                <w:color w:val="auto"/>
              </w:rPr>
            </w:pPr>
          </w:p>
        </w:tc>
        <w:tc>
          <w:tcPr>
            <w:tcW w:w="1360" w:type="dxa"/>
            <w:vAlign w:val="bottom"/>
            <w:shd w:val="clear" w:color="auto" w:fill="F9F0F0"/>
          </w:tcPr>
          <w:p>
            <w:pPr>
              <w:spacing w:after="0"/>
              <w:rPr>
                <w:sz w:val="10"/>
                <w:szCs w:val="10"/>
                <w:color w:val="auto"/>
              </w:rPr>
            </w:pPr>
          </w:p>
        </w:tc>
        <w:tc>
          <w:tcPr>
            <w:tcW w:w="2180" w:type="dxa"/>
            <w:vAlign w:val="bottom"/>
            <w:shd w:val="clear" w:color="auto" w:fill="F9F0F0"/>
          </w:tcPr>
          <w:p>
            <w:pPr>
              <w:spacing w:after="0"/>
              <w:rPr>
                <w:sz w:val="10"/>
                <w:szCs w:val="10"/>
                <w:color w:val="auto"/>
              </w:rPr>
            </w:pPr>
          </w:p>
        </w:tc>
        <w:tc>
          <w:tcPr>
            <w:tcW w:w="260" w:type="dxa"/>
            <w:vAlign w:val="bottom"/>
            <w:shd w:val="clear" w:color="auto" w:fill="F9F0F0"/>
          </w:tcPr>
          <w:p>
            <w:pPr>
              <w:spacing w:after="0"/>
              <w:rPr>
                <w:sz w:val="10"/>
                <w:szCs w:val="10"/>
                <w:color w:val="auto"/>
              </w:rPr>
            </w:pPr>
          </w:p>
        </w:tc>
        <w:tc>
          <w:tcPr>
            <w:tcW w:w="2100" w:type="dxa"/>
            <w:vAlign w:val="bottom"/>
            <w:vMerge w:val="continue"/>
            <w:shd w:val="clear" w:color="auto" w:fill="F9F0F0"/>
          </w:tcPr>
          <w:p>
            <w:pPr>
              <w:spacing w:after="0"/>
              <w:rPr>
                <w:sz w:val="10"/>
                <w:szCs w:val="10"/>
                <w:color w:val="auto"/>
              </w:rPr>
            </w:pPr>
          </w:p>
        </w:tc>
        <w:tc>
          <w:tcPr>
            <w:tcW w:w="2320" w:type="dxa"/>
            <w:vAlign w:val="bottom"/>
            <w:vMerge w:val="restart"/>
            <w:shd w:val="clear" w:color="auto" w:fill="F9F0F0"/>
          </w:tcPr>
          <w:p>
            <w:pPr>
              <w:ind w:left="60"/>
              <w:spacing w:after="0"/>
              <w:rPr>
                <w:sz w:val="20"/>
                <w:szCs w:val="20"/>
                <w:color w:val="auto"/>
              </w:rPr>
            </w:pPr>
            <w:r>
              <w:rPr>
                <w:rFonts w:ascii="Arial" w:cs="Arial" w:eastAsia="Arial" w:hAnsi="Arial"/>
                <w:sz w:val="16"/>
                <w:szCs w:val="16"/>
                <w:color w:val="auto"/>
              </w:rPr>
              <w:t>modifier.</w:t>
            </w:r>
          </w:p>
        </w:tc>
        <w:tc>
          <w:tcPr>
            <w:tcW w:w="2220" w:type="dxa"/>
            <w:vAlign w:val="bottom"/>
            <w:shd w:val="clear" w:color="auto" w:fill="F9F0F0"/>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0" w:type="dxa"/>
            <w:vAlign w:val="bottom"/>
            <w:shd w:val="clear" w:color="auto" w:fill="FCEAEE"/>
          </w:tcPr>
          <w:p>
            <w:pPr>
              <w:spacing w:after="0"/>
              <w:rPr>
                <w:sz w:val="8"/>
                <w:szCs w:val="8"/>
                <w:color w:val="auto"/>
              </w:rPr>
            </w:pPr>
          </w:p>
        </w:tc>
        <w:tc>
          <w:tcPr>
            <w:tcW w:w="1360" w:type="dxa"/>
            <w:vAlign w:val="bottom"/>
            <w:shd w:val="clear" w:color="auto" w:fill="F9F0F0"/>
          </w:tcPr>
          <w:p>
            <w:pPr>
              <w:spacing w:after="0"/>
              <w:rPr>
                <w:sz w:val="8"/>
                <w:szCs w:val="8"/>
                <w:color w:val="auto"/>
              </w:rPr>
            </w:pPr>
          </w:p>
        </w:tc>
        <w:tc>
          <w:tcPr>
            <w:tcW w:w="2180" w:type="dxa"/>
            <w:vAlign w:val="bottom"/>
            <w:shd w:val="clear" w:color="auto" w:fill="F9F0F0"/>
          </w:tcPr>
          <w:p>
            <w:pPr>
              <w:spacing w:after="0"/>
              <w:rPr>
                <w:sz w:val="8"/>
                <w:szCs w:val="8"/>
                <w:color w:val="auto"/>
              </w:rPr>
            </w:pPr>
          </w:p>
        </w:tc>
        <w:tc>
          <w:tcPr>
            <w:tcW w:w="260" w:type="dxa"/>
            <w:vAlign w:val="bottom"/>
            <w:vMerge w:val="restart"/>
            <w:shd w:val="clear" w:color="auto" w:fill="F9F0F0"/>
          </w:tcPr>
          <w:p>
            <w:pPr>
              <w:ind w:left="160"/>
              <w:spacing w:after="0"/>
              <w:rPr>
                <w:sz w:val="20"/>
                <w:szCs w:val="20"/>
                <w:color w:val="auto"/>
              </w:rPr>
            </w:pPr>
            <w:r>
              <w:rPr>
                <w:rFonts w:ascii="Arial" w:cs="Arial" w:eastAsia="Arial" w:hAnsi="Arial"/>
                <w:sz w:val="16"/>
                <w:szCs w:val="16"/>
                <w:color w:val="CB233C"/>
              </w:rPr>
              <w:t>•</w:t>
            </w:r>
          </w:p>
        </w:tc>
        <w:tc>
          <w:tcPr>
            <w:tcW w:w="2100" w:type="dxa"/>
            <w:vAlign w:val="bottom"/>
            <w:vMerge w:val="restart"/>
            <w:shd w:val="clear" w:color="auto" w:fill="F9F0F0"/>
          </w:tcPr>
          <w:p>
            <w:pPr>
              <w:ind w:left="40"/>
              <w:spacing w:after="0"/>
              <w:rPr>
                <w:sz w:val="20"/>
                <w:szCs w:val="20"/>
                <w:color w:val="auto"/>
              </w:rPr>
            </w:pPr>
            <w:r>
              <w:rPr>
                <w:rFonts w:ascii="Arial" w:cs="Arial" w:eastAsia="Arial" w:hAnsi="Arial"/>
                <w:sz w:val="16"/>
                <w:szCs w:val="16"/>
                <w:color w:val="auto"/>
              </w:rPr>
              <w:t>30% restricted stock</w:t>
            </w:r>
          </w:p>
        </w:tc>
        <w:tc>
          <w:tcPr>
            <w:tcW w:w="2320" w:type="dxa"/>
            <w:vAlign w:val="bottom"/>
            <w:vMerge w:val="continue"/>
            <w:shd w:val="clear" w:color="auto" w:fill="F9F0F0"/>
          </w:tcPr>
          <w:p>
            <w:pPr>
              <w:spacing w:after="0"/>
              <w:rPr>
                <w:sz w:val="8"/>
                <w:szCs w:val="8"/>
                <w:color w:val="auto"/>
              </w:rPr>
            </w:pPr>
          </w:p>
        </w:tc>
        <w:tc>
          <w:tcPr>
            <w:tcW w:w="2220" w:type="dxa"/>
            <w:vAlign w:val="bottom"/>
            <w:shd w:val="clear" w:color="auto" w:fill="F9F0F0"/>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FCEAEE"/>
          </w:tcPr>
          <w:p>
            <w:pPr>
              <w:spacing w:after="0"/>
              <w:rPr>
                <w:sz w:val="16"/>
                <w:szCs w:val="16"/>
                <w:color w:val="auto"/>
              </w:rPr>
            </w:pPr>
          </w:p>
        </w:tc>
        <w:tc>
          <w:tcPr>
            <w:tcW w:w="1360" w:type="dxa"/>
            <w:vAlign w:val="bottom"/>
            <w:shd w:val="clear" w:color="auto" w:fill="F9F0F0"/>
          </w:tcPr>
          <w:p>
            <w:pPr>
              <w:spacing w:after="0"/>
              <w:rPr>
                <w:sz w:val="16"/>
                <w:szCs w:val="16"/>
                <w:color w:val="auto"/>
              </w:rPr>
            </w:pPr>
          </w:p>
        </w:tc>
        <w:tc>
          <w:tcPr>
            <w:tcW w:w="2180" w:type="dxa"/>
            <w:vAlign w:val="bottom"/>
            <w:shd w:val="clear" w:color="auto" w:fill="F9F0F0"/>
          </w:tcPr>
          <w:p>
            <w:pPr>
              <w:spacing w:after="0"/>
              <w:rPr>
                <w:sz w:val="16"/>
                <w:szCs w:val="16"/>
                <w:color w:val="auto"/>
              </w:rPr>
            </w:pPr>
          </w:p>
        </w:tc>
        <w:tc>
          <w:tcPr>
            <w:tcW w:w="260" w:type="dxa"/>
            <w:vAlign w:val="bottom"/>
            <w:vMerge w:val="continue"/>
            <w:shd w:val="clear" w:color="auto" w:fill="F9F0F0"/>
          </w:tcPr>
          <w:p>
            <w:pPr>
              <w:spacing w:after="0"/>
              <w:rPr>
                <w:sz w:val="16"/>
                <w:szCs w:val="16"/>
                <w:color w:val="auto"/>
              </w:rPr>
            </w:pPr>
          </w:p>
        </w:tc>
        <w:tc>
          <w:tcPr>
            <w:tcW w:w="2100" w:type="dxa"/>
            <w:vAlign w:val="bottom"/>
            <w:vMerge w:val="continue"/>
            <w:shd w:val="clear" w:color="auto" w:fill="F9F0F0"/>
          </w:tcPr>
          <w:p>
            <w:pPr>
              <w:spacing w:after="0"/>
              <w:rPr>
                <w:sz w:val="16"/>
                <w:szCs w:val="16"/>
                <w:color w:val="auto"/>
              </w:rPr>
            </w:pPr>
          </w:p>
        </w:tc>
        <w:tc>
          <w:tcPr>
            <w:tcW w:w="2320" w:type="dxa"/>
            <w:vAlign w:val="bottom"/>
            <w:vMerge w:val="restart"/>
            <w:shd w:val="clear" w:color="auto" w:fill="F9F0F0"/>
          </w:tcPr>
          <w:p>
            <w:pPr>
              <w:ind w:left="60"/>
              <w:spacing w:after="0"/>
              <w:rPr>
                <w:sz w:val="20"/>
                <w:szCs w:val="20"/>
                <w:color w:val="auto"/>
              </w:rPr>
            </w:pPr>
            <w:r>
              <w:rPr>
                <w:rFonts w:ascii="Arial" w:cs="Arial" w:eastAsia="Arial" w:hAnsi="Arial"/>
                <w:sz w:val="16"/>
                <w:szCs w:val="16"/>
                <w:color w:val="auto"/>
              </w:rPr>
              <w:t>Restricted stock grants have</w:t>
            </w:r>
          </w:p>
        </w:tc>
        <w:tc>
          <w:tcPr>
            <w:tcW w:w="2220" w:type="dxa"/>
            <w:vAlign w:val="bottom"/>
            <w:shd w:val="clear" w:color="auto" w:fill="F9F0F0"/>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20" w:type="dxa"/>
            <w:vAlign w:val="bottom"/>
            <w:shd w:val="clear" w:color="auto" w:fill="FCEAEE"/>
          </w:tcPr>
          <w:p>
            <w:pPr>
              <w:spacing w:after="0"/>
              <w:rPr>
                <w:sz w:val="14"/>
                <w:szCs w:val="14"/>
                <w:color w:val="auto"/>
              </w:rPr>
            </w:pPr>
          </w:p>
        </w:tc>
        <w:tc>
          <w:tcPr>
            <w:tcW w:w="1360" w:type="dxa"/>
            <w:vAlign w:val="bottom"/>
            <w:shd w:val="clear" w:color="auto" w:fill="F9F0F0"/>
          </w:tcPr>
          <w:p>
            <w:pPr>
              <w:spacing w:after="0"/>
              <w:rPr>
                <w:sz w:val="14"/>
                <w:szCs w:val="14"/>
                <w:color w:val="auto"/>
              </w:rPr>
            </w:pPr>
          </w:p>
        </w:tc>
        <w:tc>
          <w:tcPr>
            <w:tcW w:w="2180" w:type="dxa"/>
            <w:vAlign w:val="bottom"/>
            <w:shd w:val="clear" w:color="auto" w:fill="F9F0F0"/>
          </w:tcPr>
          <w:p>
            <w:pPr>
              <w:spacing w:after="0"/>
              <w:rPr>
                <w:sz w:val="14"/>
                <w:szCs w:val="14"/>
                <w:color w:val="auto"/>
              </w:rPr>
            </w:pPr>
          </w:p>
        </w:tc>
        <w:tc>
          <w:tcPr>
            <w:tcW w:w="260" w:type="dxa"/>
            <w:vAlign w:val="bottom"/>
            <w:shd w:val="clear" w:color="auto" w:fill="F9F0F0"/>
          </w:tcPr>
          <w:p>
            <w:pPr>
              <w:spacing w:after="0"/>
              <w:rPr>
                <w:sz w:val="14"/>
                <w:szCs w:val="14"/>
                <w:color w:val="auto"/>
              </w:rPr>
            </w:pPr>
          </w:p>
        </w:tc>
        <w:tc>
          <w:tcPr>
            <w:tcW w:w="2100" w:type="dxa"/>
            <w:vAlign w:val="bottom"/>
            <w:shd w:val="clear" w:color="auto" w:fill="F9F0F0"/>
          </w:tcPr>
          <w:p>
            <w:pPr>
              <w:spacing w:after="0"/>
              <w:rPr>
                <w:sz w:val="14"/>
                <w:szCs w:val="14"/>
                <w:color w:val="auto"/>
              </w:rPr>
            </w:pPr>
          </w:p>
        </w:tc>
        <w:tc>
          <w:tcPr>
            <w:tcW w:w="2320" w:type="dxa"/>
            <w:vAlign w:val="bottom"/>
            <w:vMerge w:val="continue"/>
            <w:shd w:val="clear" w:color="auto" w:fill="F9F0F0"/>
          </w:tcPr>
          <w:p>
            <w:pPr>
              <w:spacing w:after="0"/>
              <w:rPr>
                <w:sz w:val="14"/>
                <w:szCs w:val="14"/>
                <w:color w:val="auto"/>
              </w:rPr>
            </w:pPr>
          </w:p>
        </w:tc>
        <w:tc>
          <w:tcPr>
            <w:tcW w:w="2220" w:type="dxa"/>
            <w:vAlign w:val="bottom"/>
            <w:shd w:val="clear" w:color="auto" w:fill="F9F0F0"/>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FCEAEE"/>
          </w:tcPr>
          <w:p>
            <w:pPr>
              <w:spacing w:after="0"/>
              <w:rPr>
                <w:sz w:val="16"/>
                <w:szCs w:val="16"/>
                <w:color w:val="auto"/>
              </w:rPr>
            </w:pPr>
          </w:p>
        </w:tc>
        <w:tc>
          <w:tcPr>
            <w:tcW w:w="1360" w:type="dxa"/>
            <w:vAlign w:val="bottom"/>
            <w:shd w:val="clear" w:color="auto" w:fill="F9F0F0"/>
          </w:tcPr>
          <w:p>
            <w:pPr>
              <w:spacing w:after="0"/>
              <w:rPr>
                <w:sz w:val="16"/>
                <w:szCs w:val="16"/>
                <w:color w:val="auto"/>
              </w:rPr>
            </w:pPr>
          </w:p>
        </w:tc>
        <w:tc>
          <w:tcPr>
            <w:tcW w:w="2180" w:type="dxa"/>
            <w:vAlign w:val="bottom"/>
            <w:shd w:val="clear" w:color="auto" w:fill="F9F0F0"/>
          </w:tcPr>
          <w:p>
            <w:pPr>
              <w:spacing w:after="0"/>
              <w:rPr>
                <w:sz w:val="16"/>
                <w:szCs w:val="16"/>
                <w:color w:val="auto"/>
              </w:rPr>
            </w:pPr>
          </w:p>
        </w:tc>
        <w:tc>
          <w:tcPr>
            <w:tcW w:w="260" w:type="dxa"/>
            <w:vAlign w:val="bottom"/>
            <w:shd w:val="clear" w:color="auto" w:fill="F9F0F0"/>
          </w:tcPr>
          <w:p>
            <w:pPr>
              <w:spacing w:after="0"/>
              <w:rPr>
                <w:sz w:val="16"/>
                <w:szCs w:val="16"/>
                <w:color w:val="auto"/>
              </w:rPr>
            </w:pPr>
          </w:p>
        </w:tc>
        <w:tc>
          <w:tcPr>
            <w:tcW w:w="2100" w:type="dxa"/>
            <w:vAlign w:val="bottom"/>
            <w:shd w:val="clear" w:color="auto" w:fill="F9F0F0"/>
          </w:tcPr>
          <w:p>
            <w:pPr>
              <w:spacing w:after="0"/>
              <w:rPr>
                <w:sz w:val="16"/>
                <w:szCs w:val="16"/>
                <w:color w:val="auto"/>
              </w:rPr>
            </w:pPr>
          </w:p>
        </w:tc>
        <w:tc>
          <w:tcPr>
            <w:tcW w:w="2320" w:type="dxa"/>
            <w:vAlign w:val="bottom"/>
            <w:shd w:val="clear" w:color="auto" w:fill="F9F0F0"/>
          </w:tcPr>
          <w:p>
            <w:pPr>
              <w:ind w:left="60"/>
              <w:spacing w:after="0"/>
              <w:rPr>
                <w:sz w:val="20"/>
                <w:szCs w:val="20"/>
                <w:color w:val="auto"/>
              </w:rPr>
            </w:pPr>
            <w:r>
              <w:rPr>
                <w:rFonts w:ascii="Arial" w:cs="Arial" w:eastAsia="Arial" w:hAnsi="Arial"/>
                <w:sz w:val="16"/>
                <w:szCs w:val="16"/>
                <w:color w:val="auto"/>
              </w:rPr>
              <w:t>time-based vesting and value</w:t>
            </w:r>
          </w:p>
        </w:tc>
        <w:tc>
          <w:tcPr>
            <w:tcW w:w="2220" w:type="dxa"/>
            <w:vAlign w:val="bottom"/>
            <w:shd w:val="clear" w:color="auto" w:fill="F9F0F0"/>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20" w:type="dxa"/>
            <w:vAlign w:val="bottom"/>
            <w:tcBorders>
              <w:bottom w:val="single" w:sz="8" w:color="FCEAEE"/>
            </w:tcBorders>
            <w:shd w:val="clear" w:color="auto" w:fill="FCEAEE"/>
          </w:tcPr>
          <w:p>
            <w:pPr>
              <w:spacing w:after="0"/>
              <w:rPr>
                <w:sz w:val="20"/>
                <w:szCs w:val="20"/>
                <w:color w:val="auto"/>
              </w:rPr>
            </w:pPr>
          </w:p>
        </w:tc>
        <w:tc>
          <w:tcPr>
            <w:tcW w:w="1360" w:type="dxa"/>
            <w:vAlign w:val="bottom"/>
            <w:tcBorders>
              <w:bottom w:val="single" w:sz="8" w:color="F9F0F0"/>
            </w:tcBorders>
            <w:shd w:val="clear" w:color="auto" w:fill="F9F0F0"/>
          </w:tcPr>
          <w:p>
            <w:pPr>
              <w:spacing w:after="0"/>
              <w:rPr>
                <w:sz w:val="20"/>
                <w:szCs w:val="20"/>
                <w:color w:val="auto"/>
              </w:rPr>
            </w:pPr>
          </w:p>
        </w:tc>
        <w:tc>
          <w:tcPr>
            <w:tcW w:w="2180" w:type="dxa"/>
            <w:vAlign w:val="bottom"/>
            <w:tcBorders>
              <w:bottom w:val="single" w:sz="8" w:color="F9F0F0"/>
            </w:tcBorders>
            <w:shd w:val="clear" w:color="auto" w:fill="F9F0F0"/>
          </w:tcPr>
          <w:p>
            <w:pPr>
              <w:spacing w:after="0"/>
              <w:rPr>
                <w:sz w:val="20"/>
                <w:szCs w:val="20"/>
                <w:color w:val="auto"/>
              </w:rPr>
            </w:pPr>
          </w:p>
        </w:tc>
        <w:tc>
          <w:tcPr>
            <w:tcW w:w="260" w:type="dxa"/>
            <w:vAlign w:val="bottom"/>
            <w:tcBorders>
              <w:bottom w:val="single" w:sz="8" w:color="F9F0F0"/>
            </w:tcBorders>
            <w:shd w:val="clear" w:color="auto" w:fill="F9F0F0"/>
          </w:tcPr>
          <w:p>
            <w:pPr>
              <w:spacing w:after="0"/>
              <w:rPr>
                <w:sz w:val="20"/>
                <w:szCs w:val="20"/>
                <w:color w:val="auto"/>
              </w:rPr>
            </w:pPr>
          </w:p>
        </w:tc>
        <w:tc>
          <w:tcPr>
            <w:tcW w:w="2100" w:type="dxa"/>
            <w:vAlign w:val="bottom"/>
            <w:tcBorders>
              <w:bottom w:val="single" w:sz="8" w:color="F9F0F0"/>
            </w:tcBorders>
            <w:shd w:val="clear" w:color="auto" w:fill="F9F0F0"/>
          </w:tcPr>
          <w:p>
            <w:pPr>
              <w:spacing w:after="0"/>
              <w:rPr>
                <w:sz w:val="20"/>
                <w:szCs w:val="20"/>
                <w:color w:val="auto"/>
              </w:rPr>
            </w:pPr>
          </w:p>
        </w:tc>
        <w:tc>
          <w:tcPr>
            <w:tcW w:w="2320" w:type="dxa"/>
            <w:vAlign w:val="bottom"/>
            <w:tcBorders>
              <w:bottom w:val="single" w:sz="8" w:color="F9F0F0"/>
            </w:tcBorders>
            <w:shd w:val="clear" w:color="auto" w:fill="F9F0F0"/>
          </w:tcPr>
          <w:p>
            <w:pPr>
              <w:ind w:left="60"/>
              <w:spacing w:after="0"/>
              <w:rPr>
                <w:sz w:val="20"/>
                <w:szCs w:val="20"/>
                <w:color w:val="auto"/>
              </w:rPr>
            </w:pPr>
            <w:r>
              <w:rPr>
                <w:rFonts w:ascii="Arial" w:cs="Arial" w:eastAsia="Arial" w:hAnsi="Arial"/>
                <w:sz w:val="16"/>
                <w:szCs w:val="16"/>
                <w:color w:val="auto"/>
              </w:rPr>
              <w:t>is driven by our share price.</w:t>
            </w:r>
          </w:p>
        </w:tc>
        <w:tc>
          <w:tcPr>
            <w:tcW w:w="2220" w:type="dxa"/>
            <w:vAlign w:val="bottom"/>
            <w:tcBorders>
              <w:bottom w:val="single" w:sz="8" w:color="F9F0F0"/>
            </w:tcBorders>
            <w:shd w:val="clear" w:color="auto" w:fill="F9F0F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360" w:type="dxa"/>
            <w:vAlign w:val="bottom"/>
            <w:shd w:val="clear" w:color="auto" w:fill="CB233C"/>
          </w:tcPr>
          <w:p>
            <w:pPr>
              <w:spacing w:after="0" w:line="20" w:lineRule="exact"/>
              <w:rPr>
                <w:sz w:val="1"/>
                <w:szCs w:val="1"/>
                <w:color w:val="auto"/>
              </w:rPr>
            </w:pPr>
          </w:p>
        </w:tc>
        <w:tc>
          <w:tcPr>
            <w:tcW w:w="2180" w:type="dxa"/>
            <w:vAlign w:val="bottom"/>
            <w:shd w:val="clear" w:color="auto" w:fill="CB233C"/>
          </w:tcPr>
          <w:p>
            <w:pPr>
              <w:spacing w:after="0" w:line="20" w:lineRule="exact"/>
              <w:rPr>
                <w:sz w:val="1"/>
                <w:szCs w:val="1"/>
                <w:color w:val="auto"/>
              </w:rPr>
            </w:pPr>
          </w:p>
        </w:tc>
        <w:tc>
          <w:tcPr>
            <w:tcW w:w="260" w:type="dxa"/>
            <w:vAlign w:val="bottom"/>
            <w:shd w:val="clear" w:color="auto" w:fill="CB233C"/>
          </w:tcPr>
          <w:p>
            <w:pPr>
              <w:spacing w:after="0" w:line="20" w:lineRule="exact"/>
              <w:rPr>
                <w:sz w:val="1"/>
                <w:szCs w:val="1"/>
                <w:color w:val="auto"/>
              </w:rPr>
            </w:pPr>
          </w:p>
        </w:tc>
        <w:tc>
          <w:tcPr>
            <w:tcW w:w="2100" w:type="dxa"/>
            <w:vAlign w:val="bottom"/>
            <w:shd w:val="clear" w:color="auto" w:fill="CB233C"/>
          </w:tcPr>
          <w:p>
            <w:pPr>
              <w:spacing w:after="0" w:line="20" w:lineRule="exact"/>
              <w:rPr>
                <w:sz w:val="1"/>
                <w:szCs w:val="1"/>
                <w:color w:val="auto"/>
              </w:rPr>
            </w:pPr>
          </w:p>
        </w:tc>
        <w:tc>
          <w:tcPr>
            <w:tcW w:w="2320" w:type="dxa"/>
            <w:vAlign w:val="bottom"/>
            <w:shd w:val="clear" w:color="auto" w:fill="CB233C"/>
          </w:tcPr>
          <w:p>
            <w:pPr>
              <w:spacing w:after="0" w:line="20" w:lineRule="exact"/>
              <w:rPr>
                <w:sz w:val="1"/>
                <w:szCs w:val="1"/>
                <w:color w:val="auto"/>
              </w:rPr>
            </w:pPr>
          </w:p>
        </w:tc>
        <w:tc>
          <w:tcPr>
            <w:tcW w:w="2220" w:type="dxa"/>
            <w:vAlign w:val="bottom"/>
            <w:shd w:val="clear" w:color="auto" w:fill="CB233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-1285240</wp:posOffset>
            </wp:positionV>
            <wp:extent cx="77470" cy="127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127762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580" w:space="100"/>
            <w:col w:w="10560"/>
          </w:cols>
          <w:pgMar w:left="320" w:top="238" w:right="339" w:bottom="1440" w:gutter="0" w:footer="0" w:header="0"/>
          <w:type w:val="continuous"/>
        </w:sectPr>
      </w:pPr>
    </w:p>
    <w:p>
      <w:pPr>
        <w:spacing w:after="0"/>
        <w:tabs>
          <w:tab w:leader="none" w:pos="7820" w:val="left"/>
          <w:tab w:leader="none" w:pos="111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r>
      <w:r>
        <w:rPr>
          <w:sz w:val="20"/>
          <w:szCs w:val="20"/>
          <w:color w:val="auto"/>
        </w:rPr>
        <w:tab/>
      </w:r>
      <w:r>
        <w:rPr>
          <w:rFonts w:ascii="Arial" w:cs="Arial" w:eastAsia="Arial" w:hAnsi="Arial"/>
          <w:sz w:val="14"/>
          <w:szCs w:val="14"/>
          <w:b w:val="1"/>
          <w:bCs w:val="1"/>
          <w:color w:val="231F2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8144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1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 xml:space="preserve">Our Year-round Shareholder Engagement </w:t>
      </w:r>
      <w:r>
        <w:rPr>
          <w:rFonts w:ascii="Arial" w:cs="Arial" w:eastAsia="Arial" w:hAnsi="Arial"/>
          <w:sz w:val="25"/>
          <w:szCs w:val="25"/>
          <w:b w:val="1"/>
          <w:bCs w:val="1"/>
          <w:color w:val="CB233C"/>
        </w:rPr>
        <w:t>(page 13)</w:t>
      </w:r>
    </w:p>
    <w:p>
      <w:pPr>
        <w:spacing w:after="0" w:line="215"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6"/>
          <w:szCs w:val="16"/>
          <w:color w:val="CB233C"/>
        </w:rPr>
      </w:pPr>
      <w:r>
        <w:rPr>
          <w:rFonts w:ascii="Arial" w:cs="Arial" w:eastAsia="Arial" w:hAnsi="Arial"/>
          <w:sz w:val="16"/>
          <w:szCs w:val="16"/>
          <w:color w:val="auto"/>
        </w:rPr>
        <w:t>In 2021, independent Board members offered off-season meetings to 34 of our top shareholders representing 60% of our shares.</w:t>
      </w:r>
    </w:p>
    <w:p>
      <w:pPr>
        <w:spacing w:after="0" w:line="86" w:lineRule="exact"/>
        <w:rPr>
          <w:rFonts w:ascii="Arial" w:cs="Arial" w:eastAsia="Arial" w:hAnsi="Arial"/>
          <w:sz w:val="16"/>
          <w:szCs w:val="16"/>
          <w:color w:val="CB233C"/>
        </w:rPr>
      </w:pPr>
    </w:p>
    <w:p>
      <w:pPr>
        <w:ind w:left="180" w:right="200" w:hanging="172"/>
        <w:spacing w:after="0" w:line="266" w:lineRule="auto"/>
        <w:tabs>
          <w:tab w:leader="none" w:pos="180" w:val="left"/>
        </w:tabs>
        <w:numPr>
          <w:ilvl w:val="0"/>
          <w:numId w:val="5"/>
        </w:numPr>
        <w:rPr>
          <w:rFonts w:ascii="Arial" w:cs="Arial" w:eastAsia="Arial" w:hAnsi="Arial"/>
          <w:sz w:val="16"/>
          <w:szCs w:val="16"/>
          <w:color w:val="CB233C"/>
        </w:rPr>
      </w:pPr>
      <w:r>
        <w:rPr>
          <w:rFonts w:ascii="Arial" w:cs="Arial" w:eastAsia="Arial" w:hAnsi="Arial"/>
          <w:sz w:val="16"/>
          <w:szCs w:val="16"/>
          <w:color w:val="auto"/>
        </w:rPr>
        <w:t>A refreshed shareholder presentation highlighted the latest information about our Board oversight and corporate governance; executive compensation program; health, safety, and environment (HSE) performance and strategies; diversity, equity, and inclusion (DE&amp;I) performance and strategies; and our approach to energy transition.</w:t>
      </w:r>
    </w:p>
    <w:p>
      <w:pPr>
        <w:spacing w:after="0" w:line="36" w:lineRule="exact"/>
        <w:rPr>
          <w:rFonts w:ascii="Arial" w:cs="Arial" w:eastAsia="Arial" w:hAnsi="Arial"/>
          <w:sz w:val="16"/>
          <w:szCs w:val="16"/>
          <w:color w:val="CB233C"/>
        </w:rPr>
      </w:pPr>
    </w:p>
    <w:p>
      <w:pPr>
        <w:ind w:left="180" w:right="400" w:hanging="172"/>
        <w:spacing w:after="0" w:line="286" w:lineRule="auto"/>
        <w:tabs>
          <w:tab w:leader="none" w:pos="180" w:val="left"/>
        </w:tabs>
        <w:numPr>
          <w:ilvl w:val="0"/>
          <w:numId w:val="5"/>
        </w:numPr>
        <w:rPr>
          <w:rFonts w:ascii="Arial" w:cs="Arial" w:eastAsia="Arial" w:hAnsi="Arial"/>
          <w:sz w:val="16"/>
          <w:szCs w:val="16"/>
          <w:color w:val="CB233C"/>
        </w:rPr>
      </w:pPr>
      <w:r>
        <w:rPr>
          <w:rFonts w:ascii="Arial" w:cs="Arial" w:eastAsia="Arial" w:hAnsi="Arial"/>
          <w:sz w:val="16"/>
          <w:szCs w:val="16"/>
          <w:color w:val="auto"/>
        </w:rPr>
        <w:t>Board members and management conducted video conferences with 18 shareholders representing about 40% of our shares and with the two largest proxy advisors, Institutional Services Shareholder (ISS) and Glass Lewis.</w:t>
      </w:r>
    </w:p>
    <w:p>
      <w:pPr>
        <w:spacing w:after="0" w:line="20" w:lineRule="exact"/>
        <w:rPr>
          <w:rFonts w:ascii="Arial" w:cs="Arial" w:eastAsia="Arial" w:hAnsi="Arial"/>
          <w:sz w:val="16"/>
          <w:szCs w:val="16"/>
          <w:color w:val="CB233C"/>
        </w:rPr>
      </w:pPr>
    </w:p>
    <w:p>
      <w:pPr>
        <w:ind w:left="180" w:hanging="172"/>
        <w:spacing w:after="0"/>
        <w:tabs>
          <w:tab w:leader="none" w:pos="180" w:val="left"/>
        </w:tabs>
        <w:numPr>
          <w:ilvl w:val="0"/>
          <w:numId w:val="5"/>
        </w:numPr>
        <w:rPr>
          <w:rFonts w:ascii="Arial" w:cs="Arial" w:eastAsia="Arial" w:hAnsi="Arial"/>
          <w:sz w:val="16"/>
          <w:szCs w:val="16"/>
          <w:color w:val="CB233C"/>
        </w:rPr>
      </w:pPr>
      <w:r>
        <w:rPr>
          <w:rFonts w:ascii="Arial" w:cs="Arial" w:eastAsia="Arial" w:hAnsi="Arial"/>
          <w:sz w:val="16"/>
          <w:szCs w:val="16"/>
          <w:color w:val="auto"/>
        </w:rPr>
        <w:t>Participants included Murry Gerber, Chair of the Compensation Committee or Bob Malone, Lead Independent Director, and senior management.</w:t>
      </w:r>
    </w:p>
    <w:p>
      <w:pPr>
        <w:spacing w:after="0" w:line="86" w:lineRule="exact"/>
        <w:rPr>
          <w:rFonts w:ascii="Arial" w:cs="Arial" w:eastAsia="Arial" w:hAnsi="Arial"/>
          <w:sz w:val="16"/>
          <w:szCs w:val="16"/>
          <w:color w:val="CB233C"/>
        </w:rPr>
      </w:pPr>
    </w:p>
    <w:p>
      <w:pPr>
        <w:ind w:left="180" w:right="340" w:hanging="172"/>
        <w:spacing w:after="0" w:line="286" w:lineRule="auto"/>
        <w:tabs>
          <w:tab w:leader="none" w:pos="180" w:val="left"/>
        </w:tabs>
        <w:numPr>
          <w:ilvl w:val="0"/>
          <w:numId w:val="5"/>
        </w:numPr>
        <w:rPr>
          <w:rFonts w:ascii="Arial" w:cs="Arial" w:eastAsia="Arial" w:hAnsi="Arial"/>
          <w:sz w:val="16"/>
          <w:szCs w:val="16"/>
          <w:color w:val="CB233C"/>
        </w:rPr>
      </w:pPr>
      <w:r>
        <w:rPr>
          <w:rFonts w:ascii="Arial" w:cs="Arial" w:eastAsia="Arial" w:hAnsi="Arial"/>
          <w:sz w:val="16"/>
          <w:szCs w:val="16"/>
          <w:color w:val="auto"/>
        </w:rPr>
        <w:t>Also, our senior management and Investor Relations team participated in 13 sell-side conferences, three non-deal roadshows, and approximately 300 investor meetings that are all part of our ongoing shareholder outreach cadence.</w:t>
      </w:r>
    </w:p>
    <w:p>
      <w:pPr>
        <w:spacing w:after="0" w:line="20" w:lineRule="exact"/>
        <w:rPr>
          <w:rFonts w:ascii="Arial" w:cs="Arial" w:eastAsia="Arial" w:hAnsi="Arial"/>
          <w:sz w:val="16"/>
          <w:szCs w:val="16"/>
          <w:color w:val="CB233C"/>
        </w:rPr>
      </w:pPr>
    </w:p>
    <w:p>
      <w:pPr>
        <w:ind w:left="180" w:right="60" w:hanging="172"/>
        <w:spacing w:after="0" w:line="266" w:lineRule="auto"/>
        <w:tabs>
          <w:tab w:leader="none" w:pos="180" w:val="left"/>
        </w:tabs>
        <w:numPr>
          <w:ilvl w:val="0"/>
          <w:numId w:val="5"/>
        </w:numPr>
        <w:rPr>
          <w:rFonts w:ascii="Arial" w:cs="Arial" w:eastAsia="Arial" w:hAnsi="Arial"/>
          <w:sz w:val="16"/>
          <w:szCs w:val="16"/>
          <w:color w:val="CB233C"/>
        </w:rPr>
      </w:pPr>
      <w:r>
        <w:rPr>
          <w:rFonts w:ascii="Arial" w:cs="Arial" w:eastAsia="Arial" w:hAnsi="Arial"/>
          <w:sz w:val="16"/>
          <w:szCs w:val="16"/>
          <w:color w:val="auto"/>
        </w:rPr>
        <w:t>Our senior management and directors presented shareholder feedback to the full Board of Directors for discussion. As a result of these engagements and Board consideration of investor feedback, we enhanced Board governance and included ESG-related metrics in our annual incentive plan effective January 1, 2022.</w:t>
      </w:r>
    </w:p>
    <w:p>
      <w:pPr>
        <w:spacing w:after="0" w:line="14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r>
      <w:r>
        <w:rPr>
          <w:sz w:val="20"/>
          <w:szCs w:val="20"/>
          <w:color w:val="auto"/>
        </w:rPr>
        <w:tab/>
      </w:r>
      <w:r>
        <w:rPr>
          <w:rFonts w:ascii="Arial" w:cs="Arial" w:eastAsia="Arial" w:hAnsi="Arial"/>
          <w:sz w:val="14"/>
          <w:szCs w:val="14"/>
          <w:b w:val="1"/>
          <w:bCs w:val="1"/>
          <w:color w:val="231F2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9377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377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CB233C"/>
        </w:rPr>
        <w:t xml:space="preserve">Corporate </w:t>
      </w:r>
      <w:r>
        <w:rPr>
          <w:rFonts w:ascii="Arial" w:cs="Arial" w:eastAsia="Arial" w:hAnsi="Arial"/>
          <w:sz w:val="47"/>
          <w:szCs w:val="47"/>
          <w:b w:val="1"/>
          <w:bCs w:val="1"/>
          <w:color w:val="000000"/>
        </w:rPr>
        <w:t>Governance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Corporate Governance Guidelines and Committee Charters</w:t>
      </w:r>
    </w:p>
    <w:p>
      <w:pPr>
        <w:spacing w:after="0" w:line="215" w:lineRule="exact"/>
        <w:rPr>
          <w:sz w:val="20"/>
          <w:szCs w:val="20"/>
          <w:color w:val="auto"/>
        </w:rPr>
      </w:pPr>
    </w:p>
    <w:p>
      <w:pPr>
        <w:jc w:val="both"/>
        <w:ind w:right="80"/>
        <w:spacing w:after="0" w:line="259" w:lineRule="auto"/>
        <w:rPr>
          <w:sz w:val="20"/>
          <w:szCs w:val="20"/>
          <w:color w:val="auto"/>
        </w:rPr>
      </w:pPr>
      <w:r>
        <w:rPr>
          <w:rFonts w:ascii="Arial" w:cs="Arial" w:eastAsia="Arial" w:hAnsi="Arial"/>
          <w:sz w:val="16"/>
          <w:szCs w:val="16"/>
          <w:color w:val="auto"/>
        </w:rPr>
        <w:t xml:space="preserve">Our Board has long maintained a formal statement of its responsibilities and guidelines to ensure effective governance in all areas of its responsibilities. Our Corporate Governance Guidelines are available on our website at </w:t>
      </w:r>
      <w:r>
        <w:rPr>
          <w:rFonts w:ascii="Arial" w:cs="Arial" w:eastAsia="Arial" w:hAnsi="Arial"/>
          <w:sz w:val="16"/>
          <w:szCs w:val="16"/>
          <w:i w:val="1"/>
          <w:iCs w:val="1"/>
          <w:color w:val="CB233C"/>
        </w:rPr>
        <w:t>www.halliburton.com</w:t>
      </w:r>
      <w:r>
        <w:rPr>
          <w:rFonts w:ascii="Arial" w:cs="Arial" w:eastAsia="Arial" w:hAnsi="Arial"/>
          <w:sz w:val="16"/>
          <w:szCs w:val="16"/>
          <w:color w:val="auto"/>
        </w:rPr>
        <w:t xml:space="preserve"> by clicking on the tabs “Investors”, “Company Information”, and then the “Corporate Governance” link. The guidelines are reviewed periodically and revised as appropriate to reflect the dynamic and evolving processes relating to corporate governance, including the operation of the Board.</w:t>
      </w:r>
    </w:p>
    <w:p>
      <w:pPr>
        <w:spacing w:after="0" w:line="151"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Our current Board structure and governance practices, as specified in those Guidelines and our By-laws, Code of Business Conduct, and policies and business practices,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20" w:type="dxa"/>
            <w:vAlign w:val="bottom"/>
          </w:tcPr>
          <w:p>
            <w:pPr>
              <w:ind w:left="60"/>
              <w:spacing w:after="0"/>
              <w:rPr>
                <w:sz w:val="20"/>
                <w:szCs w:val="20"/>
                <w:color w:val="auto"/>
              </w:rPr>
            </w:pPr>
            <w:r>
              <w:rPr>
                <w:rFonts w:ascii="Arial" w:cs="Arial" w:eastAsia="Arial" w:hAnsi="Arial"/>
                <w:sz w:val="16"/>
                <w:szCs w:val="16"/>
                <w:color w:val="auto"/>
              </w:rPr>
              <w:t>Annual Election of Directors</w:t>
            </w: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CB233C"/>
              </w:rPr>
              <w:t>Yes</w:t>
            </w:r>
          </w:p>
        </w:tc>
        <w:tc>
          <w:tcPr>
            <w:tcW w:w="4680" w:type="dxa"/>
            <w:vAlign w:val="bottom"/>
          </w:tcPr>
          <w:p>
            <w:pPr>
              <w:ind w:left="100"/>
              <w:spacing w:after="0"/>
              <w:rPr>
                <w:sz w:val="20"/>
                <w:szCs w:val="20"/>
                <w:color w:val="auto"/>
              </w:rPr>
            </w:pPr>
            <w:r>
              <w:rPr>
                <w:rFonts w:ascii="Arial" w:cs="Arial" w:eastAsia="Arial" w:hAnsi="Arial"/>
                <w:sz w:val="16"/>
                <w:szCs w:val="16"/>
                <w:color w:val="auto"/>
              </w:rPr>
              <w:t>Shareholder Called Special Meetings</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CB233C"/>
              </w:rPr>
              <w:t>Yes</w:t>
            </w:r>
          </w:p>
        </w:tc>
      </w:tr>
      <w:tr>
        <w:trPr>
          <w:trHeight w:val="257"/>
        </w:trPr>
        <w:tc>
          <w:tcPr>
            <w:tcW w:w="4220" w:type="dxa"/>
            <w:vAlign w:val="bottom"/>
          </w:tcPr>
          <w:p>
            <w:pPr>
              <w:ind w:left="60"/>
              <w:spacing w:after="0"/>
              <w:rPr>
                <w:sz w:val="20"/>
                <w:szCs w:val="20"/>
                <w:color w:val="auto"/>
              </w:rPr>
            </w:pPr>
            <w:r>
              <w:rPr>
                <w:rFonts w:ascii="Arial" w:cs="Arial" w:eastAsia="Arial" w:hAnsi="Arial"/>
                <w:sz w:val="16"/>
                <w:szCs w:val="16"/>
                <w:color w:val="auto"/>
              </w:rPr>
              <w:t>Mandatory Retirement Age</w:t>
            </w: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CB233C"/>
              </w:rPr>
              <w:t>75</w:t>
            </w:r>
          </w:p>
        </w:tc>
        <w:tc>
          <w:tcPr>
            <w:tcW w:w="4680" w:type="dxa"/>
            <w:vAlign w:val="bottom"/>
          </w:tcPr>
          <w:p>
            <w:pPr>
              <w:ind w:left="100"/>
              <w:spacing w:after="0"/>
              <w:rPr>
                <w:sz w:val="20"/>
                <w:szCs w:val="20"/>
                <w:color w:val="auto"/>
              </w:rPr>
            </w:pPr>
            <w:r>
              <w:rPr>
                <w:rFonts w:ascii="Arial" w:cs="Arial" w:eastAsia="Arial" w:hAnsi="Arial"/>
                <w:sz w:val="16"/>
                <w:szCs w:val="16"/>
                <w:color w:val="auto"/>
              </w:rPr>
              <w:t>Poison Pill</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CB233C"/>
              </w:rPr>
              <w:t>No</w:t>
            </w:r>
          </w:p>
        </w:tc>
      </w:tr>
      <w:tr>
        <w:trPr>
          <w:trHeight w:val="257"/>
        </w:trPr>
        <w:tc>
          <w:tcPr>
            <w:tcW w:w="4220" w:type="dxa"/>
            <w:vAlign w:val="bottom"/>
          </w:tcPr>
          <w:p>
            <w:pPr>
              <w:ind w:left="60"/>
              <w:spacing w:after="0"/>
              <w:rPr>
                <w:sz w:val="20"/>
                <w:szCs w:val="20"/>
                <w:color w:val="auto"/>
              </w:rPr>
            </w:pPr>
            <w:r>
              <w:rPr>
                <w:rFonts w:ascii="Arial" w:cs="Arial" w:eastAsia="Arial" w:hAnsi="Arial"/>
                <w:sz w:val="16"/>
                <w:szCs w:val="16"/>
                <w:color w:val="auto"/>
              </w:rPr>
              <w:t>Majority Voting in Director Elections</w:t>
            </w: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CB233C"/>
              </w:rPr>
              <w:t>Yes</w:t>
            </w:r>
          </w:p>
        </w:tc>
        <w:tc>
          <w:tcPr>
            <w:tcW w:w="4680" w:type="dxa"/>
            <w:vAlign w:val="bottom"/>
          </w:tcPr>
          <w:p>
            <w:pPr>
              <w:ind w:left="100"/>
              <w:spacing w:after="0"/>
              <w:rPr>
                <w:sz w:val="20"/>
                <w:szCs w:val="20"/>
                <w:color w:val="auto"/>
              </w:rPr>
            </w:pPr>
            <w:r>
              <w:rPr>
                <w:rFonts w:ascii="Arial" w:cs="Arial" w:eastAsia="Arial" w:hAnsi="Arial"/>
                <w:sz w:val="16"/>
                <w:szCs w:val="16"/>
                <w:color w:val="auto"/>
              </w:rPr>
              <w:t>Code of Conduct for Directors, Officers, and Employees</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CB233C"/>
              </w:rPr>
              <w:t>Yes</w:t>
            </w:r>
          </w:p>
        </w:tc>
      </w:tr>
      <w:tr>
        <w:trPr>
          <w:trHeight w:val="257"/>
        </w:trPr>
        <w:tc>
          <w:tcPr>
            <w:tcW w:w="4220" w:type="dxa"/>
            <w:vAlign w:val="bottom"/>
          </w:tcPr>
          <w:p>
            <w:pPr>
              <w:ind w:left="60"/>
              <w:spacing w:after="0"/>
              <w:rPr>
                <w:sz w:val="20"/>
                <w:szCs w:val="20"/>
                <w:color w:val="auto"/>
              </w:rPr>
            </w:pPr>
            <w:r>
              <w:rPr>
                <w:rFonts w:ascii="Arial" w:cs="Arial" w:eastAsia="Arial" w:hAnsi="Arial"/>
                <w:sz w:val="16"/>
                <w:szCs w:val="16"/>
                <w:color w:val="auto"/>
              </w:rPr>
              <w:t>Lead Independent Director</w:t>
            </w: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CB233C"/>
              </w:rPr>
              <w:t>Yes</w:t>
            </w:r>
          </w:p>
        </w:tc>
        <w:tc>
          <w:tcPr>
            <w:tcW w:w="4680" w:type="dxa"/>
            <w:vAlign w:val="bottom"/>
          </w:tcPr>
          <w:p>
            <w:pPr>
              <w:ind w:left="100"/>
              <w:spacing w:after="0"/>
              <w:rPr>
                <w:sz w:val="20"/>
                <w:szCs w:val="20"/>
                <w:color w:val="auto"/>
              </w:rPr>
            </w:pPr>
            <w:r>
              <w:rPr>
                <w:rFonts w:ascii="Arial" w:cs="Arial" w:eastAsia="Arial" w:hAnsi="Arial"/>
                <w:sz w:val="16"/>
                <w:szCs w:val="16"/>
                <w:color w:val="auto"/>
              </w:rPr>
              <w:t>Stock Ownership Guidelines for Directors/Officers</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CB233C"/>
              </w:rPr>
              <w:t>Yes</w:t>
            </w:r>
          </w:p>
        </w:tc>
      </w:tr>
      <w:tr>
        <w:trPr>
          <w:trHeight w:val="257"/>
        </w:trPr>
        <w:tc>
          <w:tcPr>
            <w:tcW w:w="4220" w:type="dxa"/>
            <w:vAlign w:val="bottom"/>
          </w:tcPr>
          <w:p>
            <w:pPr>
              <w:ind w:left="60"/>
              <w:spacing w:after="0"/>
              <w:rPr>
                <w:sz w:val="20"/>
                <w:szCs w:val="20"/>
                <w:color w:val="auto"/>
              </w:rPr>
            </w:pPr>
            <w:r>
              <w:rPr>
                <w:rFonts w:ascii="Arial" w:cs="Arial" w:eastAsia="Arial" w:hAnsi="Arial"/>
                <w:sz w:val="16"/>
                <w:szCs w:val="16"/>
                <w:color w:val="auto"/>
              </w:rPr>
              <w:t>Related Persons Transactions Policy</w:t>
            </w: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CB233C"/>
              </w:rPr>
              <w:t>Yes</w:t>
            </w:r>
          </w:p>
        </w:tc>
        <w:tc>
          <w:tcPr>
            <w:tcW w:w="4680" w:type="dxa"/>
            <w:vAlign w:val="bottom"/>
          </w:tcPr>
          <w:p>
            <w:pPr>
              <w:ind w:left="100"/>
              <w:spacing w:after="0"/>
              <w:rPr>
                <w:sz w:val="20"/>
                <w:szCs w:val="20"/>
                <w:color w:val="auto"/>
              </w:rPr>
            </w:pPr>
            <w:r>
              <w:rPr>
                <w:rFonts w:ascii="Arial" w:cs="Arial" w:eastAsia="Arial" w:hAnsi="Arial"/>
                <w:sz w:val="16"/>
                <w:szCs w:val="16"/>
                <w:color w:val="auto"/>
              </w:rPr>
              <w:t>Anti-Hedging and Pledging Policy</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CB233C"/>
              </w:rPr>
              <w:t>Yes</w:t>
            </w:r>
          </w:p>
        </w:tc>
      </w:tr>
      <w:tr>
        <w:trPr>
          <w:trHeight w:val="256"/>
        </w:trPr>
        <w:tc>
          <w:tcPr>
            <w:tcW w:w="4220" w:type="dxa"/>
            <w:vAlign w:val="bottom"/>
          </w:tcPr>
          <w:p>
            <w:pPr>
              <w:ind w:left="60"/>
              <w:spacing w:after="0"/>
              <w:rPr>
                <w:sz w:val="20"/>
                <w:szCs w:val="20"/>
                <w:color w:val="auto"/>
              </w:rPr>
            </w:pPr>
            <w:r>
              <w:rPr>
                <w:rFonts w:ascii="Arial" w:cs="Arial" w:eastAsia="Arial" w:hAnsi="Arial"/>
                <w:sz w:val="16"/>
                <w:szCs w:val="16"/>
                <w:color w:val="auto"/>
              </w:rPr>
              <w:t>Supermajority Voting Threshold for Mergers</w:t>
            </w: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CB233C"/>
              </w:rPr>
              <w:t>No</w:t>
            </w:r>
          </w:p>
        </w:tc>
        <w:tc>
          <w:tcPr>
            <w:tcW w:w="4680" w:type="dxa"/>
            <w:vAlign w:val="bottom"/>
          </w:tcPr>
          <w:p>
            <w:pPr>
              <w:ind w:left="100"/>
              <w:spacing w:after="0"/>
              <w:rPr>
                <w:sz w:val="20"/>
                <w:szCs w:val="20"/>
                <w:color w:val="auto"/>
              </w:rPr>
            </w:pPr>
            <w:r>
              <w:rPr>
                <w:rFonts w:ascii="Arial" w:cs="Arial" w:eastAsia="Arial" w:hAnsi="Arial"/>
                <w:sz w:val="16"/>
                <w:szCs w:val="16"/>
                <w:color w:val="auto"/>
              </w:rPr>
              <w:t>Compensation Recoupment Policy</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CB233C"/>
              </w:rPr>
              <w:t>Yes</w:t>
            </w:r>
          </w:p>
        </w:tc>
      </w:tr>
      <w:tr>
        <w:trPr>
          <w:trHeight w:val="257"/>
        </w:trPr>
        <w:tc>
          <w:tcPr>
            <w:tcW w:w="4220" w:type="dxa"/>
            <w:vAlign w:val="bottom"/>
          </w:tcPr>
          <w:p>
            <w:pPr>
              <w:ind w:left="60"/>
              <w:spacing w:after="0"/>
              <w:rPr>
                <w:sz w:val="20"/>
                <w:szCs w:val="20"/>
                <w:color w:val="auto"/>
              </w:rPr>
            </w:pPr>
            <w:r>
              <w:rPr>
                <w:rFonts w:ascii="Arial" w:cs="Arial" w:eastAsia="Arial" w:hAnsi="Arial"/>
                <w:sz w:val="16"/>
                <w:szCs w:val="16"/>
                <w:color w:val="auto"/>
              </w:rPr>
              <w:t>Proxy Access</w:t>
            </w: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CB233C"/>
              </w:rPr>
              <w:t>Yes</w:t>
            </w:r>
          </w:p>
        </w:tc>
        <w:tc>
          <w:tcPr>
            <w:tcW w:w="4680" w:type="dxa"/>
            <w:vAlign w:val="bottom"/>
          </w:tcPr>
          <w:p>
            <w:pPr>
              <w:ind w:left="100"/>
              <w:spacing w:after="0"/>
              <w:rPr>
                <w:sz w:val="20"/>
                <w:szCs w:val="20"/>
                <w:color w:val="auto"/>
              </w:rPr>
            </w:pPr>
            <w:r>
              <w:rPr>
                <w:rFonts w:ascii="Arial" w:cs="Arial" w:eastAsia="Arial" w:hAnsi="Arial"/>
                <w:sz w:val="16"/>
                <w:szCs w:val="16"/>
                <w:color w:val="auto"/>
              </w:rPr>
              <w:t>Corporate Political Contributions</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CB233C"/>
              </w:rPr>
              <w:t>No</w:t>
            </w:r>
          </w:p>
        </w:tc>
      </w:tr>
      <w:tr>
        <w:trPr>
          <w:trHeight w:val="258"/>
        </w:trPr>
        <w:tc>
          <w:tcPr>
            <w:tcW w:w="4220" w:type="dxa"/>
            <w:vAlign w:val="bottom"/>
            <w:tcBorders>
              <w:bottom w:val="single" w:sz="8" w:color="CB233C"/>
            </w:tcBorders>
          </w:tcPr>
          <w:p>
            <w:pPr>
              <w:ind w:left="60"/>
              <w:spacing w:after="0"/>
              <w:rPr>
                <w:sz w:val="20"/>
                <w:szCs w:val="20"/>
                <w:color w:val="auto"/>
              </w:rPr>
            </w:pPr>
            <w:r>
              <w:rPr>
                <w:rFonts w:ascii="Arial" w:cs="Arial" w:eastAsia="Arial" w:hAnsi="Arial"/>
                <w:sz w:val="16"/>
                <w:szCs w:val="16"/>
                <w:color w:val="auto"/>
              </w:rPr>
              <w:t>Shareholder Action by Written Consent</w:t>
            </w:r>
          </w:p>
        </w:tc>
        <w:tc>
          <w:tcPr>
            <w:tcW w:w="1420" w:type="dxa"/>
            <w:vAlign w:val="bottom"/>
            <w:tcBorders>
              <w:bottom w:val="single" w:sz="8" w:color="CB233C"/>
            </w:tcBorders>
          </w:tcPr>
          <w:p>
            <w:pPr>
              <w:jc w:val="right"/>
              <w:ind w:right="39"/>
              <w:spacing w:after="0"/>
              <w:rPr>
                <w:sz w:val="20"/>
                <w:szCs w:val="20"/>
                <w:color w:val="auto"/>
              </w:rPr>
            </w:pPr>
            <w:r>
              <w:rPr>
                <w:rFonts w:ascii="Arial" w:cs="Arial" w:eastAsia="Arial" w:hAnsi="Arial"/>
                <w:sz w:val="16"/>
                <w:szCs w:val="16"/>
                <w:b w:val="1"/>
                <w:bCs w:val="1"/>
                <w:color w:val="CB233C"/>
              </w:rPr>
              <w:t>Yes</w:t>
            </w:r>
          </w:p>
        </w:tc>
        <w:tc>
          <w:tcPr>
            <w:tcW w:w="4680" w:type="dxa"/>
            <w:vAlign w:val="bottom"/>
            <w:tcBorders>
              <w:bottom w:val="single" w:sz="8" w:color="CB233C"/>
            </w:tcBorders>
          </w:tcPr>
          <w:p>
            <w:pPr>
              <w:spacing w:after="0"/>
              <w:rPr>
                <w:sz w:val="22"/>
                <w:szCs w:val="22"/>
                <w:color w:val="auto"/>
              </w:rPr>
            </w:pPr>
          </w:p>
        </w:tc>
        <w:tc>
          <w:tcPr>
            <w:tcW w:w="920" w:type="dxa"/>
            <w:vAlign w:val="bottom"/>
            <w:tcBorders>
              <w:bottom w:val="single" w:sz="8" w:color="CB233C"/>
            </w:tcBorders>
          </w:tcPr>
          <w:p>
            <w:pPr>
              <w:spacing w:after="0"/>
              <w:rPr>
                <w:sz w:val="22"/>
                <w:szCs w:val="22"/>
                <w:color w:val="auto"/>
              </w:rPr>
            </w:pPr>
          </w:p>
        </w:tc>
      </w:tr>
    </w:tbl>
    <w:p>
      <w:pPr>
        <w:spacing w:after="0" w:line="175"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In order for our shareholders to understand how the Board conducts its affairs in all areas of its responsibility, the full text of the charters of our Audit; Compensation; Health, Safety and Environment; and Nominating and Corporate Governance Committees and for our Lead Independent Director are also available on our website.</w:t>
      </w:r>
    </w:p>
    <w:p>
      <w:pPr>
        <w:spacing w:after="0" w:line="144"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Except to the extent expressly stated otherwise, information contained on or accessible from our website or any other website is not incorporated by reference into and should not be considered part of this proxy statement.</w:t>
      </w:r>
    </w:p>
    <w:p>
      <w:pPr>
        <w:spacing w:after="0" w:line="112"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Code of Business Conduct</w:t>
      </w:r>
    </w:p>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Code of Business Conduct, which applies to all of our Directors and employees and serves as the code of ethics for our principal executive officer, principal financial officer, principal accounting officer or controller, and other persons performing similar functions, is available on our website. Any waivers to our Code of Business Conduct for our Directors or executive officers can only be made by our Audit Committee. There were no waivers of the Code of Business Conduct in 2021.</w:t>
      </w:r>
    </w:p>
    <w:p>
      <w:pPr>
        <w:spacing w:after="0" w:line="135"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Related Persons Transactions Policy</w:t>
      </w:r>
    </w:p>
    <w:p>
      <w:pPr>
        <w:spacing w:after="0" w:line="215"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Our Board has adopted a written policy governing related persons transactions as part of the Board’s commitment to good governance and independent oversight. The policy covers transactions involving any of our Directors, executive officers, nominees for Director, greater than 5% shareholders, or any of their immediate family members, among others.</w:t>
      </w:r>
    </w:p>
    <w:p>
      <w:pPr>
        <w:spacing w:after="0" w:line="144"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The types of transactions covered by this policy are transactions, arrangements, or relationships, or any series of similar transactions, arrangements, or relationships, including any indebtedness or guarantee of indebtedness, in which (i) we or any of our subsidiaries were or will be a participant, (ii) the aggregate amount involved exceeds $120,000 in any calendar year, and (iii) any related person had, has, or will have a direct or indirect material interest.</w:t>
      </w:r>
    </w:p>
    <w:p>
      <w:pPr>
        <w:spacing w:after="0" w:line="144"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Under the policy, we generally only enter into or ratify related persons transactions when the Audit Committee determines such transactions are in our best interests and the best interests of our shareholders. In determining whether to approve or ratify a related persons transaction, the Audit Committee will consider the following factors and other factors it deems appropriate:</w:t>
      </w:r>
    </w:p>
    <w:p>
      <w:pPr>
        <w:spacing w:after="0" w:line="144" w:lineRule="exact"/>
        <w:rPr>
          <w:sz w:val="20"/>
          <w:szCs w:val="20"/>
          <w:color w:val="auto"/>
        </w:rPr>
      </w:pPr>
    </w:p>
    <w:p>
      <w:pPr>
        <w:ind w:left="180" w:right="440" w:hanging="172"/>
        <w:spacing w:after="0" w:line="285" w:lineRule="auto"/>
        <w:tabs>
          <w:tab w:leader="none" w:pos="180" w:val="left"/>
        </w:tabs>
        <w:numPr>
          <w:ilvl w:val="0"/>
          <w:numId w:val="6"/>
        </w:numPr>
        <w:rPr>
          <w:rFonts w:ascii="Times New Roman" w:cs="Times New Roman" w:eastAsia="Times New Roman" w:hAnsi="Times New Roman"/>
          <w:sz w:val="16"/>
          <w:szCs w:val="16"/>
          <w:color w:val="CB233C"/>
        </w:rPr>
      </w:pPr>
      <w:r>
        <w:rPr>
          <w:rFonts w:ascii="Arial" w:cs="Arial" w:eastAsia="Arial" w:hAnsi="Arial"/>
          <w:sz w:val="16"/>
          <w:szCs w:val="16"/>
          <w:color w:val="auto"/>
        </w:rPr>
        <w:t>whether the related persons transaction is on terms comparable to terms generally available with an unaffiliated third party under the same or similar circumstances;</w:t>
      </w:r>
    </w:p>
    <w:p>
      <w:pPr>
        <w:spacing w:after="0" w:line="21" w:lineRule="exact"/>
        <w:rPr>
          <w:rFonts w:ascii="Times New Roman" w:cs="Times New Roman" w:eastAsia="Times New Roman" w:hAnsi="Times New Roman"/>
          <w:sz w:val="16"/>
          <w:szCs w:val="16"/>
          <w:color w:val="CB233C"/>
        </w:rPr>
      </w:pPr>
    </w:p>
    <w:p>
      <w:pPr>
        <w:ind w:left="180" w:hanging="172"/>
        <w:spacing w:after="0"/>
        <w:tabs>
          <w:tab w:leader="none" w:pos="180" w:val="left"/>
        </w:tabs>
        <w:numPr>
          <w:ilvl w:val="0"/>
          <w:numId w:val="6"/>
        </w:numPr>
        <w:rPr>
          <w:rFonts w:ascii="Times New Roman" w:cs="Times New Roman" w:eastAsia="Times New Roman" w:hAnsi="Times New Roman"/>
          <w:sz w:val="16"/>
          <w:szCs w:val="16"/>
          <w:color w:val="CB233C"/>
        </w:rPr>
      </w:pPr>
      <w:r>
        <w:rPr>
          <w:rFonts w:ascii="Arial" w:cs="Arial" w:eastAsia="Arial" w:hAnsi="Arial"/>
          <w:sz w:val="16"/>
          <w:szCs w:val="16"/>
          <w:color w:val="auto"/>
        </w:rPr>
        <w:t>the benefits of the transaction to us;</w:t>
      </w:r>
    </w:p>
    <w:p>
      <w:pPr>
        <w:spacing w:after="0" w:line="98" w:lineRule="exact"/>
        <w:rPr>
          <w:rFonts w:ascii="Times New Roman" w:cs="Times New Roman" w:eastAsia="Times New Roman" w:hAnsi="Times New Roman"/>
          <w:sz w:val="16"/>
          <w:szCs w:val="16"/>
          <w:color w:val="CB233C"/>
        </w:rPr>
      </w:pPr>
    </w:p>
    <w:p>
      <w:pPr>
        <w:ind w:left="180" w:hanging="172"/>
        <w:spacing w:after="0"/>
        <w:tabs>
          <w:tab w:leader="none" w:pos="180" w:val="left"/>
        </w:tabs>
        <w:numPr>
          <w:ilvl w:val="0"/>
          <w:numId w:val="6"/>
        </w:numPr>
        <w:rPr>
          <w:rFonts w:ascii="Times New Roman" w:cs="Times New Roman" w:eastAsia="Times New Roman" w:hAnsi="Times New Roman"/>
          <w:sz w:val="16"/>
          <w:szCs w:val="16"/>
          <w:color w:val="CB233C"/>
        </w:rPr>
      </w:pPr>
      <w:r>
        <w:rPr>
          <w:rFonts w:ascii="Arial" w:cs="Arial" w:eastAsia="Arial" w:hAnsi="Arial"/>
          <w:sz w:val="16"/>
          <w:szCs w:val="16"/>
          <w:color w:val="auto"/>
        </w:rPr>
        <w:t>the extent of the related person’s interest in the transaction; and</w:t>
      </w:r>
    </w:p>
    <w:p>
      <w:pPr>
        <w:spacing w:after="0" w:line="98" w:lineRule="exact"/>
        <w:rPr>
          <w:rFonts w:ascii="Times New Roman" w:cs="Times New Roman" w:eastAsia="Times New Roman" w:hAnsi="Times New Roman"/>
          <w:sz w:val="16"/>
          <w:szCs w:val="16"/>
          <w:color w:val="CB233C"/>
        </w:rPr>
      </w:pPr>
    </w:p>
    <w:p>
      <w:pPr>
        <w:ind w:left="180" w:hanging="172"/>
        <w:spacing w:after="0"/>
        <w:tabs>
          <w:tab w:leader="none" w:pos="180" w:val="left"/>
        </w:tabs>
        <w:numPr>
          <w:ilvl w:val="0"/>
          <w:numId w:val="6"/>
        </w:numPr>
        <w:rPr>
          <w:rFonts w:ascii="Times New Roman" w:cs="Times New Roman" w:eastAsia="Times New Roman" w:hAnsi="Times New Roman"/>
          <w:sz w:val="16"/>
          <w:szCs w:val="16"/>
          <w:color w:val="CB233C"/>
        </w:rPr>
      </w:pPr>
      <w:r>
        <w:rPr>
          <w:rFonts w:ascii="Arial" w:cs="Arial" w:eastAsia="Arial" w:hAnsi="Arial"/>
          <w:sz w:val="16"/>
          <w:szCs w:val="16"/>
          <w:color w:val="auto"/>
        </w:rPr>
        <w:t>whether there are alternative sources for the subject matter of the transaction.</w:t>
      </w:r>
    </w:p>
    <w:p>
      <w:pPr>
        <w:spacing w:after="0" w:line="207" w:lineRule="exact"/>
        <w:rPr>
          <w:sz w:val="20"/>
          <w:szCs w:val="20"/>
          <w:color w:val="auto"/>
        </w:rPr>
      </w:pPr>
    </w:p>
    <w:p>
      <w:pPr>
        <w:spacing w:after="0"/>
        <w:tabs>
          <w:tab w:leader="none" w:pos="7820" w:val="left"/>
          <w:tab w:leader="none" w:pos="111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r>
      <w:r>
        <w:rPr>
          <w:sz w:val="20"/>
          <w:szCs w:val="20"/>
          <w:color w:val="auto"/>
        </w:rPr>
        <w:tab/>
      </w:r>
      <w:r>
        <w:rPr>
          <w:rFonts w:ascii="Arial" w:cs="Arial" w:eastAsia="Arial" w:hAnsi="Arial"/>
          <w:sz w:val="14"/>
          <w:szCs w:val="14"/>
          <w:b w:val="1"/>
          <w:bCs w:val="1"/>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8144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1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CB233C"/>
        </w:rPr>
        <w:t xml:space="preserve">The Board of Directors </w:t>
      </w:r>
      <w:r>
        <w:rPr>
          <w:rFonts w:ascii="Arial" w:cs="Arial" w:eastAsia="Arial" w:hAnsi="Arial"/>
          <w:sz w:val="47"/>
          <w:szCs w:val="47"/>
          <w:b w:val="1"/>
          <w:bCs w:val="1"/>
          <w:color w:val="000000"/>
        </w:rPr>
        <w:t>and Standing Committees</w:t>
      </w:r>
    </w:p>
    <w:p>
      <w:pPr>
        <w:spacing w:after="0" w:line="34" w:lineRule="exact"/>
        <w:rPr>
          <w:sz w:val="20"/>
          <w:szCs w:val="20"/>
          <w:color w:val="auto"/>
        </w:rPr>
      </w:pPr>
    </w:p>
    <w:p>
      <w:pPr>
        <w:spacing w:after="0"/>
        <w:rPr>
          <w:sz w:val="20"/>
          <w:szCs w:val="20"/>
          <w:color w:val="auto"/>
        </w:rPr>
      </w:pPr>
      <w:r>
        <w:rPr>
          <w:rFonts w:ascii="Arial" w:cs="Arial" w:eastAsia="Arial" w:hAnsi="Arial"/>
          <w:sz w:val="47"/>
          <w:szCs w:val="47"/>
          <w:b w:val="1"/>
          <w:bCs w:val="1"/>
          <w:color w:val="auto"/>
        </w:rPr>
        <w:t>of Directors</w:t>
      </w:r>
    </w:p>
    <w:p>
      <w:pPr>
        <w:spacing w:after="0" w:line="395"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The Board has standing Audit; Compensation; Health, Safety and Environment; and Nominating and Corporate Governance Committees. Each standing Committee is comprised of Directors who, in the business judgment of the Board, are independent, after considering all relevant facts and circumstances, including the independence standards set forth in our Corporate Governance Guidelines.</w:t>
      </w:r>
    </w:p>
    <w:p>
      <w:pPr>
        <w:spacing w:after="0" w:line="14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Our independence standards meet New York Stock Exchange, or NYSE, independence requirements. Our independence standards and compliance with those standards are periodically reviewed by the Nominating and Corporate Governance Committee. There were no relevant transactions, arrangements, or relationships not disclosed in this proxy statement that were considered by the Board in making its determination as to the independence of the Directors.</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Board Leadership</w:t>
      </w:r>
    </w:p>
    <w:p>
      <w:pPr>
        <w:spacing w:after="0" w:line="215"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Our Board believes that it is important to maintain flexibility to determine the appropriate leadership of the Board and whether the roles of Chairman and Chief Executive Officer should be combined or separate. Our Corporate Governance Guidelines provide that the Board consider annually whether it is appropriate for the same individual to fill both of those roles. When making that determination, the Board considers issues such as industry and financial expertise, in-depth knowledge of Halliburton and its business, and succession planning. In 2021, the Board decided that a combined leadership role would currently best serve the Company and its shareholders. The Board believes that Jeffrey A. Miller, our Chairman, President and Chief Executive Officer, with his industry expertise, financial expertise, and in-depth knowledge of Halliburton and its business, is the correct person to fill both roles. The Board also believes that Mr. Miller is best suited to lead the Board’s discussion and evaluation of the Company’s business, financial, and health, safety, environment, and sustainability strategy and performance. With the exception of Mr. Miller, the Board is composed of independent Directors.</w:t>
      </w:r>
    </w:p>
    <w:p>
      <w:pPr>
        <w:spacing w:after="0" w:line="15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Robert A. Malone is our Lead Independent Director. The Lead Independent Director’s role and responsibilities are set forth in the Lead Independent Director Charter adopted by the Board. These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tcPr>
          <w:p>
            <w:pPr>
              <w:ind w:left="340"/>
              <w:spacing w:after="0"/>
              <w:rPr>
                <w:sz w:val="20"/>
                <w:szCs w:val="20"/>
                <w:color w:val="auto"/>
              </w:rPr>
            </w:pPr>
            <w:r>
              <w:rPr>
                <w:rFonts w:ascii="Arial" w:cs="Arial" w:eastAsia="Arial" w:hAnsi="Arial"/>
                <w:sz w:val="16"/>
                <w:szCs w:val="16"/>
                <w:color w:val="auto"/>
              </w:rPr>
              <w:t>liaises between the independent Directors and the Chairman</w:t>
            </w:r>
          </w:p>
        </w:tc>
        <w:tc>
          <w:tcPr>
            <w:tcW w:w="5540" w:type="dxa"/>
            <w:vAlign w:val="bottom"/>
          </w:tcPr>
          <w:p>
            <w:pPr>
              <w:ind w:left="380"/>
              <w:spacing w:after="0"/>
              <w:rPr>
                <w:sz w:val="20"/>
                <w:szCs w:val="20"/>
                <w:color w:val="auto"/>
              </w:rPr>
            </w:pPr>
            <w:r>
              <w:rPr>
                <w:rFonts w:ascii="Arial" w:cs="Arial" w:eastAsia="Arial" w:hAnsi="Arial"/>
                <w:sz w:val="16"/>
                <w:szCs w:val="16"/>
                <w:color w:val="auto"/>
              </w:rPr>
              <w:t>participates in shareholder engagement</w:t>
            </w:r>
          </w:p>
        </w:tc>
      </w:tr>
      <w:tr>
        <w:trPr>
          <w:trHeight w:val="29"/>
        </w:trPr>
        <w:tc>
          <w:tcPr>
            <w:tcW w:w="570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195"/>
        </w:trPr>
        <w:tc>
          <w:tcPr>
            <w:tcW w:w="5700" w:type="dxa"/>
            <w:vAlign w:val="bottom"/>
          </w:tcPr>
          <w:p>
            <w:pPr>
              <w:ind w:left="340"/>
              <w:spacing w:after="0"/>
              <w:rPr>
                <w:sz w:val="20"/>
                <w:szCs w:val="20"/>
                <w:color w:val="auto"/>
              </w:rPr>
            </w:pPr>
            <w:r>
              <w:rPr>
                <w:rFonts w:ascii="Arial" w:cs="Arial" w:eastAsia="Arial" w:hAnsi="Arial"/>
                <w:sz w:val="16"/>
                <w:szCs w:val="16"/>
                <w:color w:val="auto"/>
              </w:rPr>
              <w:t>approves agendas for Board meetings and ensures the agendas</w:t>
            </w:r>
          </w:p>
        </w:tc>
        <w:tc>
          <w:tcPr>
            <w:tcW w:w="5540" w:type="dxa"/>
            <w:vAlign w:val="bottom"/>
          </w:tcPr>
          <w:p>
            <w:pPr>
              <w:ind w:left="380"/>
              <w:spacing w:after="0"/>
              <w:rPr>
                <w:sz w:val="20"/>
                <w:szCs w:val="20"/>
                <w:color w:val="auto"/>
              </w:rPr>
            </w:pPr>
            <w:r>
              <w:rPr>
                <w:rFonts w:ascii="Arial" w:cs="Arial" w:eastAsia="Arial" w:hAnsi="Arial"/>
                <w:sz w:val="16"/>
                <w:szCs w:val="16"/>
                <w:color w:val="auto"/>
              </w:rPr>
              <w:t>advises management on and approves information sent to the Board</w:t>
            </w:r>
          </w:p>
        </w:tc>
      </w:tr>
      <w:tr>
        <w:trPr>
          <w:trHeight w:val="189"/>
        </w:trPr>
        <w:tc>
          <w:tcPr>
            <w:tcW w:w="5700" w:type="dxa"/>
            <w:vAlign w:val="bottom"/>
          </w:tcPr>
          <w:p>
            <w:pPr>
              <w:ind w:left="340"/>
              <w:spacing w:after="0"/>
              <w:rPr>
                <w:sz w:val="20"/>
                <w:szCs w:val="20"/>
                <w:color w:val="auto"/>
              </w:rPr>
            </w:pPr>
            <w:r>
              <w:rPr>
                <w:rFonts w:ascii="Arial" w:cs="Arial" w:eastAsia="Arial" w:hAnsi="Arial"/>
                <w:sz w:val="16"/>
                <w:szCs w:val="16"/>
                <w:color w:val="auto"/>
              </w:rPr>
              <w:t>provide opportunities for the Board to provide input on the Company’s</w:t>
            </w:r>
          </w:p>
        </w:tc>
        <w:tc>
          <w:tcPr>
            <w:tcW w:w="5540" w:type="dxa"/>
            <w:vAlign w:val="bottom"/>
          </w:tcPr>
          <w:p>
            <w:pPr>
              <w:ind w:left="380"/>
              <w:spacing w:after="0"/>
              <w:rPr>
                <w:sz w:val="20"/>
                <w:szCs w:val="20"/>
                <w:color w:val="auto"/>
              </w:rPr>
            </w:pPr>
            <w:r>
              <w:rPr>
                <w:rFonts w:ascii="Arial" w:cs="Arial" w:eastAsia="Arial" w:hAnsi="Arial"/>
                <w:sz w:val="16"/>
                <w:szCs w:val="16"/>
                <w:color w:val="auto"/>
              </w:rPr>
              <w:t>and approves schedules for meetings of the Board</w:t>
            </w:r>
          </w:p>
        </w:tc>
      </w:tr>
      <w:tr>
        <w:trPr>
          <w:trHeight w:val="224"/>
        </w:trPr>
        <w:tc>
          <w:tcPr>
            <w:tcW w:w="57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business strategy and management’s execution of that strategy</w:t>
            </w:r>
          </w:p>
        </w:tc>
        <w:tc>
          <w:tcPr>
            <w:tcW w:w="5540" w:type="dxa"/>
            <w:vAlign w:val="bottom"/>
            <w:tcBorders>
              <w:bottom w:val="single" w:sz="8" w:color="auto"/>
            </w:tcBorders>
          </w:tcPr>
          <w:p>
            <w:pPr>
              <w:spacing w:after="0"/>
              <w:rPr>
                <w:sz w:val="19"/>
                <w:szCs w:val="19"/>
                <w:color w:val="auto"/>
              </w:rPr>
            </w:pPr>
          </w:p>
        </w:tc>
      </w:tr>
      <w:tr>
        <w:trPr>
          <w:trHeight w:val="202"/>
        </w:trPr>
        <w:tc>
          <w:tcPr>
            <w:tcW w:w="5700" w:type="dxa"/>
            <w:vAlign w:val="bottom"/>
          </w:tcPr>
          <w:p>
            <w:pPr>
              <w:ind w:left="340"/>
              <w:spacing w:after="0"/>
              <w:rPr>
                <w:sz w:val="20"/>
                <w:szCs w:val="20"/>
                <w:color w:val="auto"/>
              </w:rPr>
            </w:pPr>
            <w:r>
              <w:rPr>
                <w:rFonts w:ascii="Arial" w:cs="Arial" w:eastAsia="Arial" w:hAnsi="Arial"/>
                <w:sz w:val="16"/>
                <w:szCs w:val="16"/>
                <w:color w:val="auto"/>
              </w:rPr>
              <w:t>presides over meetings and executive sessions of the independent</w:t>
            </w:r>
          </w:p>
        </w:tc>
        <w:tc>
          <w:tcPr>
            <w:tcW w:w="5540" w:type="dxa"/>
            <w:vAlign w:val="bottom"/>
          </w:tcPr>
          <w:p>
            <w:pPr>
              <w:ind w:left="380"/>
              <w:spacing w:after="0"/>
              <w:rPr>
                <w:sz w:val="20"/>
                <w:szCs w:val="20"/>
                <w:color w:val="auto"/>
              </w:rPr>
            </w:pPr>
            <w:r>
              <w:rPr>
                <w:rFonts w:ascii="Arial" w:cs="Arial" w:eastAsia="Arial" w:hAnsi="Arial"/>
                <w:sz w:val="16"/>
                <w:szCs w:val="16"/>
                <w:color w:val="auto"/>
              </w:rPr>
              <w:t>authorizes the retention of outside advisors and consultants who report</w:t>
            </w:r>
          </w:p>
        </w:tc>
      </w:tr>
      <w:tr>
        <w:trPr>
          <w:trHeight w:val="224"/>
        </w:trPr>
        <w:tc>
          <w:tcPr>
            <w:tcW w:w="57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Directors</w:t>
            </w:r>
          </w:p>
        </w:tc>
        <w:tc>
          <w:tcPr>
            <w:tcW w:w="55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directly to the Board</w:t>
            </w:r>
          </w:p>
        </w:tc>
      </w:tr>
      <w:tr>
        <w:trPr>
          <w:trHeight w:val="228"/>
        </w:trPr>
        <w:tc>
          <w:tcPr>
            <w:tcW w:w="5700" w:type="dxa"/>
            <w:vAlign w:val="bottom"/>
          </w:tcPr>
          <w:p>
            <w:pPr>
              <w:ind w:left="340"/>
              <w:spacing w:after="0"/>
              <w:rPr>
                <w:sz w:val="20"/>
                <w:szCs w:val="20"/>
                <w:color w:val="auto"/>
              </w:rPr>
            </w:pPr>
            <w:r>
              <w:rPr>
                <w:rFonts w:ascii="Arial" w:cs="Arial" w:eastAsia="Arial" w:hAnsi="Arial"/>
                <w:sz w:val="16"/>
                <w:szCs w:val="16"/>
                <w:color w:val="auto"/>
              </w:rPr>
              <w:t>leads the Board’s annual evaluation of the Chief Executive Officer</w:t>
            </w:r>
          </w:p>
        </w:tc>
        <w:tc>
          <w:tcPr>
            <w:tcW w:w="5540" w:type="dxa"/>
            <w:vAlign w:val="bottom"/>
          </w:tcPr>
          <w:p>
            <w:pPr>
              <w:ind w:left="380"/>
              <w:spacing w:after="0"/>
              <w:rPr>
                <w:sz w:val="20"/>
                <w:szCs w:val="20"/>
                <w:color w:val="auto"/>
              </w:rPr>
            </w:pPr>
            <w:r>
              <w:rPr>
                <w:rFonts w:ascii="Arial" w:cs="Arial" w:eastAsia="Arial" w:hAnsi="Arial"/>
                <w:sz w:val="16"/>
                <w:szCs w:val="16"/>
                <w:color w:val="auto"/>
              </w:rPr>
              <w:t>schedules meetings of the independent Directors as appropriate</w:t>
            </w:r>
          </w:p>
        </w:tc>
      </w:tr>
      <w:tr>
        <w:trPr>
          <w:trHeight w:val="29"/>
        </w:trPr>
        <w:tc>
          <w:tcPr>
            <w:tcW w:w="5700" w:type="dxa"/>
            <w:vAlign w:val="bottom"/>
            <w:tcBorders>
              <w:bottom w:val="single" w:sz="8" w:color="CB233C"/>
            </w:tcBorders>
          </w:tcPr>
          <w:p>
            <w:pPr>
              <w:spacing w:after="0"/>
              <w:rPr>
                <w:sz w:val="2"/>
                <w:szCs w:val="2"/>
                <w:color w:val="auto"/>
              </w:rPr>
            </w:pPr>
          </w:p>
        </w:tc>
        <w:tc>
          <w:tcPr>
            <w:tcW w:w="5540" w:type="dxa"/>
            <w:vAlign w:val="bottom"/>
            <w:tcBorders>
              <w:bottom w:val="single" w:sz="8" w:color="CB233C"/>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-1010920</wp:posOffset>
            </wp:positionV>
            <wp:extent cx="137160"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12827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-1010920</wp:posOffset>
            </wp:positionV>
            <wp:extent cx="137160"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137160"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12827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-839470</wp:posOffset>
            </wp:positionV>
            <wp:extent cx="137160"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13716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-436880</wp:posOffset>
            </wp:positionV>
            <wp:extent cx="13716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13716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-153670</wp:posOffset>
            </wp:positionV>
            <wp:extent cx="13716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Lead Independent Director Charter is available on our website at </w:t>
      </w:r>
      <w:r>
        <w:rPr>
          <w:rFonts w:ascii="Arial" w:cs="Arial" w:eastAsia="Arial" w:hAnsi="Arial"/>
          <w:sz w:val="16"/>
          <w:szCs w:val="16"/>
          <w:i w:val="1"/>
          <w:iCs w:val="1"/>
          <w:color w:val="CB233C"/>
        </w:rPr>
        <w:t>www.halliburton.com</w:t>
      </w:r>
      <w:r>
        <w:rPr>
          <w:rFonts w:ascii="Arial" w:cs="Arial" w:eastAsia="Arial" w:hAnsi="Arial"/>
          <w:sz w:val="16"/>
          <w:szCs w:val="16"/>
          <w:i w:val="1"/>
          <w:iCs w:val="1"/>
          <w:color w:val="auto"/>
        </w:rPr>
        <w:t>.</w:t>
      </w:r>
    </w:p>
    <w:p>
      <w:pPr>
        <w:spacing w:after="0" w:line="19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r>
      <w:r>
        <w:rPr>
          <w:sz w:val="20"/>
          <w:szCs w:val="20"/>
          <w:color w:val="auto"/>
        </w:rPr>
        <w:tab/>
      </w:r>
      <w:r>
        <w:rPr>
          <w:rFonts w:ascii="Arial" w:cs="Arial" w:eastAsia="Arial" w:hAnsi="Arial"/>
          <w:sz w:val="14"/>
          <w:szCs w:val="14"/>
          <w:b w:val="1"/>
          <w:bCs w:val="1"/>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9377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377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Board and Committee Oversight</w:t>
      </w:r>
    </w:p>
    <w:p>
      <w:pPr>
        <w:spacing w:after="0" w:line="3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Enhancements to ESG Oversight</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Based on our commitment to provide thorough oversight of ESG risks, opportunities, and strategy, the Halliburton Board of Directors conducted a detailed analysis of our Board structure in 2021. We performed an extensive review of other Board structures and consulted with our shareholders and leading experts. The analysis found that our Board structure and oversight provide a leading model for good governance. Through the review, we also identified an opportunity for Halliburton to dedicate a committee to oversee ESG and elevated the Nominating and Corporate Governance Committee for oversight of these issues. Although the Nominating and Corporate Governance Committee oversees ESG, each committee is responsible for different aspects of ESG, as outlined in each respective charter. The Board sharpened its overall ESG oversight of the Company by focusing more time on these matters in both committee and full Board meetings, as well as in our engagements with Halliburton’s shareholders. By engaging regularly with shareholders and other outside experts to discuss sustainability topics, the Board can more effectively prioritize relevant ESG issues within our overall corporate strategy. During outreach, our shareholders endorsed this oversight structure and other governance enhancements.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Below are the primary oversight responsibilities of our Board’s committees, with newly expanded or clarified responsibilities bolded: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132080</wp:posOffset>
            </wp:positionV>
            <wp:extent cx="6858000" cy="36436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00" cy="364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60" w:val="left"/>
        </w:tabs>
        <w:rPr>
          <w:sz w:val="20"/>
          <w:szCs w:val="20"/>
          <w:color w:val="auto"/>
        </w:rPr>
      </w:pPr>
      <w:r>
        <w:rPr>
          <w:rFonts w:ascii="Arial" w:cs="Arial" w:eastAsia="Arial" w:hAnsi="Arial"/>
          <w:sz w:val="14"/>
          <w:szCs w:val="14"/>
          <w:i w:val="1"/>
          <w:iCs w:val="1"/>
          <w:color w:val="auto"/>
        </w:rPr>
        <w:t>*</w:t>
        <w:tab/>
        <w:t>The Board also enhanced its oversight of cybersecurity to include a quarterly update to the full Board of Directors.</w:t>
      </w:r>
    </w:p>
    <w:p>
      <w:pPr>
        <w:spacing w:after="0" w:line="1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Board believes that it has a strong governance structure in place to ensure independent oversight on behalf of all shareholders. All standing Committees of the Board are comprised solely of independent Directors. Below is a discussion of some of these areas of oversight.</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Political and Lobbying Spending</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Nominating and Corporate Governance Committee is responsible for oversight of political expenditures, payments to trade associations, and lobbying activity. In 2021, we published a comprehensive report (</w:t>
      </w:r>
      <w:r>
        <w:rPr>
          <w:rFonts w:ascii="Arial" w:cs="Arial" w:eastAsia="Arial" w:hAnsi="Arial"/>
          <w:sz w:val="16"/>
          <w:szCs w:val="16"/>
          <w:i w:val="1"/>
          <w:iCs w:val="1"/>
          <w:color w:val="auto"/>
        </w:rPr>
        <w:t>Halliburton Policies for Political Engagement</w:t>
      </w:r>
      <w:r>
        <w:rPr>
          <w:rFonts w:ascii="Arial" w:cs="Arial" w:eastAsia="Arial" w:hAnsi="Arial"/>
          <w:sz w:val="16"/>
          <w:szCs w:val="16"/>
          <w:color w:val="auto"/>
        </w:rPr>
        <w:t xml:space="preserve">) on our annual political activity. The report is available on our website at </w:t>
      </w:r>
      <w:r>
        <w:rPr>
          <w:rFonts w:ascii="Arial" w:cs="Arial" w:eastAsia="Arial" w:hAnsi="Arial"/>
          <w:sz w:val="16"/>
          <w:szCs w:val="16"/>
          <w:i w:val="1"/>
          <w:iCs w:val="1"/>
          <w:color w:val="CB233C"/>
        </w:rPr>
        <w:t>www.halliburton.com</w:t>
      </w:r>
      <w:r>
        <w:rPr>
          <w:rFonts w:ascii="Arial" w:cs="Arial" w:eastAsia="Arial" w:hAnsi="Arial"/>
          <w:sz w:val="16"/>
          <w:szCs w:val="16"/>
          <w:i w:val="1"/>
          <w:iCs w:val="1"/>
          <w:color w:val="auto"/>
        </w:rPr>
        <w:t>.</w:t>
      </w:r>
    </w:p>
    <w:p>
      <w:pPr>
        <w:spacing w:after="0" w:line="239" w:lineRule="exact"/>
        <w:rPr>
          <w:sz w:val="20"/>
          <w:szCs w:val="20"/>
          <w:color w:val="auto"/>
        </w:rPr>
      </w:pPr>
    </w:p>
    <w:p>
      <w:pPr>
        <w:spacing w:after="0"/>
        <w:tabs>
          <w:tab w:leader="none" w:pos="7820" w:val="left"/>
          <w:tab w:leader="none" w:pos="111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r>
      <w:r>
        <w:rPr>
          <w:sz w:val="20"/>
          <w:szCs w:val="20"/>
          <w:color w:val="auto"/>
        </w:rPr>
        <w:tab/>
      </w:r>
      <w:r>
        <w:rPr>
          <w:rFonts w:ascii="Arial" w:cs="Arial" w:eastAsia="Arial" w:hAnsi="Arial"/>
          <w:sz w:val="14"/>
          <w:szCs w:val="14"/>
          <w:b w:val="1"/>
          <w:bCs w:val="1"/>
          <w:color w:val="231F2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8144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1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Notable highlights from this report include:</w:t>
      </w:r>
    </w:p>
    <w:p>
      <w:pPr>
        <w:spacing w:after="0" w:line="194"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6"/>
          <w:szCs w:val="16"/>
          <w:color w:val="CB233C"/>
        </w:rPr>
      </w:pPr>
      <w:r>
        <w:rPr>
          <w:rFonts w:ascii="Arial" w:cs="Arial" w:eastAsia="Arial" w:hAnsi="Arial"/>
          <w:sz w:val="16"/>
          <w:szCs w:val="16"/>
          <w:color w:val="auto"/>
        </w:rPr>
        <w:t>Zero corporate contributions made directly to political parties or candidates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7"/>
        </w:numPr>
        <w:rPr>
          <w:rFonts w:ascii="Arial" w:cs="Arial" w:eastAsia="Arial" w:hAnsi="Arial"/>
          <w:sz w:val="16"/>
          <w:szCs w:val="16"/>
          <w:color w:val="CB233C"/>
        </w:rPr>
      </w:pPr>
      <w:r>
        <w:rPr>
          <w:rFonts w:ascii="Arial" w:cs="Arial" w:eastAsia="Arial" w:hAnsi="Arial"/>
          <w:sz w:val="16"/>
          <w:szCs w:val="16"/>
          <w:color w:val="auto"/>
        </w:rPr>
        <w:t>Zero corporate contributions used to support ballot measures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7"/>
        </w:numPr>
        <w:rPr>
          <w:rFonts w:ascii="Arial" w:cs="Arial" w:eastAsia="Arial" w:hAnsi="Arial"/>
          <w:sz w:val="16"/>
          <w:szCs w:val="16"/>
          <w:color w:val="CB233C"/>
        </w:rPr>
      </w:pPr>
      <w:r>
        <w:rPr>
          <w:rFonts w:ascii="Arial" w:cs="Arial" w:eastAsia="Arial" w:hAnsi="Arial"/>
          <w:sz w:val="16"/>
          <w:szCs w:val="16"/>
          <w:color w:val="auto"/>
        </w:rPr>
        <w:t>Prohibitions against using corporate funds to contribute to 527 and 501(c)(4) organizations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7"/>
        </w:numPr>
        <w:rPr>
          <w:rFonts w:ascii="Arial" w:cs="Arial" w:eastAsia="Arial" w:hAnsi="Arial"/>
          <w:sz w:val="16"/>
          <w:szCs w:val="16"/>
          <w:color w:val="CB233C"/>
        </w:rPr>
      </w:pPr>
      <w:r>
        <w:rPr>
          <w:rFonts w:ascii="Arial" w:cs="Arial" w:eastAsia="Arial" w:hAnsi="Arial"/>
          <w:sz w:val="16"/>
          <w:szCs w:val="16"/>
          <w:color w:val="auto"/>
        </w:rPr>
        <w:t>Board oversight of the Company’s strategy for political engagement</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For our efforts, in 2021 we scored an 80% on the CPA-Zicklin index. Developed by the Wharton School of Business, Zicklin Center for Business Ethics Research, this index scores corporations on the transparency and accountability demonstrated within their political engagement policies. The index uses 24 scoring elements focused on political contributions, trade associations, and political action committee (PAC) activities to calculate a raw score. Halliburton’s raw score of 56 points places us within the top 20% of all companies.</w:t>
      </w: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Enterprise Risk Management</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implemented an Enterprise Risk Management (ERM) program to identify and analyze enterprise-level risks and their potential impact on our business. The objectives of our ERM program are to:</w:t>
      </w:r>
    </w:p>
    <w:p>
      <w:pPr>
        <w:spacing w:after="0" w:line="129"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6"/>
          <w:szCs w:val="16"/>
          <w:color w:val="CB233C"/>
        </w:rPr>
      </w:pPr>
      <w:r>
        <w:rPr>
          <w:rFonts w:ascii="Arial" w:cs="Arial" w:eastAsia="Arial" w:hAnsi="Arial"/>
          <w:sz w:val="16"/>
          <w:szCs w:val="16"/>
          <w:color w:val="auto"/>
        </w:rPr>
        <w:t>increase the probability of achieving higher returns on capital and reducing cash flow volatility by identifying:</w:t>
      </w:r>
    </w:p>
    <w:p>
      <w:pPr>
        <w:spacing w:after="0" w:line="86" w:lineRule="exact"/>
        <w:rPr>
          <w:rFonts w:ascii="Arial" w:cs="Arial" w:eastAsia="Arial" w:hAnsi="Arial"/>
          <w:sz w:val="16"/>
          <w:szCs w:val="16"/>
          <w:color w:val="CB233C"/>
        </w:rPr>
      </w:pPr>
    </w:p>
    <w:p>
      <w:pPr>
        <w:ind w:left="360" w:hanging="177"/>
        <w:spacing w:after="0"/>
        <w:tabs>
          <w:tab w:leader="none" w:pos="360" w:val="left"/>
        </w:tabs>
        <w:numPr>
          <w:ilvl w:val="1"/>
          <w:numId w:val="8"/>
        </w:numPr>
        <w:rPr>
          <w:rFonts w:ascii="Arial" w:cs="Arial" w:eastAsia="Arial" w:hAnsi="Arial"/>
          <w:sz w:val="16"/>
          <w:szCs w:val="16"/>
          <w:color w:val="auto"/>
        </w:rPr>
      </w:pPr>
      <w:r>
        <w:rPr>
          <w:rFonts w:ascii="Arial" w:cs="Arial" w:eastAsia="Arial" w:hAnsi="Arial"/>
          <w:sz w:val="16"/>
          <w:szCs w:val="16"/>
          <w:color w:val="auto"/>
        </w:rPr>
        <w:t>current and developing risks; and</w:t>
      </w:r>
    </w:p>
    <w:p>
      <w:pPr>
        <w:spacing w:after="0" w:line="140" w:lineRule="exact"/>
        <w:rPr>
          <w:rFonts w:ascii="Arial" w:cs="Arial" w:eastAsia="Arial" w:hAnsi="Arial"/>
          <w:sz w:val="16"/>
          <w:szCs w:val="16"/>
          <w:color w:val="auto"/>
        </w:rPr>
      </w:pPr>
    </w:p>
    <w:p>
      <w:pPr>
        <w:ind w:left="360" w:hanging="177"/>
        <w:spacing w:after="0"/>
        <w:tabs>
          <w:tab w:leader="none" w:pos="360" w:val="left"/>
        </w:tabs>
        <w:numPr>
          <w:ilvl w:val="1"/>
          <w:numId w:val="8"/>
        </w:numPr>
        <w:rPr>
          <w:rFonts w:ascii="Arial" w:cs="Arial" w:eastAsia="Arial" w:hAnsi="Arial"/>
          <w:sz w:val="16"/>
          <w:szCs w:val="16"/>
          <w:color w:val="auto"/>
        </w:rPr>
      </w:pPr>
      <w:r>
        <w:rPr>
          <w:rFonts w:ascii="Arial" w:cs="Arial" w:eastAsia="Arial" w:hAnsi="Arial"/>
          <w:sz w:val="16"/>
          <w:szCs w:val="16"/>
          <w:color w:val="auto"/>
        </w:rPr>
        <w:t>significant controls and potential gaps related to identified risks;</w:t>
      </w:r>
    </w:p>
    <w:p>
      <w:pPr>
        <w:spacing w:after="0" w:line="140" w:lineRule="exact"/>
        <w:rPr>
          <w:rFonts w:ascii="Arial" w:cs="Arial" w:eastAsia="Arial" w:hAnsi="Arial"/>
          <w:sz w:val="16"/>
          <w:szCs w:val="16"/>
          <w:color w:val="auto"/>
        </w:rPr>
      </w:pPr>
    </w:p>
    <w:p>
      <w:pPr>
        <w:ind w:left="180" w:hanging="172"/>
        <w:spacing w:after="0"/>
        <w:tabs>
          <w:tab w:leader="none" w:pos="180" w:val="left"/>
        </w:tabs>
        <w:numPr>
          <w:ilvl w:val="0"/>
          <w:numId w:val="8"/>
        </w:numPr>
        <w:rPr>
          <w:rFonts w:ascii="Arial" w:cs="Arial" w:eastAsia="Arial" w:hAnsi="Arial"/>
          <w:sz w:val="16"/>
          <w:szCs w:val="16"/>
          <w:color w:val="CB233C"/>
        </w:rPr>
      </w:pPr>
      <w:r>
        <w:rPr>
          <w:rFonts w:ascii="Arial" w:cs="Arial" w:eastAsia="Arial" w:hAnsi="Arial"/>
          <w:sz w:val="16"/>
          <w:szCs w:val="16"/>
          <w:color w:val="auto"/>
        </w:rPr>
        <w:t>ensure that our key risks are being effectively managed; and</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8"/>
        </w:numPr>
        <w:rPr>
          <w:rFonts w:ascii="Arial" w:cs="Arial" w:eastAsia="Arial" w:hAnsi="Arial"/>
          <w:sz w:val="16"/>
          <w:szCs w:val="16"/>
          <w:color w:val="CB233C"/>
        </w:rPr>
      </w:pPr>
      <w:r>
        <w:rPr>
          <w:rFonts w:ascii="Arial" w:cs="Arial" w:eastAsia="Arial" w:hAnsi="Arial"/>
          <w:sz w:val="16"/>
          <w:szCs w:val="16"/>
          <w:color w:val="auto"/>
        </w:rPr>
        <w:t>assess whether our compensation policies are reasonably likely to have a materially adverse effect on us.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internal processes to identify and manage risks include our Code of Business Conduct; extensive policies and business practices; financial controls; Internal Assurance Services audits of our internal controls and health, safety, environment, and sustainability; the activities of the Ethics and Compliance group of the Law Department; and our ERM program.</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Audit Committee receives an annual ERM report on risk assessment and risk management in which risks are identified and assigned a significance rating based on potential consequences of the risk and the likelihood of occurrence.</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Chief Executive Officer, who is primarily responsible for managing our day-to-day business, is ultimately responsible to the Board for all risk categories. Our executive officers are assigned responsibility for the various risk categories. The Board has delegated to its Committees the responsibility to monitor certain risks and receive regular updates on those risks.</w:t>
      </w: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Cybersecurity</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frequency and sophistication of global attacks on corporate IT systems containing sensitive information have increased. Halliburton takes each threat seriously and dedicates significant resources to protect our IT systems and data, in alignment with industry security standards, such as the International Organization for Standardization (ISO) 27001 and the National Institute of Standards and Technology (NIST) 800-53. In response, our Board of Directors now receives quarterly updates on cybersecurity matters, and our Audit Committee receives an annual, in-depth review.</w:t>
      </w: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Climate Initiatives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The Health, Safety and Environment Committee is responsible for oversight of our environmental impact, including climate matters. In 2021, under its guidance, we continued our steady march forward in meeting the goals of our science-based targets to reduce Scope 1 and Scope 2 emissions by 40% by 2035 from our baseline year of 2018. We quantified and executed on opportunities to reduce emissions, and we are on track to meet our reduction targets. We also completed our climate scenario analysis, aligned with the Task Force on Climate-Related Financial Disclosure (TCFD). For more information on our approach to climate change and our emissions reduction targets, please visit our Climate Change Statement on our website at </w:t>
      </w:r>
      <w:r>
        <w:rPr>
          <w:rFonts w:ascii="Arial" w:cs="Arial" w:eastAsia="Arial" w:hAnsi="Arial"/>
          <w:sz w:val="16"/>
          <w:szCs w:val="16"/>
          <w:i w:val="1"/>
          <w:iCs w:val="1"/>
          <w:color w:val="CB233C"/>
        </w:rPr>
        <w:t>www.halliburton.com</w:t>
      </w:r>
      <w:r>
        <w:rPr>
          <w:rFonts w:ascii="Arial" w:cs="Arial" w:eastAsia="Arial" w:hAnsi="Arial"/>
          <w:sz w:val="16"/>
          <w:szCs w:val="16"/>
          <w:i w:val="1"/>
          <w:iCs w:val="1"/>
          <w:color w:val="auto"/>
        </w:rPr>
        <w:t>.</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ESG Elements of Pay and Incentive Plans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a result of our Listen and Respond shareholder outreach effort, and with the endorsement of our shareholders, the Compensation Committee decided, effective January 1, 2022, to include ESG-related metrics focused on greenhouse gas (GHG) emissions and DE&amp;I — two of our main areas of focus — in our annual incentive plan. ESG-related metrics will comprise 20% of the total award, with achievement of specific financial goals comprising 80% of the total award.</w:t>
      </w:r>
    </w:p>
    <w:p>
      <w:pPr>
        <w:spacing w:after="0" w:line="151"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r>
      <w:r>
        <w:rPr>
          <w:sz w:val="20"/>
          <w:szCs w:val="20"/>
          <w:color w:val="auto"/>
        </w:rPr>
        <w:tab/>
      </w:r>
      <w:r>
        <w:rPr>
          <w:rFonts w:ascii="Arial" w:cs="Arial" w:eastAsia="Arial" w:hAnsi="Arial"/>
          <w:sz w:val="14"/>
          <w:szCs w:val="14"/>
          <w:b w:val="1"/>
          <w:bCs w:val="1"/>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9377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377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Members of the Committees of Our Board of Directors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80" w:type="dxa"/>
            <w:vAlign w:val="bottom"/>
          </w:tcPr>
          <w:p>
            <w:pPr>
              <w:spacing w:after="0"/>
              <w:rPr>
                <w:sz w:val="16"/>
                <w:szCs w:val="16"/>
                <w:color w:val="auto"/>
              </w:rPr>
            </w:pPr>
          </w:p>
        </w:tc>
        <w:tc>
          <w:tcPr>
            <w:tcW w:w="2160" w:type="dxa"/>
            <w:vAlign w:val="bottom"/>
          </w:tcPr>
          <w:p>
            <w:pPr>
              <w:jc w:val="center"/>
              <w:ind w:left="779"/>
              <w:spacing w:after="0"/>
              <w:rPr>
                <w:sz w:val="20"/>
                <w:szCs w:val="20"/>
                <w:color w:val="auto"/>
              </w:rPr>
            </w:pPr>
            <w:r>
              <w:rPr>
                <w:rFonts w:ascii="Arial" w:cs="Arial" w:eastAsia="Arial" w:hAnsi="Arial"/>
                <w:sz w:val="16"/>
                <w:szCs w:val="16"/>
                <w:b w:val="1"/>
                <w:bCs w:val="1"/>
                <w:color w:val="auto"/>
              </w:rPr>
              <w:t>Audit</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rPr>
              <w:t>Health, Safety and</w:t>
            </w: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rPr>
              <w:t>Nominating and Corporate</w:t>
            </w:r>
          </w:p>
        </w:tc>
      </w:tr>
      <w:tr>
        <w:trPr>
          <w:trHeight w:val="226"/>
        </w:trPr>
        <w:tc>
          <w:tcPr>
            <w:tcW w:w="2980" w:type="dxa"/>
            <w:vAlign w:val="bottom"/>
            <w:tcBorders>
              <w:bottom w:val="single" w:sz="8" w:color="CB233C"/>
            </w:tcBorders>
          </w:tcPr>
          <w:p>
            <w:pPr>
              <w:ind w:left="60"/>
              <w:spacing w:after="0"/>
              <w:rPr>
                <w:sz w:val="20"/>
                <w:szCs w:val="20"/>
                <w:color w:val="auto"/>
              </w:rPr>
            </w:pPr>
            <w:r>
              <w:rPr>
                <w:rFonts w:ascii="Arial" w:cs="Arial" w:eastAsia="Arial" w:hAnsi="Arial"/>
                <w:sz w:val="16"/>
                <w:szCs w:val="16"/>
                <w:b w:val="1"/>
                <w:bCs w:val="1"/>
                <w:color w:val="auto"/>
              </w:rPr>
              <w:t>Name</w:t>
            </w:r>
          </w:p>
        </w:tc>
        <w:tc>
          <w:tcPr>
            <w:tcW w:w="2160" w:type="dxa"/>
            <w:vAlign w:val="bottom"/>
            <w:tcBorders>
              <w:bottom w:val="single" w:sz="8" w:color="CB233C"/>
            </w:tcBorders>
          </w:tcPr>
          <w:p>
            <w:pPr>
              <w:jc w:val="center"/>
              <w:ind w:left="799"/>
              <w:spacing w:after="0"/>
              <w:rPr>
                <w:sz w:val="20"/>
                <w:szCs w:val="20"/>
                <w:color w:val="auto"/>
              </w:rPr>
            </w:pPr>
            <w:r>
              <w:rPr>
                <w:rFonts w:ascii="Arial" w:cs="Arial" w:eastAsia="Arial" w:hAnsi="Arial"/>
                <w:sz w:val="16"/>
                <w:szCs w:val="16"/>
                <w:b w:val="1"/>
                <w:bCs w:val="1"/>
                <w:color w:val="auto"/>
              </w:rPr>
              <w:t>Committee</w:t>
            </w:r>
          </w:p>
        </w:tc>
        <w:tc>
          <w:tcPr>
            <w:tcW w:w="1540" w:type="dxa"/>
            <w:vAlign w:val="bottom"/>
            <w:tcBorders>
              <w:bottom w:val="single" w:sz="8" w:color="CB233C"/>
            </w:tcBorders>
          </w:tcPr>
          <w:p>
            <w:pPr>
              <w:jc w:val="center"/>
              <w:spacing w:after="0"/>
              <w:rPr>
                <w:sz w:val="20"/>
                <w:szCs w:val="20"/>
                <w:color w:val="auto"/>
              </w:rPr>
            </w:pPr>
            <w:r>
              <w:rPr>
                <w:rFonts w:ascii="Arial" w:cs="Arial" w:eastAsia="Arial" w:hAnsi="Arial"/>
                <w:sz w:val="16"/>
                <w:szCs w:val="16"/>
                <w:b w:val="1"/>
                <w:bCs w:val="1"/>
                <w:color w:val="auto"/>
              </w:rPr>
              <w:t>Committee</w:t>
            </w:r>
          </w:p>
        </w:tc>
        <w:tc>
          <w:tcPr>
            <w:tcW w:w="2240" w:type="dxa"/>
            <w:vAlign w:val="bottom"/>
            <w:tcBorders>
              <w:bottom w:val="single" w:sz="8" w:color="CB233C"/>
            </w:tcBorders>
          </w:tcPr>
          <w:p>
            <w:pPr>
              <w:jc w:val="center"/>
              <w:spacing w:after="0"/>
              <w:rPr>
                <w:sz w:val="20"/>
                <w:szCs w:val="20"/>
                <w:color w:val="auto"/>
              </w:rPr>
            </w:pPr>
            <w:r>
              <w:rPr>
                <w:rFonts w:ascii="Arial" w:cs="Arial" w:eastAsia="Arial" w:hAnsi="Arial"/>
                <w:sz w:val="16"/>
                <w:szCs w:val="16"/>
                <w:b w:val="1"/>
                <w:bCs w:val="1"/>
                <w:color w:val="auto"/>
              </w:rPr>
              <w:t>Environment Committee</w:t>
            </w:r>
          </w:p>
        </w:tc>
        <w:tc>
          <w:tcPr>
            <w:tcW w:w="2320" w:type="dxa"/>
            <w:vAlign w:val="bottom"/>
            <w:tcBorders>
              <w:bottom w:val="single" w:sz="8" w:color="CB233C"/>
            </w:tcBorders>
          </w:tcPr>
          <w:p>
            <w:pPr>
              <w:jc w:val="center"/>
              <w:ind w:left="19"/>
              <w:spacing w:after="0"/>
              <w:rPr>
                <w:sz w:val="20"/>
                <w:szCs w:val="20"/>
                <w:color w:val="auto"/>
              </w:rPr>
            </w:pPr>
            <w:r>
              <w:rPr>
                <w:rFonts w:ascii="Arial" w:cs="Arial" w:eastAsia="Arial" w:hAnsi="Arial"/>
                <w:sz w:val="16"/>
                <w:szCs w:val="16"/>
                <w:b w:val="1"/>
                <w:bCs w:val="1"/>
                <w:color w:val="auto"/>
              </w:rPr>
              <w:t>Governance Committee</w:t>
            </w:r>
          </w:p>
        </w:tc>
      </w:tr>
      <w:tr>
        <w:trPr>
          <w:trHeight w:val="294"/>
        </w:trPr>
        <w:tc>
          <w:tcPr>
            <w:tcW w:w="2980" w:type="dxa"/>
            <w:vAlign w:val="bottom"/>
            <w:shd w:val="clear" w:color="auto" w:fill="EBECEE"/>
          </w:tcPr>
          <w:p>
            <w:pPr>
              <w:ind w:left="60"/>
              <w:spacing w:after="0"/>
              <w:rPr>
                <w:sz w:val="20"/>
                <w:szCs w:val="20"/>
                <w:color w:val="auto"/>
              </w:rPr>
            </w:pPr>
            <w:r>
              <w:rPr>
                <w:rFonts w:ascii="Arial" w:cs="Arial" w:eastAsia="Arial" w:hAnsi="Arial"/>
                <w:sz w:val="16"/>
                <w:szCs w:val="16"/>
                <w:b w:val="1"/>
                <w:bCs w:val="1"/>
                <w:color w:val="auto"/>
              </w:rPr>
              <w:t>Abdulaziz F. Al Khayyal</w:t>
            </w:r>
          </w:p>
        </w:tc>
        <w:tc>
          <w:tcPr>
            <w:tcW w:w="2160" w:type="dxa"/>
            <w:vAlign w:val="bottom"/>
            <w:shd w:val="clear" w:color="auto" w:fill="EBECEE"/>
          </w:tcPr>
          <w:p>
            <w:pPr>
              <w:spacing w:after="0"/>
              <w:rPr>
                <w:sz w:val="24"/>
                <w:szCs w:val="24"/>
                <w:color w:val="auto"/>
              </w:rPr>
            </w:pPr>
          </w:p>
        </w:tc>
        <w:tc>
          <w:tcPr>
            <w:tcW w:w="1540" w:type="dxa"/>
            <w:vAlign w:val="bottom"/>
            <w:shd w:val="clear" w:color="auto" w:fill="EBECEE"/>
          </w:tcPr>
          <w:p>
            <w:pPr>
              <w:spacing w:after="0"/>
              <w:rPr>
                <w:sz w:val="24"/>
                <w:szCs w:val="24"/>
                <w:color w:val="auto"/>
              </w:rPr>
            </w:pPr>
          </w:p>
        </w:tc>
        <w:tc>
          <w:tcPr>
            <w:tcW w:w="2240" w:type="dxa"/>
            <w:vAlign w:val="bottom"/>
            <w:shd w:val="clear" w:color="auto" w:fill="EBECEE"/>
          </w:tcPr>
          <w:p>
            <w:pPr>
              <w:spacing w:after="0"/>
              <w:rPr>
                <w:sz w:val="24"/>
                <w:szCs w:val="24"/>
                <w:color w:val="auto"/>
              </w:rPr>
            </w:pPr>
          </w:p>
        </w:tc>
        <w:tc>
          <w:tcPr>
            <w:tcW w:w="2320" w:type="dxa"/>
            <w:vAlign w:val="bottom"/>
            <w:shd w:val="clear" w:color="auto" w:fill="EBECEE"/>
          </w:tcPr>
          <w:p>
            <w:pPr>
              <w:spacing w:after="0"/>
              <w:rPr>
                <w:sz w:val="24"/>
                <w:szCs w:val="24"/>
                <w:color w:val="auto"/>
              </w:rPr>
            </w:pPr>
          </w:p>
        </w:tc>
      </w:tr>
      <w:tr>
        <w:trPr>
          <w:trHeight w:val="293"/>
        </w:trPr>
        <w:tc>
          <w:tcPr>
            <w:tcW w:w="2980" w:type="dxa"/>
            <w:vAlign w:val="bottom"/>
          </w:tcPr>
          <w:p>
            <w:pPr>
              <w:ind w:left="60"/>
              <w:spacing w:after="0"/>
              <w:rPr>
                <w:sz w:val="20"/>
                <w:szCs w:val="20"/>
                <w:color w:val="auto"/>
              </w:rPr>
            </w:pPr>
            <w:r>
              <w:rPr>
                <w:rFonts w:ascii="Arial" w:cs="Arial" w:eastAsia="Arial" w:hAnsi="Arial"/>
                <w:sz w:val="16"/>
                <w:szCs w:val="16"/>
                <w:b w:val="1"/>
                <w:bCs w:val="1"/>
                <w:color w:val="auto"/>
              </w:rPr>
              <w:t>William E. Albrecht</w:t>
            </w:r>
          </w:p>
        </w:tc>
        <w:tc>
          <w:tcPr>
            <w:tcW w:w="2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01"/>
        </w:trPr>
        <w:tc>
          <w:tcPr>
            <w:tcW w:w="2980" w:type="dxa"/>
            <w:vAlign w:val="bottom"/>
            <w:shd w:val="clear" w:color="auto" w:fill="EBECEE"/>
          </w:tcPr>
          <w:p>
            <w:pPr>
              <w:ind w:left="60"/>
              <w:spacing w:after="0"/>
              <w:rPr>
                <w:sz w:val="20"/>
                <w:szCs w:val="20"/>
                <w:color w:val="auto"/>
              </w:rPr>
            </w:pPr>
            <w:r>
              <w:rPr>
                <w:rFonts w:ascii="Arial" w:cs="Arial" w:eastAsia="Arial" w:hAnsi="Arial"/>
                <w:sz w:val="16"/>
                <w:szCs w:val="16"/>
                <w:b w:val="1"/>
                <w:bCs w:val="1"/>
                <w:color w:val="auto"/>
              </w:rPr>
              <w:t>M. Katherine Banks</w:t>
            </w:r>
          </w:p>
        </w:tc>
        <w:tc>
          <w:tcPr>
            <w:tcW w:w="2160" w:type="dxa"/>
            <w:vAlign w:val="bottom"/>
            <w:shd w:val="clear" w:color="auto" w:fill="EBECEE"/>
          </w:tcPr>
          <w:p>
            <w:pPr>
              <w:spacing w:after="0"/>
              <w:rPr>
                <w:sz w:val="24"/>
                <w:szCs w:val="24"/>
                <w:color w:val="auto"/>
              </w:rPr>
            </w:pPr>
          </w:p>
        </w:tc>
        <w:tc>
          <w:tcPr>
            <w:tcW w:w="1540" w:type="dxa"/>
            <w:vAlign w:val="bottom"/>
            <w:shd w:val="clear" w:color="auto" w:fill="EBECEE"/>
          </w:tcPr>
          <w:p>
            <w:pPr>
              <w:spacing w:after="0"/>
              <w:rPr>
                <w:sz w:val="24"/>
                <w:szCs w:val="24"/>
                <w:color w:val="auto"/>
              </w:rPr>
            </w:pPr>
          </w:p>
        </w:tc>
        <w:tc>
          <w:tcPr>
            <w:tcW w:w="2240" w:type="dxa"/>
            <w:vAlign w:val="bottom"/>
            <w:shd w:val="clear" w:color="auto" w:fill="EBECEE"/>
          </w:tcPr>
          <w:p>
            <w:pPr>
              <w:spacing w:after="0"/>
              <w:rPr>
                <w:sz w:val="24"/>
                <w:szCs w:val="24"/>
                <w:color w:val="auto"/>
              </w:rPr>
            </w:pPr>
          </w:p>
        </w:tc>
        <w:tc>
          <w:tcPr>
            <w:tcW w:w="2320" w:type="dxa"/>
            <w:vAlign w:val="bottom"/>
            <w:shd w:val="clear" w:color="auto" w:fill="EBECEE"/>
          </w:tcPr>
          <w:p>
            <w:pPr>
              <w:spacing w:after="0"/>
              <w:rPr>
                <w:sz w:val="24"/>
                <w:szCs w:val="24"/>
                <w:color w:val="auto"/>
              </w:rPr>
            </w:pPr>
          </w:p>
        </w:tc>
      </w:tr>
      <w:tr>
        <w:trPr>
          <w:trHeight w:val="293"/>
        </w:trPr>
        <w:tc>
          <w:tcPr>
            <w:tcW w:w="2980" w:type="dxa"/>
            <w:vAlign w:val="bottom"/>
          </w:tcPr>
          <w:p>
            <w:pPr>
              <w:ind w:left="60"/>
              <w:spacing w:after="0"/>
              <w:rPr>
                <w:sz w:val="20"/>
                <w:szCs w:val="20"/>
                <w:color w:val="auto"/>
              </w:rPr>
            </w:pPr>
            <w:r>
              <w:rPr>
                <w:rFonts w:ascii="Arial" w:cs="Arial" w:eastAsia="Arial" w:hAnsi="Arial"/>
                <w:sz w:val="16"/>
                <w:szCs w:val="16"/>
                <w:b w:val="1"/>
                <w:bCs w:val="1"/>
                <w:color w:val="auto"/>
              </w:rPr>
              <w:t>Alan M. Bennett</w:t>
            </w:r>
          </w:p>
        </w:tc>
        <w:tc>
          <w:tcPr>
            <w:tcW w:w="2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01"/>
        </w:trPr>
        <w:tc>
          <w:tcPr>
            <w:tcW w:w="2980" w:type="dxa"/>
            <w:vAlign w:val="bottom"/>
            <w:shd w:val="clear" w:color="auto" w:fill="EBECEE"/>
          </w:tcPr>
          <w:p>
            <w:pPr>
              <w:ind w:left="60"/>
              <w:spacing w:after="0"/>
              <w:rPr>
                <w:sz w:val="20"/>
                <w:szCs w:val="20"/>
                <w:color w:val="auto"/>
              </w:rPr>
            </w:pPr>
            <w:r>
              <w:rPr>
                <w:rFonts w:ascii="Arial" w:cs="Arial" w:eastAsia="Arial" w:hAnsi="Arial"/>
                <w:sz w:val="16"/>
                <w:szCs w:val="16"/>
                <w:b w:val="1"/>
                <w:bCs w:val="1"/>
                <w:color w:val="auto"/>
              </w:rPr>
              <w:t>Milton Carroll</w:t>
            </w:r>
          </w:p>
        </w:tc>
        <w:tc>
          <w:tcPr>
            <w:tcW w:w="2160" w:type="dxa"/>
            <w:vAlign w:val="bottom"/>
            <w:shd w:val="clear" w:color="auto" w:fill="EBECEE"/>
          </w:tcPr>
          <w:p>
            <w:pPr>
              <w:spacing w:after="0"/>
              <w:rPr>
                <w:sz w:val="24"/>
                <w:szCs w:val="24"/>
                <w:color w:val="auto"/>
              </w:rPr>
            </w:pPr>
          </w:p>
        </w:tc>
        <w:tc>
          <w:tcPr>
            <w:tcW w:w="1540" w:type="dxa"/>
            <w:vAlign w:val="bottom"/>
            <w:shd w:val="clear" w:color="auto" w:fill="EBECEE"/>
          </w:tcPr>
          <w:p>
            <w:pPr>
              <w:spacing w:after="0"/>
              <w:rPr>
                <w:sz w:val="24"/>
                <w:szCs w:val="24"/>
                <w:color w:val="auto"/>
              </w:rPr>
            </w:pPr>
          </w:p>
        </w:tc>
        <w:tc>
          <w:tcPr>
            <w:tcW w:w="2240" w:type="dxa"/>
            <w:vAlign w:val="bottom"/>
            <w:shd w:val="clear" w:color="auto" w:fill="EBECEE"/>
          </w:tcPr>
          <w:p>
            <w:pPr>
              <w:spacing w:after="0"/>
              <w:rPr>
                <w:sz w:val="24"/>
                <w:szCs w:val="24"/>
                <w:color w:val="auto"/>
              </w:rPr>
            </w:pPr>
          </w:p>
        </w:tc>
        <w:tc>
          <w:tcPr>
            <w:tcW w:w="2320" w:type="dxa"/>
            <w:vAlign w:val="bottom"/>
            <w:shd w:val="clear" w:color="auto" w:fill="EBECEE"/>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-908050</wp:posOffset>
            </wp:positionV>
            <wp:extent cx="111760" cy="1111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-908050</wp:posOffset>
            </wp:positionV>
            <wp:extent cx="111125" cy="1111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-719455</wp:posOffset>
            </wp:positionV>
            <wp:extent cx="111125" cy="1117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-728345</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-530860</wp:posOffset>
            </wp:positionV>
            <wp:extent cx="111760" cy="1111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-530860</wp:posOffset>
            </wp:positionV>
            <wp:extent cx="111760" cy="1111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-351155</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-342265</wp:posOffset>
            </wp:positionV>
            <wp:extent cx="111125" cy="1111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-153670</wp:posOffset>
            </wp:positionV>
            <wp:extent cx="111125" cy="1117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-153670</wp:posOffset>
            </wp:positionV>
            <wp:extent cx="128905" cy="120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Earl M. Cummings</w:t>
      </w:r>
      <w:r>
        <w:rPr>
          <w:rFonts w:ascii="Arial" w:cs="Arial" w:eastAsia="Arial" w:hAnsi="Arial"/>
          <w:sz w:val="26"/>
          <w:szCs w:val="26"/>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Murry S.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53340</wp:posOffset>
            </wp:positionV>
            <wp:extent cx="111125" cy="111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53340</wp:posOffset>
            </wp:positionV>
            <wp:extent cx="111125" cy="1117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7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Patricia Hemingway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Robert A. Malone</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Jeffrey A.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Bhavesh V. Patel</w:t>
      </w:r>
    </w:p>
    <w:p>
      <w:pPr>
        <w:spacing w:after="0" w:line="7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Tobi M. Edwards Young</w:t>
      </w:r>
      <w:r>
        <w:rPr>
          <w:rFonts w:ascii="Arial" w:cs="Arial" w:eastAsia="Arial" w:hAnsi="Arial"/>
          <w:sz w:val="26"/>
          <w:szCs w:val="26"/>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128270"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360"/>
        <w:spacing w:after="0"/>
        <w:tabs>
          <w:tab w:leader="none" w:pos="1054" w:val="left"/>
        </w:tabs>
        <w:rPr>
          <w:sz w:val="20"/>
          <w:szCs w:val="20"/>
          <w:color w:val="auto"/>
        </w:rPr>
      </w:pPr>
      <w:r>
        <w:rPr>
          <w:rFonts w:ascii="Arial" w:cs="Arial" w:eastAsia="Arial" w:hAnsi="Arial"/>
          <w:sz w:val="14"/>
          <w:szCs w:val="14"/>
          <w:i w:val="1"/>
          <w:iCs w:val="1"/>
          <w:color w:val="auto"/>
        </w:rPr>
        <w:t>Chair</w:t>
      </w:r>
      <w:r>
        <w:rPr>
          <w:sz w:val="20"/>
          <w:szCs w:val="20"/>
          <w:color w:val="auto"/>
        </w:rPr>
        <w:tab/>
      </w:r>
      <w:r>
        <w:rPr>
          <w:sz w:val="1"/>
          <w:szCs w:val="1"/>
          <w:color w:val="auto"/>
        </w:rPr>
        <w:drawing>
          <wp:inline distT="0" distB="0" distL="0" distR="0">
            <wp:extent cx="111760" cy="11112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760" cy="111125"/>
                    </a:xfrm>
                    <a:prstGeom prst="rect">
                      <a:avLst/>
                    </a:prstGeom>
                    <a:noFill/>
                    <a:ln>
                      <a:noFill/>
                    </a:ln>
                  </pic:spPr>
                </pic:pic>
              </a:graphicData>
            </a:graphic>
          </wp:inline>
        </w:drawing>
      </w:r>
      <w:r>
        <w:rPr>
          <w:rFonts w:ascii="Arial" w:cs="Arial" w:eastAsia="Arial" w:hAnsi="Arial"/>
          <w:sz w:val="14"/>
          <w:szCs w:val="14"/>
          <w:i w:val="1"/>
          <w:iCs w:val="1"/>
          <w:color w:val="auto"/>
        </w:rPr>
        <w:t>Member</w:t>
      </w:r>
    </w:p>
    <w:p>
      <w:pPr>
        <w:spacing w:after="0" w:line="68" w:lineRule="exact"/>
        <w:rPr>
          <w:sz w:val="20"/>
          <w:szCs w:val="20"/>
          <w:color w:val="auto"/>
        </w:rPr>
      </w:pPr>
    </w:p>
    <w:p>
      <w:pPr>
        <w:ind w:left="340" w:hanging="332"/>
        <w:spacing w:after="0" w:line="282" w:lineRule="auto"/>
        <w:tabs>
          <w:tab w:leader="none" w:pos="34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Ms. Hemingway Hall has decided not to stand for re-election to the Board, due solely to a personal decision related to health and travel issues associated with the continuing COVID-19 pandemic and endemic, and will continue as a Director until her term ends on May 18, 2022.</w:t>
      </w:r>
    </w:p>
    <w:p>
      <w:pPr>
        <w:spacing w:after="0" w:line="2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Ms. Young and Mr. Cummings both joined the Board in February 2022 and will be appointed to Committees of the Board in May 2022.</w:t>
      </w:r>
    </w:p>
    <w:p>
      <w:pPr>
        <w:spacing w:after="0" w:line="3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Board has determined that all members of the Audit Committee are independent under our Corporate Governance Guidelines. The Board has determined that Alan M. Bennett, Murry S. Gerber, and Bhavesh V. Patel are “audit committee financial experts” as defined by the Securities and Exchange Commission, or SEC.</w:t>
      </w: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Board Attendance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During 2021, the Board held 7 meetings and met in executive session of the independent Directors, without management present, on 4 occasions.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Committee meetings were held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400" w:type="dxa"/>
            <w:vAlign w:val="bottom"/>
            <w:tcBorders>
              <w:top w:val="single" w:sz="8" w:color="CB233C"/>
            </w:tcBorders>
            <w:shd w:val="clear" w:color="auto" w:fill="EBECEE"/>
          </w:tcPr>
          <w:p>
            <w:pPr>
              <w:ind w:left="60"/>
              <w:spacing w:after="0"/>
              <w:rPr>
                <w:sz w:val="20"/>
                <w:szCs w:val="20"/>
                <w:color w:val="auto"/>
              </w:rPr>
            </w:pPr>
            <w:r>
              <w:rPr>
                <w:rFonts w:ascii="Arial" w:cs="Arial" w:eastAsia="Arial" w:hAnsi="Arial"/>
                <w:sz w:val="16"/>
                <w:szCs w:val="16"/>
                <w:color w:val="auto"/>
              </w:rPr>
              <w:t>Audit Committee</w:t>
            </w:r>
          </w:p>
        </w:tc>
        <w:tc>
          <w:tcPr>
            <w:tcW w:w="3840" w:type="dxa"/>
            <w:vAlign w:val="bottom"/>
            <w:tcBorders>
              <w:top w:val="single" w:sz="8" w:color="CB233C"/>
            </w:tcBorders>
            <w:shd w:val="clear" w:color="auto" w:fill="EBECEE"/>
          </w:tcPr>
          <w:p>
            <w:pPr>
              <w:jc w:val="right"/>
              <w:spacing w:after="0"/>
              <w:rPr>
                <w:sz w:val="20"/>
                <w:szCs w:val="20"/>
                <w:color w:val="auto"/>
              </w:rPr>
            </w:pPr>
            <w:r>
              <w:rPr>
                <w:rFonts w:ascii="Arial" w:cs="Arial" w:eastAsia="Arial" w:hAnsi="Arial"/>
                <w:sz w:val="16"/>
                <w:szCs w:val="16"/>
                <w:color w:val="auto"/>
              </w:rPr>
              <w:t>8</w:t>
            </w:r>
          </w:p>
        </w:tc>
      </w:tr>
      <w:tr>
        <w:trPr>
          <w:trHeight w:val="235"/>
        </w:trPr>
        <w:tc>
          <w:tcPr>
            <w:tcW w:w="7400" w:type="dxa"/>
            <w:vAlign w:val="bottom"/>
          </w:tcPr>
          <w:p>
            <w:pPr>
              <w:ind w:left="60"/>
              <w:spacing w:after="0"/>
              <w:rPr>
                <w:sz w:val="20"/>
                <w:szCs w:val="20"/>
                <w:color w:val="auto"/>
              </w:rPr>
            </w:pPr>
            <w:r>
              <w:rPr>
                <w:rFonts w:ascii="Arial" w:cs="Arial" w:eastAsia="Arial" w:hAnsi="Arial"/>
                <w:sz w:val="16"/>
                <w:szCs w:val="16"/>
                <w:color w:val="auto"/>
              </w:rPr>
              <w:t>Compensation Committee</w:t>
            </w:r>
          </w:p>
        </w:tc>
        <w:tc>
          <w:tcPr>
            <w:tcW w:w="38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51"/>
        </w:trPr>
        <w:tc>
          <w:tcPr>
            <w:tcW w:w="7400" w:type="dxa"/>
            <w:vAlign w:val="bottom"/>
            <w:shd w:val="clear" w:color="auto" w:fill="EBECEE"/>
          </w:tcPr>
          <w:p>
            <w:pPr>
              <w:ind w:left="60"/>
              <w:spacing w:after="0"/>
              <w:rPr>
                <w:sz w:val="20"/>
                <w:szCs w:val="20"/>
                <w:color w:val="auto"/>
              </w:rPr>
            </w:pPr>
            <w:r>
              <w:rPr>
                <w:rFonts w:ascii="Arial" w:cs="Arial" w:eastAsia="Arial" w:hAnsi="Arial"/>
                <w:sz w:val="16"/>
                <w:szCs w:val="16"/>
                <w:color w:val="auto"/>
              </w:rPr>
              <w:t>Health, Safety and Environment Committee</w:t>
            </w:r>
          </w:p>
        </w:tc>
        <w:tc>
          <w:tcPr>
            <w:tcW w:w="3840" w:type="dxa"/>
            <w:vAlign w:val="bottom"/>
            <w:shd w:val="clear" w:color="auto" w:fill="EBECEE"/>
          </w:tcPr>
          <w:p>
            <w:pPr>
              <w:jc w:val="right"/>
              <w:spacing w:after="0"/>
              <w:rPr>
                <w:sz w:val="20"/>
                <w:szCs w:val="20"/>
                <w:color w:val="auto"/>
              </w:rPr>
            </w:pPr>
            <w:r>
              <w:rPr>
                <w:rFonts w:ascii="Arial" w:cs="Arial" w:eastAsia="Arial" w:hAnsi="Arial"/>
                <w:sz w:val="16"/>
                <w:szCs w:val="16"/>
                <w:color w:val="auto"/>
              </w:rPr>
              <w:t>4</w:t>
            </w:r>
          </w:p>
        </w:tc>
      </w:tr>
      <w:tr>
        <w:trPr>
          <w:trHeight w:val="236"/>
        </w:trPr>
        <w:tc>
          <w:tcPr>
            <w:tcW w:w="7400" w:type="dxa"/>
            <w:vAlign w:val="bottom"/>
            <w:tcBorders>
              <w:bottom w:val="single" w:sz="8" w:color="CB233C"/>
            </w:tcBorders>
          </w:tcPr>
          <w:p>
            <w:pPr>
              <w:ind w:left="60"/>
              <w:spacing w:after="0"/>
              <w:rPr>
                <w:sz w:val="20"/>
                <w:szCs w:val="20"/>
                <w:color w:val="auto"/>
              </w:rPr>
            </w:pPr>
            <w:r>
              <w:rPr>
                <w:rFonts w:ascii="Arial" w:cs="Arial" w:eastAsia="Arial" w:hAnsi="Arial"/>
                <w:sz w:val="16"/>
                <w:szCs w:val="16"/>
                <w:color w:val="auto"/>
              </w:rPr>
              <w:t>Nominating and Corporate Governance Committee</w:t>
            </w:r>
          </w:p>
        </w:tc>
        <w:tc>
          <w:tcPr>
            <w:tcW w:w="384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4</w:t>
            </w:r>
          </w:p>
        </w:tc>
      </w:tr>
    </w:tbl>
    <w:p>
      <w:pPr>
        <w:spacing w:after="0" w:line="17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All members of the Board attended at least 93% of the total number of meetings of the Board and the Committees on which he or she served during the last fiscal year.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All of our Directors attended the 2021 Annual Meeting, as required by our Corporate Governance Guidelines.</w:t>
      </w:r>
    </w:p>
    <w:p>
      <w:pPr>
        <w:spacing w:after="0" w:line="289" w:lineRule="exact"/>
        <w:rPr>
          <w:sz w:val="20"/>
          <w:szCs w:val="20"/>
          <w:color w:val="auto"/>
        </w:r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754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Evaluation of Board and Director Performance</w:t>
      </w:r>
    </w:p>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Board believes that a rigorous evaluation process is an essential component of strong corporate governance practices. The Nominating and Corporate Governance Committee annually conducts a four-part evaluation process to evaluate Board effectiveness and aid in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90805</wp:posOffset>
            </wp:positionV>
            <wp:extent cx="6635115" cy="5083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35115" cy="5083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886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Shareholder Nominations of Directors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Our By-laws provide that shareholders may nominate persons for election to the Board at a meeting of shareholders.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Shareholder nominations require written notice to the Corporate Secretary at the address of our principal executive offices set forth on page 65 of this proxy statement, and for the Annual Meeting of Shareholders in 2023, must be received not less than 90 days nor more than 120 days prior to the anniversary date of the 2022 Annual Meeting of Shareholders, or no later than February 17, 2023, and no earlier than January 18, 2023. The shareholder notice must contain, among other things, certain information relating to the shareholder and the proposed nominee as described in our By-laws. In addition, the proposed nominee may be required to furnish other information as we may reasonably require to determine the eligibility of the proposed nominee to serve as a Director.</w:t>
      </w:r>
    </w:p>
    <w:p>
      <w:pPr>
        <w:spacing w:after="0" w:line="34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By-laws also provide for proxy access for shareholder nominations of Directors. The provision permits up to 20 shareholders owning 3% or more of our outstanding common stock continuously for at least three years to nominate and include in our proxy materials for a meeting of shareholders up to two directors or 20% of the Board, whichever is greater, provided that the shareholder(s) and the nominee(s) satisfy the requirements specified in the By-laws.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By-laws further provide that if a shareholder owning at least 1% of our issued and outstanding common stock continuously for at least one year as of the date the written notice of the nomination is submitted to us proposes a nominee not submitted under the proxy access provision, our Corporate Secretary will</w:t>
      </w:r>
    </w:p>
    <w:p>
      <w:pPr>
        <w:spacing w:after="0" w:line="1" w:lineRule="exact"/>
        <w:rPr>
          <w:sz w:val="20"/>
          <w:szCs w:val="20"/>
          <w:color w:val="auto"/>
        </w:rPr>
      </w:pPr>
    </w:p>
    <w:p>
      <w:pPr>
        <w:jc w:val="both"/>
        <w:ind w:firstLine="8"/>
        <w:spacing w:after="0" w:line="256" w:lineRule="auto"/>
        <w:tabs>
          <w:tab w:leader="none" w:pos="1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obtain from such nominee any additional relevant information the nominee wishes to provide in consideration of his or her nomination, (ii) report on each such nominee to the Nominating and Corporate Governance Committee, and (iii) facilitate having each such nominee meet with the Nominating and Corporate Governance Committee as the Committee deems appropriate.</w:t>
      </w:r>
    </w:p>
    <w:p>
      <w:pPr>
        <w:spacing w:after="0" w:line="257"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Qualifications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Candidates nominated for election or re-election to the Board should possess the following qualifications:</w:t>
      </w:r>
    </w:p>
    <w:p>
      <w:pPr>
        <w:spacing w:after="0" w:line="194"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6"/>
          <w:szCs w:val="16"/>
          <w:color w:val="CB233C"/>
        </w:rPr>
      </w:pPr>
      <w:r>
        <w:rPr>
          <w:rFonts w:ascii="Arial" w:cs="Arial" w:eastAsia="Arial" w:hAnsi="Arial"/>
          <w:sz w:val="16"/>
          <w:szCs w:val="16"/>
          <w:color w:val="auto"/>
        </w:rPr>
        <w:t>Personal characteristics:</w:t>
      </w:r>
    </w:p>
    <w:p>
      <w:pPr>
        <w:spacing w:after="0" w:line="86" w:lineRule="exact"/>
        <w:rPr>
          <w:rFonts w:ascii="Arial" w:cs="Arial" w:eastAsia="Arial" w:hAnsi="Arial"/>
          <w:sz w:val="16"/>
          <w:szCs w:val="16"/>
          <w:color w:val="CB233C"/>
        </w:rPr>
      </w:pPr>
    </w:p>
    <w:p>
      <w:pPr>
        <w:ind w:left="360" w:hanging="177"/>
        <w:spacing w:after="0"/>
        <w:tabs>
          <w:tab w:leader="none" w:pos="3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high personal and professional ethics, integrity, and values;</w:t>
      </w:r>
    </w:p>
    <w:p>
      <w:pPr>
        <w:spacing w:after="0" w:line="140" w:lineRule="exact"/>
        <w:rPr>
          <w:rFonts w:ascii="Arial" w:cs="Arial" w:eastAsia="Arial" w:hAnsi="Arial"/>
          <w:sz w:val="16"/>
          <w:szCs w:val="16"/>
          <w:color w:val="auto"/>
        </w:rPr>
      </w:pPr>
    </w:p>
    <w:p>
      <w:pPr>
        <w:ind w:left="360" w:hanging="177"/>
        <w:spacing w:after="0"/>
        <w:tabs>
          <w:tab w:leader="none" w:pos="3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 inquiring and independent mind; and</w:t>
      </w:r>
    </w:p>
    <w:p>
      <w:pPr>
        <w:spacing w:after="0" w:line="140" w:lineRule="exact"/>
        <w:rPr>
          <w:rFonts w:ascii="Arial" w:cs="Arial" w:eastAsia="Arial" w:hAnsi="Arial"/>
          <w:sz w:val="16"/>
          <w:szCs w:val="16"/>
          <w:color w:val="auto"/>
        </w:rPr>
      </w:pPr>
    </w:p>
    <w:p>
      <w:pPr>
        <w:ind w:left="360" w:hanging="177"/>
        <w:spacing w:after="0"/>
        <w:tabs>
          <w:tab w:leader="none" w:pos="3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practical wisdom and mature judgment;</w:t>
      </w:r>
    </w:p>
    <w:p>
      <w:pPr>
        <w:spacing w:after="0" w:line="140" w:lineRule="exact"/>
        <w:rPr>
          <w:rFonts w:ascii="Arial" w:cs="Arial" w:eastAsia="Arial" w:hAnsi="Arial"/>
          <w:sz w:val="16"/>
          <w:szCs w:val="16"/>
          <w:color w:val="auto"/>
        </w:rPr>
      </w:pPr>
    </w:p>
    <w:p>
      <w:pPr>
        <w:ind w:left="180" w:hanging="172"/>
        <w:spacing w:after="0"/>
        <w:tabs>
          <w:tab w:leader="none" w:pos="180" w:val="left"/>
        </w:tabs>
        <w:numPr>
          <w:ilvl w:val="0"/>
          <w:numId w:val="12"/>
        </w:numPr>
        <w:rPr>
          <w:rFonts w:ascii="Arial" w:cs="Arial" w:eastAsia="Arial" w:hAnsi="Arial"/>
          <w:sz w:val="16"/>
          <w:szCs w:val="16"/>
          <w:color w:val="CB233C"/>
        </w:rPr>
      </w:pPr>
      <w:r>
        <w:rPr>
          <w:rFonts w:ascii="Arial" w:cs="Arial" w:eastAsia="Arial" w:hAnsi="Arial"/>
          <w:sz w:val="16"/>
          <w:szCs w:val="16"/>
          <w:color w:val="auto"/>
        </w:rPr>
        <w:t>Broad training and experience at the policy-making level in business, government, education, or technology;</w:t>
      </w:r>
    </w:p>
    <w:p>
      <w:pPr>
        <w:spacing w:after="0" w:line="86" w:lineRule="exact"/>
        <w:rPr>
          <w:rFonts w:ascii="Arial" w:cs="Arial" w:eastAsia="Arial" w:hAnsi="Arial"/>
          <w:sz w:val="16"/>
          <w:szCs w:val="16"/>
          <w:color w:val="CB233C"/>
        </w:rPr>
      </w:pPr>
    </w:p>
    <w:p>
      <w:pPr>
        <w:ind w:left="180" w:hanging="172"/>
        <w:spacing w:after="0" w:line="286" w:lineRule="auto"/>
        <w:tabs>
          <w:tab w:leader="none" w:pos="180" w:val="left"/>
        </w:tabs>
        <w:numPr>
          <w:ilvl w:val="0"/>
          <w:numId w:val="12"/>
        </w:numPr>
        <w:rPr>
          <w:rFonts w:ascii="Arial" w:cs="Arial" w:eastAsia="Arial" w:hAnsi="Arial"/>
          <w:sz w:val="16"/>
          <w:szCs w:val="16"/>
          <w:color w:val="CB233C"/>
        </w:rPr>
      </w:pPr>
      <w:r>
        <w:rPr>
          <w:rFonts w:ascii="Arial" w:cs="Arial" w:eastAsia="Arial" w:hAnsi="Arial"/>
          <w:sz w:val="16"/>
          <w:szCs w:val="16"/>
          <w:color w:val="auto"/>
        </w:rPr>
        <w:t>Expertise that is useful to us and complementary to the background and experience of other Board members, so that an optimum balance of experience and expertise of members of the Board can be achieved and maintained;</w:t>
      </w:r>
    </w:p>
    <w:p>
      <w:pPr>
        <w:spacing w:after="0" w:line="20" w:lineRule="exact"/>
        <w:rPr>
          <w:rFonts w:ascii="Arial" w:cs="Arial" w:eastAsia="Arial" w:hAnsi="Arial"/>
          <w:sz w:val="16"/>
          <w:szCs w:val="16"/>
          <w:color w:val="CB233C"/>
        </w:rPr>
      </w:pPr>
    </w:p>
    <w:p>
      <w:pPr>
        <w:ind w:left="180" w:hanging="172"/>
        <w:spacing w:after="0"/>
        <w:tabs>
          <w:tab w:leader="none" w:pos="180" w:val="left"/>
        </w:tabs>
        <w:numPr>
          <w:ilvl w:val="0"/>
          <w:numId w:val="12"/>
        </w:numPr>
        <w:rPr>
          <w:rFonts w:ascii="Arial" w:cs="Arial" w:eastAsia="Arial" w:hAnsi="Arial"/>
          <w:sz w:val="16"/>
          <w:szCs w:val="16"/>
          <w:color w:val="CB233C"/>
        </w:rPr>
      </w:pPr>
      <w:r>
        <w:rPr>
          <w:rFonts w:ascii="Arial" w:cs="Arial" w:eastAsia="Arial" w:hAnsi="Arial"/>
          <w:sz w:val="16"/>
          <w:szCs w:val="16"/>
          <w:color w:val="auto"/>
        </w:rPr>
        <w:t>Willingness to devote the required amount of time to carry out the duties and responsibilities of Board membership;</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12"/>
        </w:numPr>
        <w:rPr>
          <w:rFonts w:ascii="Arial" w:cs="Arial" w:eastAsia="Arial" w:hAnsi="Arial"/>
          <w:sz w:val="16"/>
          <w:szCs w:val="16"/>
          <w:color w:val="CB233C"/>
        </w:rPr>
      </w:pPr>
      <w:r>
        <w:rPr>
          <w:rFonts w:ascii="Arial" w:cs="Arial" w:eastAsia="Arial" w:hAnsi="Arial"/>
          <w:sz w:val="16"/>
          <w:szCs w:val="16"/>
          <w:color w:val="auto"/>
        </w:rPr>
        <w:t>Commitment to serve on the Board for several years to develop knowledge about our business;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12"/>
        </w:numPr>
        <w:rPr>
          <w:rFonts w:ascii="Arial" w:cs="Arial" w:eastAsia="Arial" w:hAnsi="Arial"/>
          <w:sz w:val="16"/>
          <w:szCs w:val="16"/>
          <w:color w:val="CB233C"/>
        </w:rPr>
      </w:pPr>
      <w:r>
        <w:rPr>
          <w:rFonts w:ascii="Arial" w:cs="Arial" w:eastAsia="Arial" w:hAnsi="Arial"/>
          <w:sz w:val="16"/>
          <w:szCs w:val="16"/>
          <w:color w:val="auto"/>
        </w:rPr>
        <w:t>Willingness to represent the best interests of all of our shareholders and objectively evaluate management performance; and</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12"/>
        </w:numPr>
        <w:rPr>
          <w:rFonts w:ascii="Arial" w:cs="Arial" w:eastAsia="Arial" w:hAnsi="Arial"/>
          <w:sz w:val="16"/>
          <w:szCs w:val="16"/>
          <w:color w:val="CB233C"/>
        </w:rPr>
      </w:pPr>
      <w:r>
        <w:rPr>
          <w:rFonts w:ascii="Arial" w:cs="Arial" w:eastAsia="Arial" w:hAnsi="Arial"/>
          <w:sz w:val="16"/>
          <w:szCs w:val="16"/>
          <w:color w:val="auto"/>
        </w:rPr>
        <w:t>Involvement only in activities or interests that do not create a conflict with the Director’s responsibilities to us and our shareholders.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Nominating and Corporate Governance Committee is responsible for assessing the appropriate mix of skills and characteristics required of Board members and periodically reviews and updates the criteria. In selecting Director nominees, the Board considers the personal characteristics, experience, and other criteria as set forth in our Corporate Governance Guidelines, as well as our specific needs and the needs of our Board at the time.</w:t>
      </w:r>
    </w:p>
    <w:p>
      <w:pPr>
        <w:spacing w:after="0" w:line="239" w:lineRule="exact"/>
        <w:rPr>
          <w:sz w:val="20"/>
          <w:szCs w:val="20"/>
          <w:color w:val="auto"/>
        </w:r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Board Refreshment</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Board is responsible for filling vacancies on the Board and ensuring regular refreshment of the Board. Our Corporate Governance Guidelines provide that each non-management Director shall retire from the Board immediately prior to the annual meeting of shareholders following his or her seventy-fifth</w:t>
      </w:r>
    </w:p>
    <w:p>
      <w:pPr>
        <w:jc w:val="both"/>
        <w:spacing w:after="0" w:line="214" w:lineRule="auto"/>
        <w:rPr>
          <w:sz w:val="20"/>
          <w:szCs w:val="20"/>
          <w:color w:val="auto"/>
        </w:rPr>
      </w:pPr>
      <w:r>
        <w:rPr>
          <w:rFonts w:ascii="Arial" w:cs="Arial" w:eastAsia="Arial" w:hAnsi="Arial"/>
          <w:sz w:val="16"/>
          <w:szCs w:val="16"/>
          <w:color w:val="auto"/>
        </w:rPr>
        <w:t xml:space="preserve">(75 </w:t>
      </w:r>
      <w:r>
        <w:rPr>
          <w:rFonts w:ascii="Arial" w:cs="Arial" w:eastAsia="Arial" w:hAnsi="Arial"/>
          <w:sz w:val="26"/>
          <w:szCs w:val="26"/>
          <w:color w:val="auto"/>
          <w:vertAlign w:val="superscript"/>
        </w:rPr>
        <w:t>th</w:t>
      </w:r>
      <w:r>
        <w:rPr>
          <w:rFonts w:ascii="Arial" w:cs="Arial" w:eastAsia="Arial" w:hAnsi="Arial"/>
          <w:sz w:val="16"/>
          <w:szCs w:val="16"/>
          <w:color w:val="auto"/>
        </w:rPr>
        <w:t>) birthday. The Board has delegated to the Nominating and Corporate Governance Committee the duty of selecting and recommending candidates to the Board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113030</wp:posOffset>
            </wp:positionV>
            <wp:extent cx="6711950" cy="2940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11950"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Nominating and Corporate Governance Committee will consider candidates for Board membership recommended by Board members, our management, and shareholders. The Committee may also retain an independent executive search firm to identify candidates for consideration and to gather additional information about the candidate’s background, experience, and reputation. Ms. Young was identified as a potential Director candidate by an executive officer. Mr. Cummings was identified as a potential Director candidate by a non-management Director. A shareholder who wishes to recommend a candidate should notify our Corporate Secretary.</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process resulted in enhancement of our Board over the last several years with the addition of three female Directors, one of which is ethnically diverse, and two ethnically diverse male Directors. Ms. Young and Mr. Cummings joined the Board in 2022. Ms. Young contributes technology, governance, policy making, and regulatory experience. Mr. Cummings contributes leadership in technology solutions and entrepreneurship. Mr. Patel joined the Board in 2021. His chemical industry experience benefits us greatly as we expand our chemicals business. Dr. Banks and Ms. Hemingway Hall joined the Board in 2019. Dr. Banks contributes extensive experience in engineering and technology to the Board as well as her perspective as the President of a major research university. While she decided not to stand for re-election to the Board, due solely to a personal decision related to health and travel issues associated with the continuing COVID-19 pandemic and endemic, Ms. Hemingway Hall contributed substantial public company and corporate governance experience.</w:t>
      </w:r>
    </w:p>
    <w:p>
      <w:pPr>
        <w:spacing w:after="0" w:line="260"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Shareholder Engagement</w:t>
      </w:r>
    </w:p>
    <w:p>
      <w:pPr>
        <w:spacing w:after="0" w:line="21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Halliburton values ongoing, open shareholder dialogue to ensure that the Board and management have a regular pulse on investors’ views. This dialogue also provides valuable feedback on how we can continue to improve.</w:t>
      </w:r>
    </w:p>
    <w:p>
      <w:pPr>
        <w:spacing w:after="0" w:line="12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Following our 2021 Annual Meeting, the Board recommitted to more active shareholder engagement. We enhanced shareholder communications, refreshed our shareholder presentation, opened additional availability for director video calls, and listened and responded to shareholders about possible changes to governance and executive compensation.</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2021, independent Board members offered and held off-season meetings with representatives from our top shareholders to gain a better understanding of their priorities and concerns prior to the proxy voting season. We offered these meetings to 34 shareholders representing approximately 60% of our shares. Each received the opportunity to meet with Board members by video conference. For those unable to attend,</w:t>
      </w:r>
    </w:p>
    <w:p>
      <w:pPr>
        <w:spacing w:after="0" w:line="14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886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sent our refreshed shareholder presentation to each and offered follow-up. The updated materials highlighted the latest information about our Board oversight and corporate governance; executive compensation program; health, safety, and environment (HSE) performance and strategies; diversity, equity, and inclusion (DE&amp;I) performance and strategies; and our approach to energy transition. After receiving these new materials, additional shareholders accepted the offer to meet.</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During off-season engagement, Board members and management conducted video conferences with 18 shareholders representing about 40% of our shares and with the two largest proxy advisors, Institutional Shareholder Services (ISS) and Glass Lewis. These included video conferences with Murry Gerber, Chair of the Compensation Committee or Robert Malone, Lead Independent Director, and senior management.</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off-season investor engagement program was in addition to routine solicitation of shareholder feedback coincident with annual and quarterly reporting, earnings conference calls, and investor meetings. Also, our senior management and Investor Relations team regularly hold meetings and conference calls with analysts, institutional investors, and ESG rating firms, among others. In 2021, Halliburton participated in 13 sell-side conferences, three non-deal roadshows, and approximately 300 investor meetings that are all part of our ongoing shareholder outreach cadence.</w:t>
      </w:r>
    </w:p>
    <w:p>
      <w:pPr>
        <w:spacing w:after="0" w:line="15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Our senior management and directors presented shareholder feedback to the full Board of Directors for discussion. As a result of these engagements and Board consideration of investor feedback, we refreshed Board governance and made changes to our 2022 annual executive incentive plan.</w:t>
      </w:r>
    </w:p>
    <w:p>
      <w:pPr>
        <w:spacing w:after="0" w:line="234"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Communication to the Board</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To foster better communication from our shareholders and other interested persons, we maintain a process for shareholders and others to communicate with the Audit Committee and the Board. The process has been approved by both the Audit Committee and the Board and meets the requirements of the NYSE and SEC. The methods of communication with the Board include telephone, mail, and e-mail.</w:t>
      </w:r>
    </w:p>
    <w:p>
      <w:pPr>
        <w:spacing w:after="0" w:line="144" w:lineRule="exact"/>
        <w:rPr>
          <w:sz w:val="20"/>
          <w:szCs w:val="20"/>
          <w:color w:val="auto"/>
        </w:rPr>
      </w:pPr>
    </w:p>
    <w:tbl>
      <w:tblPr>
        <w:tblLayout w:type="fixed"/>
        <w:tblInd w:w="1480" w:type="dxa"/>
        <w:tblCellMar>
          <w:top w:w="0" w:type="dxa"/>
          <w:left w:w="0" w:type="dxa"/>
          <w:bottom w:w="0" w:type="dxa"/>
          <w:right w:w="0" w:type="dxa"/>
        </w:tblCellMar>
      </w:tblPr>
      <w:tr>
        <w:trPr>
          <w:trHeight w:val="189"/>
        </w:trPr>
        <w:tc>
          <w:tcPr>
            <w:tcW w:w="1840" w:type="dxa"/>
            <w:vAlign w:val="bottom"/>
          </w:tcPr>
          <w:p>
            <w:pPr>
              <w:spacing w:after="0"/>
              <w:rPr>
                <w:sz w:val="20"/>
                <w:szCs w:val="20"/>
                <w:color w:val="auto"/>
              </w:rPr>
            </w:pPr>
            <w:r>
              <w:rPr>
                <w:rFonts w:ascii="Arial" w:cs="Arial" w:eastAsia="Arial" w:hAnsi="Arial"/>
                <w:sz w:val="16"/>
                <w:szCs w:val="16"/>
                <w:color w:val="auto"/>
              </w:rPr>
              <w:t>888.312.2692</w:t>
            </w:r>
          </w:p>
        </w:tc>
        <w:tc>
          <w:tcPr>
            <w:tcW w:w="3960" w:type="dxa"/>
            <w:vAlign w:val="bottom"/>
          </w:tcPr>
          <w:p>
            <w:pPr>
              <w:ind w:left="860"/>
              <w:spacing w:after="0"/>
              <w:rPr>
                <w:sz w:val="20"/>
                <w:szCs w:val="20"/>
                <w:color w:val="auto"/>
              </w:rPr>
            </w:pPr>
            <w:r>
              <w:rPr>
                <w:rFonts w:ascii="Arial" w:cs="Arial" w:eastAsia="Arial" w:hAnsi="Arial"/>
                <w:sz w:val="16"/>
                <w:szCs w:val="16"/>
                <w:color w:val="auto"/>
              </w:rPr>
              <w:t>Board of Directors</w:t>
            </w:r>
          </w:p>
        </w:tc>
        <w:tc>
          <w:tcPr>
            <w:tcW w:w="3420" w:type="dxa"/>
            <w:vAlign w:val="bottom"/>
          </w:tcPr>
          <w:p>
            <w:pPr>
              <w:ind w:left="940"/>
              <w:spacing w:after="0"/>
              <w:rPr>
                <w:sz w:val="20"/>
                <w:szCs w:val="20"/>
                <w:color w:val="auto"/>
              </w:rPr>
            </w:pPr>
            <w:r>
              <w:rPr>
                <w:rFonts w:ascii="Arial" w:cs="Arial" w:eastAsia="Arial" w:hAnsi="Arial"/>
                <w:sz w:val="16"/>
                <w:szCs w:val="16"/>
                <w:color w:val="auto"/>
              </w:rPr>
              <w:t>BoardofDirectors@halliburton.com</w:t>
            </w:r>
          </w:p>
        </w:tc>
      </w:tr>
      <w:tr>
        <w:trPr>
          <w:trHeight w:val="189"/>
        </w:trPr>
        <w:tc>
          <w:tcPr>
            <w:tcW w:w="1840" w:type="dxa"/>
            <w:vAlign w:val="bottom"/>
          </w:tcPr>
          <w:p>
            <w:pPr>
              <w:spacing w:after="0"/>
              <w:rPr>
                <w:sz w:val="20"/>
                <w:szCs w:val="20"/>
                <w:color w:val="auto"/>
              </w:rPr>
            </w:pPr>
            <w:r>
              <w:rPr>
                <w:rFonts w:ascii="Arial" w:cs="Arial" w:eastAsia="Arial" w:hAnsi="Arial"/>
                <w:sz w:val="16"/>
                <w:szCs w:val="16"/>
                <w:color w:val="auto"/>
              </w:rPr>
              <w:t>or</w:t>
            </w:r>
          </w:p>
        </w:tc>
        <w:tc>
          <w:tcPr>
            <w:tcW w:w="3960" w:type="dxa"/>
            <w:vAlign w:val="bottom"/>
          </w:tcPr>
          <w:p>
            <w:pPr>
              <w:ind w:left="860"/>
              <w:spacing w:after="0"/>
              <w:rPr>
                <w:sz w:val="20"/>
                <w:szCs w:val="20"/>
                <w:color w:val="auto"/>
              </w:rPr>
            </w:pPr>
            <w:r>
              <w:rPr>
                <w:rFonts w:ascii="Arial" w:cs="Arial" w:eastAsia="Arial" w:hAnsi="Arial"/>
                <w:sz w:val="16"/>
                <w:szCs w:val="16"/>
                <w:color w:val="auto"/>
              </w:rPr>
              <w:t>c/o Code of Business Conduct</w:t>
            </w:r>
          </w:p>
        </w:tc>
        <w:tc>
          <w:tcPr>
            <w:tcW w:w="3420" w:type="dxa"/>
            <w:vAlign w:val="bottom"/>
          </w:tcPr>
          <w:p>
            <w:pPr>
              <w:spacing w:after="0"/>
              <w:rPr>
                <w:sz w:val="16"/>
                <w:szCs w:val="16"/>
                <w:color w:val="auto"/>
              </w:rPr>
            </w:pPr>
          </w:p>
        </w:tc>
      </w:tr>
      <w:tr>
        <w:trPr>
          <w:trHeight w:val="189"/>
        </w:trPr>
        <w:tc>
          <w:tcPr>
            <w:tcW w:w="1840" w:type="dxa"/>
            <w:vAlign w:val="bottom"/>
          </w:tcPr>
          <w:p>
            <w:pPr>
              <w:spacing w:after="0"/>
              <w:rPr>
                <w:sz w:val="20"/>
                <w:szCs w:val="20"/>
                <w:color w:val="auto"/>
              </w:rPr>
            </w:pPr>
            <w:r>
              <w:rPr>
                <w:rFonts w:ascii="Arial" w:cs="Arial" w:eastAsia="Arial" w:hAnsi="Arial"/>
                <w:sz w:val="16"/>
                <w:szCs w:val="16"/>
                <w:color w:val="auto"/>
              </w:rPr>
              <w:t>770.613.6348</w:t>
            </w:r>
          </w:p>
        </w:tc>
        <w:tc>
          <w:tcPr>
            <w:tcW w:w="3960" w:type="dxa"/>
            <w:vAlign w:val="bottom"/>
          </w:tcPr>
          <w:p>
            <w:pPr>
              <w:ind w:left="860"/>
              <w:spacing w:after="0"/>
              <w:rPr>
                <w:sz w:val="20"/>
                <w:szCs w:val="20"/>
                <w:color w:val="auto"/>
              </w:rPr>
            </w:pPr>
            <w:r>
              <w:rPr>
                <w:rFonts w:ascii="Arial" w:cs="Arial" w:eastAsia="Arial" w:hAnsi="Arial"/>
                <w:sz w:val="16"/>
                <w:szCs w:val="16"/>
                <w:color w:val="auto"/>
              </w:rPr>
              <w:t>Halliburton Company</w:t>
            </w:r>
          </w:p>
        </w:tc>
        <w:tc>
          <w:tcPr>
            <w:tcW w:w="3420" w:type="dxa"/>
            <w:vAlign w:val="bottom"/>
          </w:tcPr>
          <w:p>
            <w:pPr>
              <w:spacing w:after="0"/>
              <w:rPr>
                <w:sz w:val="16"/>
                <w:szCs w:val="16"/>
                <w:color w:val="auto"/>
              </w:rPr>
            </w:pPr>
          </w:p>
        </w:tc>
      </w:tr>
      <w:tr>
        <w:trPr>
          <w:trHeight w:val="189"/>
        </w:trPr>
        <w:tc>
          <w:tcPr>
            <w:tcW w:w="1840" w:type="dxa"/>
            <w:vAlign w:val="bottom"/>
          </w:tcPr>
          <w:p>
            <w:pPr>
              <w:spacing w:after="0"/>
              <w:rPr>
                <w:sz w:val="16"/>
                <w:szCs w:val="16"/>
                <w:color w:val="auto"/>
              </w:rPr>
            </w:pPr>
          </w:p>
        </w:tc>
        <w:tc>
          <w:tcPr>
            <w:tcW w:w="3960" w:type="dxa"/>
            <w:vAlign w:val="bottom"/>
          </w:tcPr>
          <w:p>
            <w:pPr>
              <w:ind w:left="860"/>
              <w:spacing w:after="0"/>
              <w:rPr>
                <w:sz w:val="20"/>
                <w:szCs w:val="20"/>
                <w:color w:val="auto"/>
              </w:rPr>
            </w:pPr>
            <w:r>
              <w:rPr>
                <w:rFonts w:ascii="Arial" w:cs="Arial" w:eastAsia="Arial" w:hAnsi="Arial"/>
                <w:sz w:val="16"/>
                <w:szCs w:val="16"/>
                <w:color w:val="auto"/>
              </w:rPr>
              <w:t>P.O. Box 2625</w:t>
            </w:r>
          </w:p>
        </w:tc>
        <w:tc>
          <w:tcPr>
            <w:tcW w:w="3420" w:type="dxa"/>
            <w:vAlign w:val="bottom"/>
          </w:tcPr>
          <w:p>
            <w:pPr>
              <w:spacing w:after="0"/>
              <w:rPr>
                <w:sz w:val="16"/>
                <w:szCs w:val="16"/>
                <w:color w:val="auto"/>
              </w:rPr>
            </w:pPr>
          </w:p>
        </w:tc>
      </w:tr>
      <w:tr>
        <w:trPr>
          <w:trHeight w:val="189"/>
        </w:trPr>
        <w:tc>
          <w:tcPr>
            <w:tcW w:w="1840" w:type="dxa"/>
            <w:vAlign w:val="bottom"/>
          </w:tcPr>
          <w:p>
            <w:pPr>
              <w:spacing w:after="0"/>
              <w:rPr>
                <w:sz w:val="16"/>
                <w:szCs w:val="16"/>
                <w:color w:val="auto"/>
              </w:rPr>
            </w:pPr>
          </w:p>
        </w:tc>
        <w:tc>
          <w:tcPr>
            <w:tcW w:w="3960" w:type="dxa"/>
            <w:vAlign w:val="bottom"/>
          </w:tcPr>
          <w:p>
            <w:pPr>
              <w:ind w:left="860"/>
              <w:spacing w:after="0"/>
              <w:rPr>
                <w:sz w:val="20"/>
                <w:szCs w:val="20"/>
                <w:color w:val="auto"/>
              </w:rPr>
            </w:pPr>
            <w:r>
              <w:rPr>
                <w:rFonts w:ascii="Arial" w:cs="Arial" w:eastAsia="Arial" w:hAnsi="Arial"/>
                <w:sz w:val="16"/>
                <w:szCs w:val="16"/>
                <w:color w:val="auto"/>
              </w:rPr>
              <w:t>Houston, TX 77252-2625</w:t>
            </w:r>
          </w:p>
        </w:tc>
        <w:tc>
          <w:tcPr>
            <w:tcW w:w="3420" w:type="dxa"/>
            <w:vAlign w:val="bottom"/>
          </w:tcPr>
          <w:p>
            <w:pPr>
              <w:spacing w:after="0"/>
              <w:rPr>
                <w:sz w:val="16"/>
                <w:szCs w:val="16"/>
                <w:color w:val="auto"/>
              </w:rPr>
            </w:pPr>
          </w:p>
        </w:tc>
      </w:tr>
      <w:tr>
        <w:trPr>
          <w:trHeight w:val="215"/>
        </w:trPr>
        <w:tc>
          <w:tcPr>
            <w:tcW w:w="1840" w:type="dxa"/>
            <w:vAlign w:val="bottom"/>
          </w:tcPr>
          <w:p>
            <w:pPr>
              <w:spacing w:after="0"/>
              <w:rPr>
                <w:sz w:val="18"/>
                <w:szCs w:val="18"/>
                <w:color w:val="auto"/>
              </w:rPr>
            </w:pPr>
          </w:p>
        </w:tc>
        <w:tc>
          <w:tcPr>
            <w:tcW w:w="3960" w:type="dxa"/>
            <w:vAlign w:val="bottom"/>
          </w:tcPr>
          <w:p>
            <w:pPr>
              <w:ind w:left="860"/>
              <w:spacing w:after="0"/>
              <w:rPr>
                <w:sz w:val="20"/>
                <w:szCs w:val="20"/>
                <w:color w:val="auto"/>
              </w:rPr>
            </w:pPr>
            <w:r>
              <w:rPr>
                <w:rFonts w:ascii="Arial" w:cs="Arial" w:eastAsia="Arial" w:hAnsi="Arial"/>
                <w:sz w:val="16"/>
                <w:szCs w:val="16"/>
                <w:color w:val="auto"/>
              </w:rPr>
              <w:t>USA</w:t>
            </w:r>
          </w:p>
        </w:tc>
        <w:tc>
          <w:tcPr>
            <w:tcW w:w="34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-726440</wp:posOffset>
            </wp:positionV>
            <wp:extent cx="162560" cy="291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2560" cy="29146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-726440</wp:posOffset>
            </wp:positionV>
            <wp:extent cx="257175" cy="2571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-726440</wp:posOffset>
            </wp:positionV>
            <wp:extent cx="428625" cy="265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28625" cy="265430"/>
                    </a:xfrm>
                    <a:prstGeom prst="rect">
                      <a:avLst/>
                    </a:prstGeom>
                    <a:noFill/>
                  </pic:spPr>
                </pic:pic>
              </a:graphicData>
            </a:graphic>
          </wp:anchor>
        </w:drawing>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Director of Business Conduct, an employee, reviews all communications directed to the Audit Committee and the Board. The Audit Committee is promptly notified of any substantive communication involving accounting, internal accounting controls, or auditing matters. The Lead Independent Director is promptly notified of any other significant communication, and any Board-related matters which are addressed to a named Director are promptly sent to that Director. Copies of all communications are available for review by any Director. Communications may be made anonymously or confidentially. Confidentiality shall be maintained unless disclosure is:</w:t>
      </w:r>
    </w:p>
    <w:p>
      <w:pPr>
        <w:spacing w:after="0" w:line="153"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6"/>
          <w:szCs w:val="16"/>
          <w:color w:val="CB233C"/>
        </w:rPr>
      </w:pPr>
      <w:r>
        <w:rPr>
          <w:rFonts w:ascii="Arial" w:cs="Arial" w:eastAsia="Arial" w:hAnsi="Arial"/>
          <w:sz w:val="16"/>
          <w:szCs w:val="16"/>
          <w:color w:val="auto"/>
        </w:rPr>
        <w:t>required or advisable in connection with any governmental investigation or report;</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13"/>
        </w:numPr>
        <w:rPr>
          <w:rFonts w:ascii="Arial" w:cs="Arial" w:eastAsia="Arial" w:hAnsi="Arial"/>
          <w:sz w:val="16"/>
          <w:szCs w:val="16"/>
          <w:color w:val="CB233C"/>
        </w:rPr>
      </w:pPr>
      <w:r>
        <w:rPr>
          <w:rFonts w:ascii="Arial" w:cs="Arial" w:eastAsia="Arial" w:hAnsi="Arial"/>
          <w:sz w:val="16"/>
          <w:szCs w:val="16"/>
          <w:color w:val="auto"/>
        </w:rPr>
        <w:t>in the interests of Halliburton, consistent with the goals of our Code of Business Conduct; or</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13"/>
        </w:numPr>
        <w:rPr>
          <w:rFonts w:ascii="Arial" w:cs="Arial" w:eastAsia="Arial" w:hAnsi="Arial"/>
          <w:sz w:val="16"/>
          <w:szCs w:val="16"/>
          <w:color w:val="CB233C"/>
        </w:rPr>
      </w:pPr>
      <w:r>
        <w:rPr>
          <w:rFonts w:ascii="Arial" w:cs="Arial" w:eastAsia="Arial" w:hAnsi="Arial"/>
          <w:sz w:val="16"/>
          <w:szCs w:val="16"/>
          <w:color w:val="auto"/>
        </w:rPr>
        <w:t>required or advisable in our legal defense of a matter.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Information regarding these methods of communication is also on our website at </w:t>
      </w:r>
      <w:r>
        <w:rPr>
          <w:rFonts w:ascii="Arial" w:cs="Arial" w:eastAsia="Arial" w:hAnsi="Arial"/>
          <w:sz w:val="16"/>
          <w:szCs w:val="16"/>
          <w:i w:val="1"/>
          <w:iCs w:val="1"/>
          <w:color w:val="CB233C"/>
        </w:rPr>
        <w:t>www.halliburton.com</w:t>
      </w:r>
      <w:r>
        <w:rPr>
          <w:rFonts w:ascii="Arial" w:cs="Arial" w:eastAsia="Arial" w:hAnsi="Arial"/>
          <w:sz w:val="16"/>
          <w:szCs w:val="16"/>
          <w:color w:val="auto"/>
        </w:rPr>
        <w:t>.</w:t>
      </w:r>
    </w:p>
    <w:p>
      <w:pPr>
        <w:spacing w:after="0" w:line="289" w:lineRule="exact"/>
        <w:rPr>
          <w:sz w:val="20"/>
          <w:szCs w:val="20"/>
          <w:color w:val="auto"/>
        </w:r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CB233C"/>
        </w:rPr>
        <w:t xml:space="preserve">Proposal No. 1 </w:t>
      </w:r>
      <w:r>
        <w:rPr>
          <w:rFonts w:ascii="Arial" w:cs="Arial" w:eastAsia="Arial" w:hAnsi="Arial"/>
          <w:sz w:val="47"/>
          <w:szCs w:val="47"/>
          <w:b w:val="1"/>
          <w:bCs w:val="1"/>
          <w:color w:val="000000"/>
        </w:rPr>
        <w:t>Election of Directors</w:t>
      </w:r>
    </w:p>
    <w:p>
      <w:pPr>
        <w:spacing w:after="0" w:line="3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considering whether a current Director should be nominated for election as a Director, the Nominating and Corporate Governance Committee and the Board considered, among other matters, the expertise and experience of the Director, the annual performance evaluation of the Director, the Director’s attendance at, preparation for, and engagement in Board and Committee meetings, the diversity of the Board, the tenure of the Director, and the overall distribution of tenure among Directors to ensure sufficient experience with the Company’s operations, performance, and technology, and the cycles of the industry. A summary of the qualifications and experience of our non-management Directors is provided under Information about Nominees for Director.</w:t>
      </w:r>
    </w:p>
    <w:p>
      <w:pPr>
        <w:spacing w:after="0" w:line="153" w:lineRule="exact"/>
        <w:rPr>
          <w:sz w:val="20"/>
          <w:szCs w:val="20"/>
          <w:color w:val="auto"/>
        </w:rPr>
      </w:pPr>
    </w:p>
    <w:p>
      <w:pPr>
        <w:ind w:left="340" w:right="340"/>
        <w:spacing w:after="0" w:line="266" w:lineRule="auto"/>
        <w:rPr>
          <w:sz w:val="20"/>
          <w:szCs w:val="20"/>
          <w:color w:val="auto"/>
        </w:rPr>
      </w:pPr>
      <w:r>
        <w:rPr>
          <w:rFonts w:ascii="Arial" w:cs="Arial" w:eastAsia="Arial" w:hAnsi="Arial"/>
          <w:sz w:val="16"/>
          <w:szCs w:val="16"/>
          <w:color w:val="auto"/>
        </w:rPr>
        <w:t xml:space="preserve">AFTER CONSULTATION WITH THE NOMINATING AND CORPORATE GOVERNANCE COMMITTEE, THE BOARD OF DIRECTORS RECOMMENDS A </w:t>
      </w:r>
      <w:r>
        <w:rPr>
          <w:rFonts w:ascii="Arial" w:cs="Arial" w:eastAsia="Arial" w:hAnsi="Arial"/>
          <w:sz w:val="16"/>
          <w:szCs w:val="16"/>
          <w:b w:val="1"/>
          <w:bCs w:val="1"/>
          <w:color w:val="CB233C"/>
        </w:rPr>
        <w:t>VOTE FOR</w:t>
      </w:r>
      <w:r>
        <w:rPr>
          <w:rFonts w:ascii="Arial" w:cs="Arial" w:eastAsia="Arial" w:hAnsi="Arial"/>
          <w:sz w:val="16"/>
          <w:szCs w:val="16"/>
          <w:color w:val="auto"/>
        </w:rPr>
        <w:t xml:space="preserve"> THE ELECTION OF EACH OF THE DIRECTOR NOMINEES LISTED UNDER INFORMATION ABOUT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154305"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eleven nominees are all current Directors. If any nominee is unwilling or unable to serve, favorable and uninstructed proxies will be voted for a substitute nominee designated by the Board. If a suitable substitute is not available, the Board will reduce the number of Directors to be elected. Each nominee has indicated approval of his or her nomination and his or her willingness to serve if elected. The Directors elected will serve for the ensuing year and until their successors are elected and qualify.</w:t>
      </w:r>
    </w:p>
    <w:p>
      <w:pPr>
        <w:spacing w:after="0" w:line="15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886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CB233C"/>
        </w:rPr>
        <w:t>NON-MANAGEMENT DIRECTOR QUALIFICATIONS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483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B233C"/>
        </w:rPr>
        <w:t>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3300" w:type="dxa"/>
            <w:vAlign w:val="bottom"/>
            <w:tcBorders>
              <w:top w:val="single" w:sz="8" w:color="CB233C"/>
              <w:bottom w:val="single" w:sz="8" w:color="auto"/>
            </w:tcBorders>
            <w:gridSpan w:val="2"/>
          </w:tcPr>
          <w:p>
            <w:pPr>
              <w:ind w:left="60"/>
              <w:spacing w:after="0" w:line="183" w:lineRule="exact"/>
              <w:rPr>
                <w:sz w:val="20"/>
                <w:szCs w:val="20"/>
                <w:color w:val="auto"/>
              </w:rPr>
            </w:pPr>
            <w:r>
              <w:rPr>
                <w:rFonts w:ascii="Arial" w:cs="Arial" w:eastAsia="Arial" w:hAnsi="Arial"/>
                <w:sz w:val="16"/>
                <w:szCs w:val="16"/>
                <w:color w:val="auto"/>
              </w:rPr>
              <w:t>Year Elected</w:t>
            </w:r>
          </w:p>
        </w:tc>
        <w:tc>
          <w:tcPr>
            <w:tcW w:w="1040" w:type="dxa"/>
            <w:vAlign w:val="bottom"/>
            <w:tcBorders>
              <w:top w:val="single" w:sz="8" w:color="CB233C"/>
              <w:bottom w:val="single" w:sz="8" w:color="auto"/>
            </w:tcBorders>
          </w:tcPr>
          <w:p>
            <w:pPr>
              <w:jc w:val="center"/>
              <w:ind w:left="179"/>
              <w:spacing w:after="0" w:line="183" w:lineRule="exact"/>
              <w:rPr>
                <w:sz w:val="20"/>
                <w:szCs w:val="20"/>
                <w:color w:val="auto"/>
              </w:rPr>
            </w:pPr>
            <w:r>
              <w:rPr>
                <w:rFonts w:ascii="Arial" w:cs="Arial" w:eastAsia="Arial" w:hAnsi="Arial"/>
                <w:sz w:val="16"/>
                <w:szCs w:val="16"/>
                <w:color w:val="auto"/>
              </w:rPr>
              <w:t>2014</w:t>
            </w:r>
          </w:p>
        </w:tc>
        <w:tc>
          <w:tcPr>
            <w:tcW w:w="800" w:type="dxa"/>
            <w:vAlign w:val="bottom"/>
            <w:tcBorders>
              <w:top w:val="single" w:sz="8" w:color="CB233C"/>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2016</w:t>
            </w:r>
          </w:p>
        </w:tc>
        <w:tc>
          <w:tcPr>
            <w:tcW w:w="800" w:type="dxa"/>
            <w:vAlign w:val="bottom"/>
            <w:tcBorders>
              <w:top w:val="single" w:sz="8" w:color="CB233C"/>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2019</w:t>
            </w:r>
          </w:p>
        </w:tc>
        <w:tc>
          <w:tcPr>
            <w:tcW w:w="800" w:type="dxa"/>
            <w:vAlign w:val="bottom"/>
            <w:tcBorders>
              <w:top w:val="single" w:sz="8" w:color="CB233C"/>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2006</w:t>
            </w:r>
          </w:p>
        </w:tc>
        <w:tc>
          <w:tcPr>
            <w:tcW w:w="900" w:type="dxa"/>
            <w:vAlign w:val="bottom"/>
            <w:tcBorders>
              <w:top w:val="single" w:sz="8" w:color="CB233C"/>
              <w:bottom w:val="single" w:sz="8" w:color="auto"/>
            </w:tcBorders>
          </w:tcPr>
          <w:p>
            <w:pPr>
              <w:jc w:val="center"/>
              <w:ind w:right="19"/>
              <w:spacing w:after="0" w:line="183" w:lineRule="exact"/>
              <w:rPr>
                <w:sz w:val="20"/>
                <w:szCs w:val="20"/>
                <w:color w:val="auto"/>
              </w:rPr>
            </w:pPr>
            <w:r>
              <w:rPr>
                <w:rFonts w:ascii="Arial" w:cs="Arial" w:eastAsia="Arial" w:hAnsi="Arial"/>
                <w:sz w:val="16"/>
                <w:szCs w:val="16"/>
                <w:color w:val="auto"/>
              </w:rPr>
              <w:t>2006</w:t>
            </w:r>
          </w:p>
        </w:tc>
        <w:tc>
          <w:tcPr>
            <w:tcW w:w="680" w:type="dxa"/>
            <w:vAlign w:val="bottom"/>
            <w:tcBorders>
              <w:top w:val="single" w:sz="8" w:color="CB233C"/>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2022</w:t>
            </w:r>
          </w:p>
        </w:tc>
        <w:tc>
          <w:tcPr>
            <w:tcW w:w="780" w:type="dxa"/>
            <w:vAlign w:val="bottom"/>
            <w:tcBorders>
              <w:top w:val="single" w:sz="8" w:color="CB233C"/>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2012</w:t>
            </w:r>
          </w:p>
        </w:tc>
        <w:tc>
          <w:tcPr>
            <w:tcW w:w="760" w:type="dxa"/>
            <w:vAlign w:val="bottom"/>
            <w:tcBorders>
              <w:top w:val="single" w:sz="8" w:color="CB233C"/>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2009</w:t>
            </w:r>
          </w:p>
        </w:tc>
        <w:tc>
          <w:tcPr>
            <w:tcW w:w="740" w:type="dxa"/>
            <w:vAlign w:val="bottom"/>
            <w:tcBorders>
              <w:top w:val="single" w:sz="8" w:color="CB233C"/>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2021</w:t>
            </w:r>
          </w:p>
        </w:tc>
        <w:tc>
          <w:tcPr>
            <w:tcW w:w="640" w:type="dxa"/>
            <w:vAlign w:val="bottom"/>
            <w:tcBorders>
              <w:top w:val="single" w:sz="8" w:color="CB233C"/>
              <w:bottom w:val="single" w:sz="8" w:color="auto"/>
            </w:tcBorders>
            <w:gridSpan w:val="2"/>
          </w:tcPr>
          <w:p>
            <w:pPr>
              <w:jc w:val="center"/>
              <w:spacing w:after="0" w:line="183" w:lineRule="exact"/>
              <w:rPr>
                <w:sz w:val="20"/>
                <w:szCs w:val="20"/>
                <w:color w:val="auto"/>
              </w:rPr>
            </w:pPr>
            <w:r>
              <w:rPr>
                <w:rFonts w:ascii="Arial" w:cs="Arial" w:eastAsia="Arial" w:hAnsi="Arial"/>
                <w:sz w:val="16"/>
                <w:szCs w:val="16"/>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1740" w:type="dxa"/>
            <w:vAlign w:val="bottom"/>
            <w:tcBorders>
              <w:bottom w:val="single" w:sz="8" w:color="CB233C"/>
            </w:tcBorders>
          </w:tcPr>
          <w:p>
            <w:pPr>
              <w:spacing w:after="0"/>
              <w:rPr>
                <w:sz w:val="7"/>
                <w:szCs w:val="7"/>
                <w:color w:val="auto"/>
              </w:rPr>
            </w:pPr>
          </w:p>
        </w:tc>
        <w:tc>
          <w:tcPr>
            <w:tcW w:w="1560" w:type="dxa"/>
            <w:vAlign w:val="bottom"/>
            <w:tcBorders>
              <w:bottom w:val="single" w:sz="8" w:color="CB233C"/>
            </w:tcBorders>
          </w:tcPr>
          <w:p>
            <w:pPr>
              <w:spacing w:after="0"/>
              <w:rPr>
                <w:sz w:val="7"/>
                <w:szCs w:val="7"/>
                <w:color w:val="auto"/>
              </w:rPr>
            </w:pPr>
          </w:p>
        </w:tc>
        <w:tc>
          <w:tcPr>
            <w:tcW w:w="1040" w:type="dxa"/>
            <w:vAlign w:val="bottom"/>
            <w:tcBorders>
              <w:bottom w:val="single" w:sz="8" w:color="CB233C"/>
            </w:tcBorders>
          </w:tcPr>
          <w:p>
            <w:pPr>
              <w:spacing w:after="0"/>
              <w:rPr>
                <w:sz w:val="7"/>
                <w:szCs w:val="7"/>
                <w:color w:val="auto"/>
              </w:rPr>
            </w:pPr>
          </w:p>
        </w:tc>
        <w:tc>
          <w:tcPr>
            <w:tcW w:w="800" w:type="dxa"/>
            <w:vAlign w:val="bottom"/>
            <w:tcBorders>
              <w:bottom w:val="single" w:sz="8" w:color="CB233C"/>
            </w:tcBorders>
          </w:tcPr>
          <w:p>
            <w:pPr>
              <w:spacing w:after="0"/>
              <w:rPr>
                <w:sz w:val="7"/>
                <w:szCs w:val="7"/>
                <w:color w:val="auto"/>
              </w:rPr>
            </w:pPr>
          </w:p>
        </w:tc>
        <w:tc>
          <w:tcPr>
            <w:tcW w:w="800" w:type="dxa"/>
            <w:vAlign w:val="bottom"/>
            <w:tcBorders>
              <w:bottom w:val="single" w:sz="8" w:color="CB233C"/>
            </w:tcBorders>
          </w:tcPr>
          <w:p>
            <w:pPr>
              <w:spacing w:after="0"/>
              <w:rPr>
                <w:sz w:val="7"/>
                <w:szCs w:val="7"/>
                <w:color w:val="auto"/>
              </w:rPr>
            </w:pPr>
          </w:p>
        </w:tc>
        <w:tc>
          <w:tcPr>
            <w:tcW w:w="800" w:type="dxa"/>
            <w:vAlign w:val="bottom"/>
            <w:tcBorders>
              <w:bottom w:val="single" w:sz="8" w:color="CB233C"/>
            </w:tcBorders>
          </w:tcPr>
          <w:p>
            <w:pPr>
              <w:spacing w:after="0"/>
              <w:rPr>
                <w:sz w:val="7"/>
                <w:szCs w:val="7"/>
                <w:color w:val="auto"/>
              </w:rPr>
            </w:pPr>
          </w:p>
        </w:tc>
        <w:tc>
          <w:tcPr>
            <w:tcW w:w="900" w:type="dxa"/>
            <w:vAlign w:val="bottom"/>
            <w:tcBorders>
              <w:bottom w:val="single" w:sz="8" w:color="CB233C"/>
            </w:tcBorders>
          </w:tcPr>
          <w:p>
            <w:pPr>
              <w:spacing w:after="0"/>
              <w:rPr>
                <w:sz w:val="7"/>
                <w:szCs w:val="7"/>
                <w:color w:val="auto"/>
              </w:rPr>
            </w:pPr>
          </w:p>
        </w:tc>
        <w:tc>
          <w:tcPr>
            <w:tcW w:w="680" w:type="dxa"/>
            <w:vAlign w:val="bottom"/>
            <w:tcBorders>
              <w:bottom w:val="single" w:sz="8" w:color="CB233C"/>
            </w:tcBorders>
          </w:tcPr>
          <w:p>
            <w:pPr>
              <w:spacing w:after="0"/>
              <w:rPr>
                <w:sz w:val="7"/>
                <w:szCs w:val="7"/>
                <w:color w:val="auto"/>
              </w:rPr>
            </w:pPr>
          </w:p>
        </w:tc>
        <w:tc>
          <w:tcPr>
            <w:tcW w:w="780" w:type="dxa"/>
            <w:vAlign w:val="bottom"/>
            <w:tcBorders>
              <w:bottom w:val="single" w:sz="8" w:color="CB233C"/>
            </w:tcBorders>
          </w:tcPr>
          <w:p>
            <w:pPr>
              <w:spacing w:after="0"/>
              <w:rPr>
                <w:sz w:val="7"/>
                <w:szCs w:val="7"/>
                <w:color w:val="auto"/>
              </w:rPr>
            </w:pPr>
          </w:p>
        </w:tc>
        <w:tc>
          <w:tcPr>
            <w:tcW w:w="760" w:type="dxa"/>
            <w:vAlign w:val="bottom"/>
            <w:tcBorders>
              <w:bottom w:val="single" w:sz="8" w:color="CB233C"/>
            </w:tcBorders>
          </w:tcPr>
          <w:p>
            <w:pPr>
              <w:spacing w:after="0"/>
              <w:rPr>
                <w:sz w:val="7"/>
                <w:szCs w:val="7"/>
                <w:color w:val="auto"/>
              </w:rPr>
            </w:pPr>
          </w:p>
        </w:tc>
        <w:tc>
          <w:tcPr>
            <w:tcW w:w="740" w:type="dxa"/>
            <w:vAlign w:val="bottom"/>
            <w:tcBorders>
              <w:bottom w:val="single" w:sz="8" w:color="CB233C"/>
            </w:tcBorders>
          </w:tcPr>
          <w:p>
            <w:pPr>
              <w:spacing w:after="0"/>
              <w:rPr>
                <w:sz w:val="7"/>
                <w:szCs w:val="7"/>
                <w:color w:val="auto"/>
              </w:rPr>
            </w:pPr>
          </w:p>
        </w:tc>
        <w:tc>
          <w:tcPr>
            <w:tcW w:w="260" w:type="dxa"/>
            <w:vAlign w:val="bottom"/>
            <w:tcBorders>
              <w:bottom w:val="single" w:sz="8" w:color="CB233C"/>
            </w:tcBorders>
          </w:tcPr>
          <w:p>
            <w:pPr>
              <w:spacing w:after="0"/>
              <w:rPr>
                <w:sz w:val="7"/>
                <w:szCs w:val="7"/>
                <w:color w:val="auto"/>
              </w:rPr>
            </w:pPr>
          </w:p>
        </w:tc>
        <w:tc>
          <w:tcPr>
            <w:tcW w:w="380" w:type="dxa"/>
            <w:vAlign w:val="bottom"/>
            <w:tcBorders>
              <w:bottom w:val="single" w:sz="8" w:color="CB233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CB233C"/>
            </w:tcBorders>
            <w:gridSpan w:val="2"/>
          </w:tcPr>
          <w:p>
            <w:pPr>
              <w:ind w:left="60"/>
              <w:spacing w:after="0" w:line="183" w:lineRule="exact"/>
              <w:rPr>
                <w:sz w:val="20"/>
                <w:szCs w:val="20"/>
                <w:color w:val="auto"/>
              </w:rPr>
            </w:pPr>
            <w:r>
              <w:rPr>
                <w:rFonts w:ascii="Arial" w:cs="Arial" w:eastAsia="Arial" w:hAnsi="Arial"/>
                <w:sz w:val="16"/>
                <w:szCs w:val="16"/>
                <w:b w:val="1"/>
                <w:bCs w:val="1"/>
                <w:color w:val="CB233C"/>
              </w:rPr>
              <w:t>INDEPENDENCE AND EXPERIENCE</w:t>
            </w:r>
          </w:p>
        </w:tc>
        <w:tc>
          <w:tcPr>
            <w:tcW w:w="1040" w:type="dxa"/>
            <w:vAlign w:val="bottom"/>
            <w:tcBorders>
              <w:bottom w:val="single" w:sz="8" w:color="CB233C"/>
            </w:tcBorders>
          </w:tcPr>
          <w:p>
            <w:pPr>
              <w:spacing w:after="0"/>
              <w:rPr>
                <w:sz w:val="15"/>
                <w:szCs w:val="15"/>
                <w:color w:val="auto"/>
              </w:rPr>
            </w:pPr>
          </w:p>
        </w:tc>
        <w:tc>
          <w:tcPr>
            <w:tcW w:w="800" w:type="dxa"/>
            <w:vAlign w:val="bottom"/>
            <w:tcBorders>
              <w:bottom w:val="single" w:sz="8" w:color="CB233C"/>
            </w:tcBorders>
          </w:tcPr>
          <w:p>
            <w:pPr>
              <w:spacing w:after="0"/>
              <w:rPr>
                <w:sz w:val="15"/>
                <w:szCs w:val="15"/>
                <w:color w:val="auto"/>
              </w:rPr>
            </w:pPr>
          </w:p>
        </w:tc>
        <w:tc>
          <w:tcPr>
            <w:tcW w:w="800" w:type="dxa"/>
            <w:vAlign w:val="bottom"/>
            <w:tcBorders>
              <w:bottom w:val="single" w:sz="8" w:color="CB233C"/>
            </w:tcBorders>
          </w:tcPr>
          <w:p>
            <w:pPr>
              <w:spacing w:after="0"/>
              <w:rPr>
                <w:sz w:val="15"/>
                <w:szCs w:val="15"/>
                <w:color w:val="auto"/>
              </w:rPr>
            </w:pPr>
          </w:p>
        </w:tc>
        <w:tc>
          <w:tcPr>
            <w:tcW w:w="800" w:type="dxa"/>
            <w:vAlign w:val="bottom"/>
            <w:tcBorders>
              <w:bottom w:val="single" w:sz="8" w:color="CB233C"/>
            </w:tcBorders>
          </w:tcPr>
          <w:p>
            <w:pPr>
              <w:spacing w:after="0"/>
              <w:rPr>
                <w:sz w:val="15"/>
                <w:szCs w:val="15"/>
                <w:color w:val="auto"/>
              </w:rPr>
            </w:pPr>
          </w:p>
        </w:tc>
        <w:tc>
          <w:tcPr>
            <w:tcW w:w="900" w:type="dxa"/>
            <w:vAlign w:val="bottom"/>
            <w:tcBorders>
              <w:bottom w:val="single" w:sz="8" w:color="CB233C"/>
            </w:tcBorders>
          </w:tcPr>
          <w:p>
            <w:pPr>
              <w:spacing w:after="0"/>
              <w:rPr>
                <w:sz w:val="15"/>
                <w:szCs w:val="15"/>
                <w:color w:val="auto"/>
              </w:rPr>
            </w:pPr>
          </w:p>
        </w:tc>
        <w:tc>
          <w:tcPr>
            <w:tcW w:w="680" w:type="dxa"/>
            <w:vAlign w:val="bottom"/>
            <w:tcBorders>
              <w:bottom w:val="single" w:sz="8" w:color="CB233C"/>
            </w:tcBorders>
          </w:tcPr>
          <w:p>
            <w:pPr>
              <w:spacing w:after="0"/>
              <w:rPr>
                <w:sz w:val="15"/>
                <w:szCs w:val="15"/>
                <w:color w:val="auto"/>
              </w:rPr>
            </w:pPr>
          </w:p>
        </w:tc>
        <w:tc>
          <w:tcPr>
            <w:tcW w:w="780" w:type="dxa"/>
            <w:vAlign w:val="bottom"/>
            <w:tcBorders>
              <w:bottom w:val="single" w:sz="8" w:color="CB233C"/>
            </w:tcBorders>
          </w:tcPr>
          <w:p>
            <w:pPr>
              <w:spacing w:after="0"/>
              <w:rPr>
                <w:sz w:val="15"/>
                <w:szCs w:val="15"/>
                <w:color w:val="auto"/>
              </w:rPr>
            </w:pPr>
          </w:p>
        </w:tc>
        <w:tc>
          <w:tcPr>
            <w:tcW w:w="760" w:type="dxa"/>
            <w:vAlign w:val="bottom"/>
            <w:tcBorders>
              <w:bottom w:val="single" w:sz="8" w:color="CB233C"/>
            </w:tcBorders>
          </w:tcPr>
          <w:p>
            <w:pPr>
              <w:spacing w:after="0"/>
              <w:rPr>
                <w:sz w:val="15"/>
                <w:szCs w:val="15"/>
                <w:color w:val="auto"/>
              </w:rPr>
            </w:pPr>
          </w:p>
        </w:tc>
        <w:tc>
          <w:tcPr>
            <w:tcW w:w="740" w:type="dxa"/>
            <w:vAlign w:val="bottom"/>
            <w:tcBorders>
              <w:bottom w:val="single" w:sz="8" w:color="CB233C"/>
            </w:tcBorders>
          </w:tcPr>
          <w:p>
            <w:pPr>
              <w:spacing w:after="0"/>
              <w:rPr>
                <w:sz w:val="15"/>
                <w:szCs w:val="15"/>
                <w:color w:val="auto"/>
              </w:rPr>
            </w:pPr>
          </w:p>
        </w:tc>
        <w:tc>
          <w:tcPr>
            <w:tcW w:w="260" w:type="dxa"/>
            <w:vAlign w:val="bottom"/>
            <w:tcBorders>
              <w:bottom w:val="single" w:sz="8" w:color="CB233C"/>
            </w:tcBorders>
          </w:tcPr>
          <w:p>
            <w:pPr>
              <w:spacing w:after="0"/>
              <w:rPr>
                <w:sz w:val="15"/>
                <w:szCs w:val="15"/>
                <w:color w:val="auto"/>
              </w:rPr>
            </w:pPr>
          </w:p>
        </w:tc>
        <w:tc>
          <w:tcPr>
            <w:tcW w:w="380" w:type="dxa"/>
            <w:vAlign w:val="bottom"/>
            <w:tcBorders>
              <w:bottom w:val="single" w:sz="8" w:color="CB233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60"/>
              <w:spacing w:after="0" w:line="183" w:lineRule="exact"/>
              <w:rPr>
                <w:sz w:val="20"/>
                <w:szCs w:val="20"/>
                <w:color w:val="auto"/>
              </w:rPr>
            </w:pPr>
            <w:r>
              <w:rPr>
                <w:rFonts w:ascii="Arial" w:cs="Arial" w:eastAsia="Arial" w:hAnsi="Arial"/>
                <w:sz w:val="16"/>
                <w:szCs w:val="16"/>
                <w:color w:val="auto"/>
              </w:rPr>
              <w:t>Independence</w:t>
            </w:r>
          </w:p>
        </w:tc>
        <w:tc>
          <w:tcPr>
            <w:tcW w:w="104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680" w:type="dxa"/>
            <w:vAlign w:val="bottom"/>
            <w:tcBorders>
              <w:bottom w:val="single" w:sz="8" w:color="A7A9AC"/>
            </w:tcBorders>
          </w:tcPr>
          <w:p>
            <w:pPr>
              <w:spacing w:after="0"/>
              <w:rPr>
                <w:sz w:val="15"/>
                <w:szCs w:val="15"/>
                <w:color w:val="auto"/>
              </w:rPr>
            </w:pPr>
          </w:p>
        </w:tc>
        <w:tc>
          <w:tcPr>
            <w:tcW w:w="780" w:type="dxa"/>
            <w:vAlign w:val="bottom"/>
            <w:tcBorders>
              <w:bottom w:val="single" w:sz="8" w:color="A7A9AC"/>
            </w:tcBorders>
          </w:tcPr>
          <w:p>
            <w:pPr>
              <w:spacing w:after="0"/>
              <w:rPr>
                <w:sz w:val="15"/>
                <w:szCs w:val="15"/>
                <w:color w:val="auto"/>
              </w:rPr>
            </w:pPr>
          </w:p>
        </w:tc>
        <w:tc>
          <w:tcPr>
            <w:tcW w:w="760" w:type="dxa"/>
            <w:vAlign w:val="bottom"/>
            <w:tcBorders>
              <w:bottom w:val="single" w:sz="8" w:color="A7A9AC"/>
            </w:tcBorders>
          </w:tcPr>
          <w:p>
            <w:pPr>
              <w:spacing w:after="0"/>
              <w:rPr>
                <w:sz w:val="15"/>
                <w:szCs w:val="15"/>
                <w:color w:val="auto"/>
              </w:rPr>
            </w:pPr>
          </w:p>
        </w:tc>
        <w:tc>
          <w:tcPr>
            <w:tcW w:w="740" w:type="dxa"/>
            <w:vAlign w:val="bottom"/>
            <w:tcBorders>
              <w:bottom w:val="single" w:sz="8" w:color="A7A9AC"/>
            </w:tcBorders>
          </w:tcPr>
          <w:p>
            <w:pPr>
              <w:spacing w:after="0"/>
              <w:rPr>
                <w:sz w:val="15"/>
                <w:szCs w:val="15"/>
                <w:color w:val="auto"/>
              </w:rPr>
            </w:pP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60"/>
              <w:spacing w:after="0" w:line="183" w:lineRule="exact"/>
              <w:rPr>
                <w:sz w:val="20"/>
                <w:szCs w:val="20"/>
                <w:color w:val="auto"/>
              </w:rPr>
            </w:pPr>
            <w:r>
              <w:rPr>
                <w:rFonts w:ascii="Arial" w:cs="Arial" w:eastAsia="Arial" w:hAnsi="Arial"/>
                <w:sz w:val="16"/>
                <w:szCs w:val="16"/>
                <w:color w:val="auto"/>
              </w:rPr>
              <w:t>Board or Board Committee Leadership</w:t>
            </w:r>
          </w:p>
        </w:tc>
        <w:tc>
          <w:tcPr>
            <w:tcW w:w="104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680" w:type="dxa"/>
            <w:vAlign w:val="bottom"/>
            <w:tcBorders>
              <w:bottom w:val="single" w:sz="8" w:color="A7A9AC"/>
            </w:tcBorders>
          </w:tcPr>
          <w:p>
            <w:pPr>
              <w:spacing w:after="0"/>
              <w:rPr>
                <w:sz w:val="15"/>
                <w:szCs w:val="15"/>
                <w:color w:val="auto"/>
              </w:rPr>
            </w:pPr>
          </w:p>
        </w:tc>
        <w:tc>
          <w:tcPr>
            <w:tcW w:w="780" w:type="dxa"/>
            <w:vAlign w:val="bottom"/>
            <w:tcBorders>
              <w:bottom w:val="single" w:sz="8" w:color="A7A9AC"/>
            </w:tcBorders>
          </w:tcPr>
          <w:p>
            <w:pPr>
              <w:spacing w:after="0"/>
              <w:rPr>
                <w:sz w:val="15"/>
                <w:szCs w:val="15"/>
                <w:color w:val="auto"/>
              </w:rPr>
            </w:pPr>
          </w:p>
        </w:tc>
        <w:tc>
          <w:tcPr>
            <w:tcW w:w="760" w:type="dxa"/>
            <w:vAlign w:val="bottom"/>
            <w:tcBorders>
              <w:bottom w:val="single" w:sz="8" w:color="A7A9AC"/>
            </w:tcBorders>
          </w:tcPr>
          <w:p>
            <w:pPr>
              <w:spacing w:after="0"/>
              <w:rPr>
                <w:sz w:val="15"/>
                <w:szCs w:val="15"/>
                <w:color w:val="auto"/>
              </w:rPr>
            </w:pPr>
          </w:p>
        </w:tc>
        <w:tc>
          <w:tcPr>
            <w:tcW w:w="740" w:type="dxa"/>
            <w:vAlign w:val="bottom"/>
            <w:tcBorders>
              <w:bottom w:val="single" w:sz="8" w:color="A7A9AC"/>
            </w:tcBorders>
          </w:tcPr>
          <w:p>
            <w:pPr>
              <w:spacing w:after="0"/>
              <w:rPr>
                <w:sz w:val="15"/>
                <w:szCs w:val="15"/>
                <w:color w:val="auto"/>
              </w:rPr>
            </w:pP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60"/>
              <w:spacing w:after="0" w:line="183" w:lineRule="exact"/>
              <w:rPr>
                <w:sz w:val="20"/>
                <w:szCs w:val="20"/>
                <w:color w:val="auto"/>
              </w:rPr>
            </w:pPr>
            <w:r>
              <w:rPr>
                <w:rFonts w:ascii="Arial" w:cs="Arial" w:eastAsia="Arial" w:hAnsi="Arial"/>
                <w:sz w:val="16"/>
                <w:szCs w:val="16"/>
                <w:color w:val="auto"/>
              </w:rPr>
              <w:t>Public Company Experience</w:t>
            </w:r>
          </w:p>
        </w:tc>
        <w:tc>
          <w:tcPr>
            <w:tcW w:w="104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680" w:type="dxa"/>
            <w:vAlign w:val="bottom"/>
            <w:tcBorders>
              <w:bottom w:val="single" w:sz="8" w:color="A7A9AC"/>
            </w:tcBorders>
          </w:tcPr>
          <w:p>
            <w:pPr>
              <w:spacing w:after="0"/>
              <w:rPr>
                <w:sz w:val="15"/>
                <w:szCs w:val="15"/>
                <w:color w:val="auto"/>
              </w:rPr>
            </w:pPr>
          </w:p>
        </w:tc>
        <w:tc>
          <w:tcPr>
            <w:tcW w:w="780" w:type="dxa"/>
            <w:vAlign w:val="bottom"/>
            <w:tcBorders>
              <w:bottom w:val="single" w:sz="8" w:color="A7A9AC"/>
            </w:tcBorders>
          </w:tcPr>
          <w:p>
            <w:pPr>
              <w:spacing w:after="0"/>
              <w:rPr>
                <w:sz w:val="15"/>
                <w:szCs w:val="15"/>
                <w:color w:val="auto"/>
              </w:rPr>
            </w:pPr>
          </w:p>
        </w:tc>
        <w:tc>
          <w:tcPr>
            <w:tcW w:w="760" w:type="dxa"/>
            <w:vAlign w:val="bottom"/>
            <w:tcBorders>
              <w:bottom w:val="single" w:sz="8" w:color="A7A9AC"/>
            </w:tcBorders>
          </w:tcPr>
          <w:p>
            <w:pPr>
              <w:spacing w:after="0"/>
              <w:rPr>
                <w:sz w:val="15"/>
                <w:szCs w:val="15"/>
                <w:color w:val="auto"/>
              </w:rPr>
            </w:pPr>
          </w:p>
        </w:tc>
        <w:tc>
          <w:tcPr>
            <w:tcW w:w="740" w:type="dxa"/>
            <w:vAlign w:val="bottom"/>
            <w:tcBorders>
              <w:bottom w:val="single" w:sz="8" w:color="A7A9AC"/>
            </w:tcBorders>
          </w:tcPr>
          <w:p>
            <w:pPr>
              <w:spacing w:after="0"/>
              <w:rPr>
                <w:sz w:val="15"/>
                <w:szCs w:val="15"/>
                <w:color w:val="auto"/>
              </w:rPr>
            </w:pP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60"/>
              <w:spacing w:after="0" w:line="183" w:lineRule="exact"/>
              <w:rPr>
                <w:sz w:val="20"/>
                <w:szCs w:val="20"/>
                <w:color w:val="auto"/>
              </w:rPr>
            </w:pPr>
            <w:r>
              <w:rPr>
                <w:rFonts w:ascii="Arial" w:cs="Arial" w:eastAsia="Arial" w:hAnsi="Arial"/>
                <w:sz w:val="16"/>
                <w:szCs w:val="16"/>
                <w:color w:val="auto"/>
              </w:rPr>
              <w:t>Private Company Experience</w:t>
            </w:r>
          </w:p>
        </w:tc>
        <w:tc>
          <w:tcPr>
            <w:tcW w:w="104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680" w:type="dxa"/>
            <w:vAlign w:val="bottom"/>
            <w:tcBorders>
              <w:bottom w:val="single" w:sz="8" w:color="A7A9AC"/>
            </w:tcBorders>
          </w:tcPr>
          <w:p>
            <w:pPr>
              <w:spacing w:after="0"/>
              <w:rPr>
                <w:sz w:val="15"/>
                <w:szCs w:val="15"/>
                <w:color w:val="auto"/>
              </w:rPr>
            </w:pPr>
          </w:p>
        </w:tc>
        <w:tc>
          <w:tcPr>
            <w:tcW w:w="780" w:type="dxa"/>
            <w:vAlign w:val="bottom"/>
            <w:tcBorders>
              <w:bottom w:val="single" w:sz="8" w:color="A7A9AC"/>
            </w:tcBorders>
          </w:tcPr>
          <w:p>
            <w:pPr>
              <w:spacing w:after="0"/>
              <w:rPr>
                <w:sz w:val="15"/>
                <w:szCs w:val="15"/>
                <w:color w:val="auto"/>
              </w:rPr>
            </w:pPr>
          </w:p>
        </w:tc>
        <w:tc>
          <w:tcPr>
            <w:tcW w:w="760" w:type="dxa"/>
            <w:vAlign w:val="bottom"/>
            <w:tcBorders>
              <w:bottom w:val="single" w:sz="8" w:color="A7A9AC"/>
            </w:tcBorders>
          </w:tcPr>
          <w:p>
            <w:pPr>
              <w:spacing w:after="0"/>
              <w:rPr>
                <w:sz w:val="15"/>
                <w:szCs w:val="15"/>
                <w:color w:val="auto"/>
              </w:rPr>
            </w:pPr>
          </w:p>
        </w:tc>
        <w:tc>
          <w:tcPr>
            <w:tcW w:w="740" w:type="dxa"/>
            <w:vAlign w:val="bottom"/>
            <w:tcBorders>
              <w:bottom w:val="single" w:sz="8" w:color="A7A9AC"/>
            </w:tcBorders>
          </w:tcPr>
          <w:p>
            <w:pPr>
              <w:spacing w:after="0"/>
              <w:rPr>
                <w:sz w:val="15"/>
                <w:szCs w:val="15"/>
                <w:color w:val="auto"/>
              </w:rPr>
            </w:pP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60"/>
              <w:spacing w:after="0" w:line="183" w:lineRule="exact"/>
              <w:rPr>
                <w:sz w:val="20"/>
                <w:szCs w:val="20"/>
                <w:color w:val="auto"/>
              </w:rPr>
            </w:pPr>
            <w:r>
              <w:rPr>
                <w:rFonts w:ascii="Arial" w:cs="Arial" w:eastAsia="Arial" w:hAnsi="Arial"/>
                <w:sz w:val="16"/>
                <w:szCs w:val="16"/>
                <w:color w:val="auto"/>
              </w:rPr>
              <w:t>Not-for-Profit Experience</w:t>
            </w:r>
          </w:p>
        </w:tc>
        <w:tc>
          <w:tcPr>
            <w:tcW w:w="104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680" w:type="dxa"/>
            <w:vAlign w:val="bottom"/>
            <w:tcBorders>
              <w:bottom w:val="single" w:sz="8" w:color="A7A9AC"/>
            </w:tcBorders>
          </w:tcPr>
          <w:p>
            <w:pPr>
              <w:spacing w:after="0"/>
              <w:rPr>
                <w:sz w:val="15"/>
                <w:szCs w:val="15"/>
                <w:color w:val="auto"/>
              </w:rPr>
            </w:pPr>
          </w:p>
        </w:tc>
        <w:tc>
          <w:tcPr>
            <w:tcW w:w="780" w:type="dxa"/>
            <w:vAlign w:val="bottom"/>
            <w:tcBorders>
              <w:bottom w:val="single" w:sz="8" w:color="A7A9AC"/>
            </w:tcBorders>
          </w:tcPr>
          <w:p>
            <w:pPr>
              <w:spacing w:after="0"/>
              <w:rPr>
                <w:sz w:val="15"/>
                <w:szCs w:val="15"/>
                <w:color w:val="auto"/>
              </w:rPr>
            </w:pPr>
          </w:p>
        </w:tc>
        <w:tc>
          <w:tcPr>
            <w:tcW w:w="760" w:type="dxa"/>
            <w:vAlign w:val="bottom"/>
            <w:tcBorders>
              <w:bottom w:val="single" w:sz="8" w:color="A7A9AC"/>
            </w:tcBorders>
          </w:tcPr>
          <w:p>
            <w:pPr>
              <w:spacing w:after="0"/>
              <w:rPr>
                <w:sz w:val="15"/>
                <w:szCs w:val="15"/>
                <w:color w:val="auto"/>
              </w:rPr>
            </w:pPr>
          </w:p>
        </w:tc>
        <w:tc>
          <w:tcPr>
            <w:tcW w:w="740" w:type="dxa"/>
            <w:vAlign w:val="bottom"/>
            <w:tcBorders>
              <w:bottom w:val="single" w:sz="8" w:color="A7A9AC"/>
            </w:tcBorders>
          </w:tcPr>
          <w:p>
            <w:pPr>
              <w:spacing w:after="0"/>
              <w:rPr>
                <w:sz w:val="15"/>
                <w:szCs w:val="15"/>
                <w:color w:val="auto"/>
              </w:rPr>
            </w:pP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60"/>
              <w:spacing w:after="0" w:line="183" w:lineRule="exact"/>
              <w:rPr>
                <w:sz w:val="20"/>
                <w:szCs w:val="20"/>
                <w:color w:val="auto"/>
              </w:rPr>
            </w:pPr>
            <w:r>
              <w:rPr>
                <w:rFonts w:ascii="Arial" w:cs="Arial" w:eastAsia="Arial" w:hAnsi="Arial"/>
                <w:sz w:val="16"/>
                <w:szCs w:val="16"/>
                <w:color w:val="auto"/>
              </w:rPr>
              <w:t>Government Experience</w:t>
            </w:r>
          </w:p>
        </w:tc>
        <w:tc>
          <w:tcPr>
            <w:tcW w:w="104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680" w:type="dxa"/>
            <w:vAlign w:val="bottom"/>
            <w:tcBorders>
              <w:bottom w:val="single" w:sz="8" w:color="A7A9AC"/>
            </w:tcBorders>
          </w:tcPr>
          <w:p>
            <w:pPr>
              <w:spacing w:after="0"/>
              <w:rPr>
                <w:sz w:val="15"/>
                <w:szCs w:val="15"/>
                <w:color w:val="auto"/>
              </w:rPr>
            </w:pPr>
          </w:p>
        </w:tc>
        <w:tc>
          <w:tcPr>
            <w:tcW w:w="780" w:type="dxa"/>
            <w:vAlign w:val="bottom"/>
            <w:tcBorders>
              <w:bottom w:val="single" w:sz="8" w:color="A7A9AC"/>
            </w:tcBorders>
          </w:tcPr>
          <w:p>
            <w:pPr>
              <w:spacing w:after="0"/>
              <w:rPr>
                <w:sz w:val="15"/>
                <w:szCs w:val="15"/>
                <w:color w:val="auto"/>
              </w:rPr>
            </w:pPr>
          </w:p>
        </w:tc>
        <w:tc>
          <w:tcPr>
            <w:tcW w:w="760" w:type="dxa"/>
            <w:vAlign w:val="bottom"/>
            <w:tcBorders>
              <w:bottom w:val="single" w:sz="8" w:color="A7A9AC"/>
            </w:tcBorders>
          </w:tcPr>
          <w:p>
            <w:pPr>
              <w:spacing w:after="0"/>
              <w:rPr>
                <w:sz w:val="15"/>
                <w:szCs w:val="15"/>
                <w:color w:val="auto"/>
              </w:rPr>
            </w:pPr>
          </w:p>
        </w:tc>
        <w:tc>
          <w:tcPr>
            <w:tcW w:w="740" w:type="dxa"/>
            <w:vAlign w:val="bottom"/>
            <w:tcBorders>
              <w:bottom w:val="single" w:sz="8" w:color="A7A9AC"/>
            </w:tcBorders>
          </w:tcPr>
          <w:p>
            <w:pPr>
              <w:spacing w:after="0"/>
              <w:rPr>
                <w:sz w:val="15"/>
                <w:szCs w:val="15"/>
                <w:color w:val="auto"/>
              </w:rPr>
            </w:pP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60"/>
              <w:spacing w:after="0" w:line="183" w:lineRule="exact"/>
              <w:rPr>
                <w:sz w:val="20"/>
                <w:szCs w:val="20"/>
                <w:color w:val="auto"/>
              </w:rPr>
            </w:pPr>
            <w:r>
              <w:rPr>
                <w:rFonts w:ascii="Arial" w:cs="Arial" w:eastAsia="Arial" w:hAnsi="Arial"/>
                <w:sz w:val="16"/>
                <w:szCs w:val="16"/>
                <w:color w:val="auto"/>
              </w:rPr>
              <w:t>Academia</w:t>
            </w:r>
          </w:p>
        </w:tc>
        <w:tc>
          <w:tcPr>
            <w:tcW w:w="104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680" w:type="dxa"/>
            <w:vAlign w:val="bottom"/>
            <w:tcBorders>
              <w:bottom w:val="single" w:sz="8" w:color="A7A9AC"/>
            </w:tcBorders>
          </w:tcPr>
          <w:p>
            <w:pPr>
              <w:spacing w:after="0"/>
              <w:rPr>
                <w:sz w:val="15"/>
                <w:szCs w:val="15"/>
                <w:color w:val="auto"/>
              </w:rPr>
            </w:pPr>
          </w:p>
        </w:tc>
        <w:tc>
          <w:tcPr>
            <w:tcW w:w="780" w:type="dxa"/>
            <w:vAlign w:val="bottom"/>
            <w:tcBorders>
              <w:bottom w:val="single" w:sz="8" w:color="A7A9AC"/>
            </w:tcBorders>
          </w:tcPr>
          <w:p>
            <w:pPr>
              <w:spacing w:after="0"/>
              <w:rPr>
                <w:sz w:val="15"/>
                <w:szCs w:val="15"/>
                <w:color w:val="auto"/>
              </w:rPr>
            </w:pPr>
          </w:p>
        </w:tc>
        <w:tc>
          <w:tcPr>
            <w:tcW w:w="760" w:type="dxa"/>
            <w:vAlign w:val="bottom"/>
            <w:tcBorders>
              <w:bottom w:val="single" w:sz="8" w:color="A7A9AC"/>
            </w:tcBorders>
          </w:tcPr>
          <w:p>
            <w:pPr>
              <w:spacing w:after="0"/>
              <w:rPr>
                <w:sz w:val="15"/>
                <w:szCs w:val="15"/>
                <w:color w:val="auto"/>
              </w:rPr>
            </w:pPr>
          </w:p>
        </w:tc>
        <w:tc>
          <w:tcPr>
            <w:tcW w:w="740" w:type="dxa"/>
            <w:vAlign w:val="bottom"/>
            <w:tcBorders>
              <w:bottom w:val="single" w:sz="8" w:color="A7A9AC"/>
            </w:tcBorders>
          </w:tcPr>
          <w:p>
            <w:pPr>
              <w:spacing w:after="0"/>
              <w:rPr>
                <w:sz w:val="15"/>
                <w:szCs w:val="15"/>
                <w:color w:val="auto"/>
              </w:rPr>
            </w:pP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uto"/>
            </w:tcBorders>
            <w:gridSpan w:val="2"/>
          </w:tcPr>
          <w:p>
            <w:pPr>
              <w:ind w:left="60"/>
              <w:spacing w:after="0" w:line="183" w:lineRule="exact"/>
              <w:rPr>
                <w:sz w:val="20"/>
                <w:szCs w:val="20"/>
                <w:color w:val="auto"/>
              </w:rPr>
            </w:pPr>
            <w:r>
              <w:rPr>
                <w:rFonts w:ascii="Arial" w:cs="Arial" w:eastAsia="Arial" w:hAnsi="Arial"/>
                <w:sz w:val="16"/>
                <w:szCs w:val="16"/>
                <w:color w:val="auto"/>
              </w:rPr>
              <w:t>Community Leadership/Philanthropic</w:t>
            </w:r>
          </w:p>
        </w:tc>
        <w:tc>
          <w:tcPr>
            <w:tcW w:w="10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1740" w:type="dxa"/>
            <w:vAlign w:val="bottom"/>
            <w:tcBorders>
              <w:bottom w:val="single" w:sz="8" w:color="CB233C"/>
            </w:tcBorders>
          </w:tcPr>
          <w:p>
            <w:pPr>
              <w:spacing w:after="0"/>
              <w:rPr>
                <w:sz w:val="7"/>
                <w:szCs w:val="7"/>
                <w:color w:val="auto"/>
              </w:rPr>
            </w:pPr>
          </w:p>
        </w:tc>
        <w:tc>
          <w:tcPr>
            <w:tcW w:w="1560" w:type="dxa"/>
            <w:vAlign w:val="bottom"/>
            <w:tcBorders>
              <w:bottom w:val="single" w:sz="8" w:color="CB233C"/>
            </w:tcBorders>
          </w:tcPr>
          <w:p>
            <w:pPr>
              <w:spacing w:after="0"/>
              <w:rPr>
                <w:sz w:val="7"/>
                <w:szCs w:val="7"/>
                <w:color w:val="auto"/>
              </w:rPr>
            </w:pPr>
          </w:p>
        </w:tc>
        <w:tc>
          <w:tcPr>
            <w:tcW w:w="1040" w:type="dxa"/>
            <w:vAlign w:val="bottom"/>
            <w:tcBorders>
              <w:bottom w:val="single" w:sz="8" w:color="CB233C"/>
            </w:tcBorders>
          </w:tcPr>
          <w:p>
            <w:pPr>
              <w:spacing w:after="0"/>
              <w:rPr>
                <w:sz w:val="7"/>
                <w:szCs w:val="7"/>
                <w:color w:val="auto"/>
              </w:rPr>
            </w:pPr>
          </w:p>
        </w:tc>
        <w:tc>
          <w:tcPr>
            <w:tcW w:w="800" w:type="dxa"/>
            <w:vAlign w:val="bottom"/>
            <w:tcBorders>
              <w:bottom w:val="single" w:sz="8" w:color="CB233C"/>
            </w:tcBorders>
          </w:tcPr>
          <w:p>
            <w:pPr>
              <w:spacing w:after="0"/>
              <w:rPr>
                <w:sz w:val="7"/>
                <w:szCs w:val="7"/>
                <w:color w:val="auto"/>
              </w:rPr>
            </w:pPr>
          </w:p>
        </w:tc>
        <w:tc>
          <w:tcPr>
            <w:tcW w:w="800" w:type="dxa"/>
            <w:vAlign w:val="bottom"/>
            <w:tcBorders>
              <w:bottom w:val="single" w:sz="8" w:color="CB233C"/>
            </w:tcBorders>
          </w:tcPr>
          <w:p>
            <w:pPr>
              <w:spacing w:after="0"/>
              <w:rPr>
                <w:sz w:val="7"/>
                <w:szCs w:val="7"/>
                <w:color w:val="auto"/>
              </w:rPr>
            </w:pPr>
          </w:p>
        </w:tc>
        <w:tc>
          <w:tcPr>
            <w:tcW w:w="800" w:type="dxa"/>
            <w:vAlign w:val="bottom"/>
            <w:tcBorders>
              <w:bottom w:val="single" w:sz="8" w:color="CB233C"/>
            </w:tcBorders>
          </w:tcPr>
          <w:p>
            <w:pPr>
              <w:spacing w:after="0"/>
              <w:rPr>
                <w:sz w:val="7"/>
                <w:szCs w:val="7"/>
                <w:color w:val="auto"/>
              </w:rPr>
            </w:pPr>
          </w:p>
        </w:tc>
        <w:tc>
          <w:tcPr>
            <w:tcW w:w="900" w:type="dxa"/>
            <w:vAlign w:val="bottom"/>
            <w:tcBorders>
              <w:bottom w:val="single" w:sz="8" w:color="CB233C"/>
            </w:tcBorders>
          </w:tcPr>
          <w:p>
            <w:pPr>
              <w:spacing w:after="0"/>
              <w:rPr>
                <w:sz w:val="7"/>
                <w:szCs w:val="7"/>
                <w:color w:val="auto"/>
              </w:rPr>
            </w:pPr>
          </w:p>
        </w:tc>
        <w:tc>
          <w:tcPr>
            <w:tcW w:w="680" w:type="dxa"/>
            <w:vAlign w:val="bottom"/>
            <w:tcBorders>
              <w:bottom w:val="single" w:sz="8" w:color="CB233C"/>
            </w:tcBorders>
          </w:tcPr>
          <w:p>
            <w:pPr>
              <w:spacing w:after="0"/>
              <w:rPr>
                <w:sz w:val="7"/>
                <w:szCs w:val="7"/>
                <w:color w:val="auto"/>
              </w:rPr>
            </w:pPr>
          </w:p>
        </w:tc>
        <w:tc>
          <w:tcPr>
            <w:tcW w:w="780" w:type="dxa"/>
            <w:vAlign w:val="bottom"/>
            <w:tcBorders>
              <w:bottom w:val="single" w:sz="8" w:color="CB233C"/>
            </w:tcBorders>
          </w:tcPr>
          <w:p>
            <w:pPr>
              <w:spacing w:after="0"/>
              <w:rPr>
                <w:sz w:val="7"/>
                <w:szCs w:val="7"/>
                <w:color w:val="auto"/>
              </w:rPr>
            </w:pPr>
          </w:p>
        </w:tc>
        <w:tc>
          <w:tcPr>
            <w:tcW w:w="760" w:type="dxa"/>
            <w:vAlign w:val="bottom"/>
            <w:tcBorders>
              <w:bottom w:val="single" w:sz="8" w:color="CB233C"/>
            </w:tcBorders>
          </w:tcPr>
          <w:p>
            <w:pPr>
              <w:spacing w:after="0"/>
              <w:rPr>
                <w:sz w:val="7"/>
                <w:szCs w:val="7"/>
                <w:color w:val="auto"/>
              </w:rPr>
            </w:pPr>
          </w:p>
        </w:tc>
        <w:tc>
          <w:tcPr>
            <w:tcW w:w="740" w:type="dxa"/>
            <w:vAlign w:val="bottom"/>
            <w:tcBorders>
              <w:bottom w:val="single" w:sz="8" w:color="CB233C"/>
            </w:tcBorders>
          </w:tcPr>
          <w:p>
            <w:pPr>
              <w:spacing w:after="0"/>
              <w:rPr>
                <w:sz w:val="7"/>
                <w:szCs w:val="7"/>
                <w:color w:val="auto"/>
              </w:rPr>
            </w:pPr>
          </w:p>
        </w:tc>
        <w:tc>
          <w:tcPr>
            <w:tcW w:w="260" w:type="dxa"/>
            <w:vAlign w:val="bottom"/>
            <w:tcBorders>
              <w:bottom w:val="single" w:sz="8" w:color="CB233C"/>
            </w:tcBorders>
          </w:tcPr>
          <w:p>
            <w:pPr>
              <w:spacing w:after="0"/>
              <w:rPr>
                <w:sz w:val="7"/>
                <w:szCs w:val="7"/>
                <w:color w:val="auto"/>
              </w:rPr>
            </w:pPr>
          </w:p>
        </w:tc>
        <w:tc>
          <w:tcPr>
            <w:tcW w:w="380" w:type="dxa"/>
            <w:vAlign w:val="bottom"/>
            <w:tcBorders>
              <w:bottom w:val="single" w:sz="8" w:color="CB233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300" w:type="dxa"/>
            <w:vAlign w:val="bottom"/>
            <w:gridSpan w:val="2"/>
          </w:tcPr>
          <w:p>
            <w:pPr>
              <w:ind w:left="60"/>
              <w:spacing w:after="0" w:line="168" w:lineRule="exact"/>
              <w:rPr>
                <w:sz w:val="20"/>
                <w:szCs w:val="20"/>
                <w:color w:val="auto"/>
              </w:rPr>
            </w:pPr>
            <w:r>
              <w:rPr>
                <w:rFonts w:ascii="Arial" w:cs="Arial" w:eastAsia="Arial" w:hAnsi="Arial"/>
                <w:sz w:val="16"/>
                <w:szCs w:val="16"/>
                <w:b w:val="1"/>
                <w:bCs w:val="1"/>
                <w:color w:val="CB233C"/>
              </w:rPr>
              <w:t>DECISION-MAKING OR OTHER</w:t>
            </w: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CB233C"/>
            </w:tcBorders>
            <w:gridSpan w:val="2"/>
          </w:tcPr>
          <w:p>
            <w:pPr>
              <w:ind w:left="60"/>
              <w:spacing w:after="0"/>
              <w:rPr>
                <w:sz w:val="20"/>
                <w:szCs w:val="20"/>
                <w:color w:val="auto"/>
              </w:rPr>
            </w:pPr>
            <w:r>
              <w:rPr>
                <w:rFonts w:ascii="Arial" w:cs="Arial" w:eastAsia="Arial" w:hAnsi="Arial"/>
                <w:sz w:val="16"/>
                <w:szCs w:val="16"/>
                <w:b w:val="1"/>
                <w:bCs w:val="1"/>
                <w:color w:val="CB233C"/>
              </w:rPr>
              <w:t>SUBSTANTIAL EXPERIENCE</w:t>
            </w:r>
          </w:p>
        </w:tc>
        <w:tc>
          <w:tcPr>
            <w:tcW w:w="1040" w:type="dxa"/>
            <w:vAlign w:val="bottom"/>
            <w:tcBorders>
              <w:bottom w:val="single" w:sz="8" w:color="CB233C"/>
            </w:tcBorders>
          </w:tcPr>
          <w:p>
            <w:pPr>
              <w:spacing w:after="0"/>
              <w:rPr>
                <w:sz w:val="17"/>
                <w:szCs w:val="17"/>
                <w:color w:val="auto"/>
              </w:rPr>
            </w:pPr>
          </w:p>
        </w:tc>
        <w:tc>
          <w:tcPr>
            <w:tcW w:w="800" w:type="dxa"/>
            <w:vAlign w:val="bottom"/>
            <w:tcBorders>
              <w:bottom w:val="single" w:sz="8" w:color="CB233C"/>
            </w:tcBorders>
          </w:tcPr>
          <w:p>
            <w:pPr>
              <w:spacing w:after="0"/>
              <w:rPr>
                <w:sz w:val="17"/>
                <w:szCs w:val="17"/>
                <w:color w:val="auto"/>
              </w:rPr>
            </w:pPr>
          </w:p>
        </w:tc>
        <w:tc>
          <w:tcPr>
            <w:tcW w:w="800" w:type="dxa"/>
            <w:vAlign w:val="bottom"/>
            <w:tcBorders>
              <w:bottom w:val="single" w:sz="8" w:color="CB233C"/>
            </w:tcBorders>
          </w:tcPr>
          <w:p>
            <w:pPr>
              <w:spacing w:after="0"/>
              <w:rPr>
                <w:sz w:val="17"/>
                <w:szCs w:val="17"/>
                <w:color w:val="auto"/>
              </w:rPr>
            </w:pPr>
          </w:p>
        </w:tc>
        <w:tc>
          <w:tcPr>
            <w:tcW w:w="800" w:type="dxa"/>
            <w:vAlign w:val="bottom"/>
            <w:tcBorders>
              <w:bottom w:val="single" w:sz="8" w:color="CB233C"/>
            </w:tcBorders>
          </w:tcPr>
          <w:p>
            <w:pPr>
              <w:spacing w:after="0"/>
              <w:rPr>
                <w:sz w:val="17"/>
                <w:szCs w:val="17"/>
                <w:color w:val="auto"/>
              </w:rPr>
            </w:pPr>
          </w:p>
        </w:tc>
        <w:tc>
          <w:tcPr>
            <w:tcW w:w="900" w:type="dxa"/>
            <w:vAlign w:val="bottom"/>
            <w:tcBorders>
              <w:bottom w:val="single" w:sz="8" w:color="CB233C"/>
            </w:tcBorders>
          </w:tcPr>
          <w:p>
            <w:pPr>
              <w:spacing w:after="0"/>
              <w:rPr>
                <w:sz w:val="17"/>
                <w:szCs w:val="17"/>
                <w:color w:val="auto"/>
              </w:rPr>
            </w:pPr>
          </w:p>
        </w:tc>
        <w:tc>
          <w:tcPr>
            <w:tcW w:w="680" w:type="dxa"/>
            <w:vAlign w:val="bottom"/>
            <w:tcBorders>
              <w:bottom w:val="single" w:sz="8" w:color="CB233C"/>
            </w:tcBorders>
          </w:tcPr>
          <w:p>
            <w:pPr>
              <w:spacing w:after="0"/>
              <w:rPr>
                <w:sz w:val="17"/>
                <w:szCs w:val="17"/>
                <w:color w:val="auto"/>
              </w:rPr>
            </w:pPr>
          </w:p>
        </w:tc>
        <w:tc>
          <w:tcPr>
            <w:tcW w:w="780" w:type="dxa"/>
            <w:vAlign w:val="bottom"/>
            <w:tcBorders>
              <w:bottom w:val="single" w:sz="8" w:color="CB233C"/>
            </w:tcBorders>
          </w:tcPr>
          <w:p>
            <w:pPr>
              <w:spacing w:after="0"/>
              <w:rPr>
                <w:sz w:val="17"/>
                <w:szCs w:val="17"/>
                <w:color w:val="auto"/>
              </w:rPr>
            </w:pPr>
          </w:p>
        </w:tc>
        <w:tc>
          <w:tcPr>
            <w:tcW w:w="760" w:type="dxa"/>
            <w:vAlign w:val="bottom"/>
            <w:tcBorders>
              <w:bottom w:val="single" w:sz="8" w:color="CB233C"/>
            </w:tcBorders>
          </w:tcPr>
          <w:p>
            <w:pPr>
              <w:spacing w:after="0"/>
              <w:rPr>
                <w:sz w:val="17"/>
                <w:szCs w:val="17"/>
                <w:color w:val="auto"/>
              </w:rPr>
            </w:pPr>
          </w:p>
        </w:tc>
        <w:tc>
          <w:tcPr>
            <w:tcW w:w="740" w:type="dxa"/>
            <w:vAlign w:val="bottom"/>
            <w:tcBorders>
              <w:bottom w:val="single" w:sz="8" w:color="CB233C"/>
            </w:tcBorders>
          </w:tcPr>
          <w:p>
            <w:pPr>
              <w:spacing w:after="0"/>
              <w:rPr>
                <w:sz w:val="17"/>
                <w:szCs w:val="17"/>
                <w:color w:val="auto"/>
              </w:rPr>
            </w:pPr>
          </w:p>
        </w:tc>
        <w:tc>
          <w:tcPr>
            <w:tcW w:w="260" w:type="dxa"/>
            <w:vAlign w:val="bottom"/>
            <w:tcBorders>
              <w:bottom w:val="single" w:sz="8" w:color="CB233C"/>
            </w:tcBorders>
          </w:tcPr>
          <w:p>
            <w:pPr>
              <w:spacing w:after="0"/>
              <w:rPr>
                <w:sz w:val="17"/>
                <w:szCs w:val="17"/>
                <w:color w:val="auto"/>
              </w:rPr>
            </w:pPr>
          </w:p>
        </w:tc>
        <w:tc>
          <w:tcPr>
            <w:tcW w:w="380" w:type="dxa"/>
            <w:vAlign w:val="bottom"/>
            <w:tcBorders>
              <w:bottom w:val="single" w:sz="8" w:color="CB233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60"/>
              <w:spacing w:after="0" w:line="183" w:lineRule="exact"/>
              <w:rPr>
                <w:sz w:val="20"/>
                <w:szCs w:val="20"/>
                <w:color w:val="auto"/>
              </w:rPr>
            </w:pPr>
            <w:r>
              <w:rPr>
                <w:rFonts w:ascii="Arial" w:cs="Arial" w:eastAsia="Arial" w:hAnsi="Arial"/>
                <w:sz w:val="16"/>
                <w:szCs w:val="16"/>
                <w:color w:val="auto"/>
              </w:rPr>
              <w:t>Energy Industry</w:t>
            </w:r>
          </w:p>
        </w:tc>
        <w:tc>
          <w:tcPr>
            <w:tcW w:w="1040" w:type="dxa"/>
            <w:vAlign w:val="bottom"/>
            <w:tcBorders>
              <w:bottom w:val="single" w:sz="8" w:color="A7A9AC"/>
            </w:tcBorders>
          </w:tcPr>
          <w:p>
            <w:pPr>
              <w:jc w:val="center"/>
              <w:ind w:left="179"/>
              <w:spacing w:after="0" w:line="183" w:lineRule="exact"/>
              <w:rPr>
                <w:sz w:val="20"/>
                <w:szCs w:val="20"/>
                <w:color w:val="auto"/>
              </w:rPr>
            </w:pPr>
            <w:r>
              <w:rPr>
                <w:rFonts w:ascii="Arial" w:cs="Arial" w:eastAsia="Arial" w:hAnsi="Arial"/>
                <w:sz w:val="16"/>
                <w:szCs w:val="16"/>
                <w:b w:val="1"/>
                <w:bCs w:val="1"/>
                <w:color w:val="CB233C"/>
                <w:w w:val="86"/>
              </w:rPr>
              <w:t>A</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B</w:t>
            </w:r>
          </w:p>
        </w:tc>
        <w:tc>
          <w:tcPr>
            <w:tcW w:w="900" w:type="dxa"/>
            <w:vAlign w:val="bottom"/>
            <w:tcBorders>
              <w:bottom w:val="single" w:sz="8" w:color="A7A9AC"/>
            </w:tcBorders>
          </w:tcPr>
          <w:p>
            <w:pPr>
              <w:jc w:val="center"/>
              <w:ind w:right="19"/>
              <w:spacing w:after="0" w:line="183" w:lineRule="exact"/>
              <w:rPr>
                <w:sz w:val="20"/>
                <w:szCs w:val="20"/>
                <w:color w:val="auto"/>
              </w:rPr>
            </w:pPr>
            <w:r>
              <w:rPr>
                <w:rFonts w:ascii="Arial" w:cs="Arial" w:eastAsia="Arial" w:hAnsi="Arial"/>
                <w:sz w:val="16"/>
                <w:szCs w:val="16"/>
                <w:b w:val="1"/>
                <w:bCs w:val="1"/>
                <w:color w:val="CB233C"/>
              </w:rPr>
              <w:t>B</w:t>
            </w:r>
          </w:p>
        </w:tc>
        <w:tc>
          <w:tcPr>
            <w:tcW w:w="68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B</w:t>
            </w:r>
          </w:p>
        </w:tc>
        <w:tc>
          <w:tcPr>
            <w:tcW w:w="78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w w:val="86"/>
              </w:rPr>
              <w:t>A</w:t>
            </w:r>
          </w:p>
        </w:tc>
        <w:tc>
          <w:tcPr>
            <w:tcW w:w="76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74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60"/>
              <w:spacing w:after="0" w:line="183" w:lineRule="exact"/>
              <w:rPr>
                <w:sz w:val="20"/>
                <w:szCs w:val="20"/>
                <w:color w:val="auto"/>
              </w:rPr>
            </w:pPr>
            <w:r>
              <w:rPr>
                <w:rFonts w:ascii="Arial" w:cs="Arial" w:eastAsia="Arial" w:hAnsi="Arial"/>
                <w:sz w:val="16"/>
                <w:szCs w:val="16"/>
                <w:color w:val="auto"/>
              </w:rPr>
              <w:t>Accounting/Finance</w:t>
            </w:r>
          </w:p>
        </w:tc>
        <w:tc>
          <w:tcPr>
            <w:tcW w:w="1040" w:type="dxa"/>
            <w:vAlign w:val="bottom"/>
            <w:tcBorders>
              <w:bottom w:val="single" w:sz="8" w:color="A7A9AC"/>
            </w:tcBorders>
          </w:tcPr>
          <w:p>
            <w:pPr>
              <w:jc w:val="center"/>
              <w:ind w:left="179"/>
              <w:spacing w:after="0" w:line="183" w:lineRule="exact"/>
              <w:rPr>
                <w:sz w:val="20"/>
                <w:szCs w:val="20"/>
                <w:color w:val="auto"/>
              </w:rPr>
            </w:pPr>
            <w:r>
              <w:rPr>
                <w:rFonts w:ascii="Arial" w:cs="Arial" w:eastAsia="Arial" w:hAnsi="Arial"/>
                <w:sz w:val="16"/>
                <w:szCs w:val="16"/>
                <w:b w:val="1"/>
                <w:bCs w:val="1"/>
                <w:color w:val="CB233C"/>
                <w:w w:val="86"/>
              </w:rPr>
              <w:t>B</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B</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900" w:type="dxa"/>
            <w:vAlign w:val="bottom"/>
            <w:tcBorders>
              <w:bottom w:val="single" w:sz="8" w:color="A7A9AC"/>
            </w:tcBorders>
          </w:tcPr>
          <w:p>
            <w:pPr>
              <w:jc w:val="center"/>
              <w:ind w:right="19"/>
              <w:spacing w:after="0" w:line="183" w:lineRule="exact"/>
              <w:rPr>
                <w:sz w:val="20"/>
                <w:szCs w:val="20"/>
                <w:color w:val="auto"/>
              </w:rPr>
            </w:pPr>
            <w:r>
              <w:rPr>
                <w:rFonts w:ascii="Arial" w:cs="Arial" w:eastAsia="Arial" w:hAnsi="Arial"/>
                <w:sz w:val="16"/>
                <w:szCs w:val="16"/>
                <w:b w:val="1"/>
                <w:bCs w:val="1"/>
                <w:color w:val="CB233C"/>
              </w:rPr>
              <w:t>B</w:t>
            </w:r>
          </w:p>
        </w:tc>
        <w:tc>
          <w:tcPr>
            <w:tcW w:w="68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78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w w:val="86"/>
              </w:rPr>
              <w:t>A</w:t>
            </w:r>
          </w:p>
        </w:tc>
        <w:tc>
          <w:tcPr>
            <w:tcW w:w="76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74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jc w:val="center"/>
              <w:ind w:right="99"/>
              <w:spacing w:after="0" w:line="183" w:lineRule="exact"/>
              <w:rPr>
                <w:sz w:val="20"/>
                <w:szCs w:val="20"/>
                <w:color w:val="auto"/>
              </w:rPr>
            </w:pPr>
            <w:r>
              <w:rPr>
                <w:rFonts w:ascii="Arial" w:cs="Arial" w:eastAsia="Arial" w:hAnsi="Arial"/>
                <w:sz w:val="16"/>
                <w:szCs w:val="16"/>
                <w:b w:val="1"/>
                <w:bCs w:val="1"/>
                <w:color w:val="CB233C"/>
              </w:rPr>
              <w:t>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60"/>
              <w:spacing w:after="0" w:line="183" w:lineRule="exact"/>
              <w:rPr>
                <w:sz w:val="20"/>
                <w:szCs w:val="20"/>
                <w:color w:val="auto"/>
              </w:rPr>
            </w:pPr>
            <w:r>
              <w:rPr>
                <w:rFonts w:ascii="Arial" w:cs="Arial" w:eastAsia="Arial" w:hAnsi="Arial"/>
                <w:sz w:val="16"/>
                <w:szCs w:val="16"/>
                <w:color w:val="auto"/>
              </w:rPr>
              <w:t>Technology/Engineering</w:t>
            </w:r>
          </w:p>
        </w:tc>
        <w:tc>
          <w:tcPr>
            <w:tcW w:w="1040" w:type="dxa"/>
            <w:vAlign w:val="bottom"/>
            <w:tcBorders>
              <w:bottom w:val="single" w:sz="8" w:color="A7A9AC"/>
            </w:tcBorders>
          </w:tcPr>
          <w:p>
            <w:pPr>
              <w:jc w:val="center"/>
              <w:ind w:left="179"/>
              <w:spacing w:after="0" w:line="183" w:lineRule="exact"/>
              <w:rPr>
                <w:sz w:val="20"/>
                <w:szCs w:val="20"/>
                <w:color w:val="auto"/>
              </w:rPr>
            </w:pPr>
            <w:r>
              <w:rPr>
                <w:rFonts w:ascii="Arial" w:cs="Arial" w:eastAsia="Arial" w:hAnsi="Arial"/>
                <w:sz w:val="16"/>
                <w:szCs w:val="16"/>
                <w:b w:val="1"/>
                <w:bCs w:val="1"/>
                <w:color w:val="CB233C"/>
                <w:w w:val="86"/>
              </w:rPr>
              <w:t>A</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B</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900" w:type="dxa"/>
            <w:vAlign w:val="bottom"/>
            <w:tcBorders>
              <w:bottom w:val="single" w:sz="8" w:color="A7A9AC"/>
            </w:tcBorders>
          </w:tcPr>
          <w:p>
            <w:pPr>
              <w:jc w:val="center"/>
              <w:ind w:right="19"/>
              <w:spacing w:after="0" w:line="183" w:lineRule="exact"/>
              <w:rPr>
                <w:sz w:val="20"/>
                <w:szCs w:val="20"/>
                <w:color w:val="auto"/>
              </w:rPr>
            </w:pPr>
            <w:r>
              <w:rPr>
                <w:rFonts w:ascii="Arial" w:cs="Arial" w:eastAsia="Arial" w:hAnsi="Arial"/>
                <w:sz w:val="16"/>
                <w:szCs w:val="16"/>
                <w:b w:val="1"/>
                <w:bCs w:val="1"/>
                <w:color w:val="CB233C"/>
              </w:rPr>
              <w:t>B</w:t>
            </w:r>
          </w:p>
        </w:tc>
        <w:tc>
          <w:tcPr>
            <w:tcW w:w="68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78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w w:val="86"/>
              </w:rPr>
              <w:t>A</w:t>
            </w:r>
          </w:p>
        </w:tc>
        <w:tc>
          <w:tcPr>
            <w:tcW w:w="76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74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jc w:val="center"/>
              <w:ind w:right="99"/>
              <w:spacing w:after="0" w:line="183" w:lineRule="exact"/>
              <w:rPr>
                <w:sz w:val="20"/>
                <w:szCs w:val="20"/>
                <w:color w:val="auto"/>
              </w:rPr>
            </w:pPr>
            <w:r>
              <w:rPr>
                <w:rFonts w:ascii="Arial" w:cs="Arial" w:eastAsia="Arial" w:hAnsi="Arial"/>
                <w:sz w:val="16"/>
                <w:szCs w:val="16"/>
                <w:b w:val="1"/>
                <w:bCs w:val="1"/>
                <w:color w:val="CB233C"/>
              </w:rPr>
              <w:t>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60"/>
              <w:spacing w:after="0" w:line="183" w:lineRule="exact"/>
              <w:rPr>
                <w:sz w:val="20"/>
                <w:szCs w:val="20"/>
                <w:color w:val="auto"/>
              </w:rPr>
            </w:pPr>
            <w:r>
              <w:rPr>
                <w:rFonts w:ascii="Arial" w:cs="Arial" w:eastAsia="Arial" w:hAnsi="Arial"/>
                <w:sz w:val="16"/>
                <w:szCs w:val="16"/>
                <w:color w:val="auto"/>
              </w:rPr>
              <w:t>Legal/Compliance</w:t>
            </w:r>
          </w:p>
        </w:tc>
        <w:tc>
          <w:tcPr>
            <w:tcW w:w="1040" w:type="dxa"/>
            <w:vAlign w:val="bottom"/>
            <w:tcBorders>
              <w:bottom w:val="single" w:sz="8" w:color="A7A9AC"/>
            </w:tcBorders>
          </w:tcPr>
          <w:p>
            <w:pPr>
              <w:jc w:val="center"/>
              <w:ind w:left="179"/>
              <w:spacing w:after="0" w:line="183" w:lineRule="exact"/>
              <w:rPr>
                <w:sz w:val="20"/>
                <w:szCs w:val="20"/>
                <w:color w:val="auto"/>
              </w:rPr>
            </w:pPr>
            <w:r>
              <w:rPr>
                <w:rFonts w:ascii="Arial" w:cs="Arial" w:eastAsia="Arial" w:hAnsi="Arial"/>
                <w:sz w:val="16"/>
                <w:szCs w:val="16"/>
                <w:b w:val="1"/>
                <w:bCs w:val="1"/>
                <w:color w:val="CB233C"/>
                <w:w w:val="86"/>
              </w:rPr>
              <w:t>B</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B</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B</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900" w:type="dxa"/>
            <w:vAlign w:val="bottom"/>
            <w:tcBorders>
              <w:bottom w:val="single" w:sz="8" w:color="A7A9AC"/>
            </w:tcBorders>
          </w:tcPr>
          <w:p>
            <w:pPr>
              <w:spacing w:after="0"/>
              <w:rPr>
                <w:sz w:val="15"/>
                <w:szCs w:val="15"/>
                <w:color w:val="auto"/>
              </w:rPr>
            </w:pPr>
          </w:p>
        </w:tc>
        <w:tc>
          <w:tcPr>
            <w:tcW w:w="68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B</w:t>
            </w:r>
          </w:p>
        </w:tc>
        <w:tc>
          <w:tcPr>
            <w:tcW w:w="78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w w:val="86"/>
              </w:rPr>
              <w:t>A</w:t>
            </w:r>
          </w:p>
        </w:tc>
        <w:tc>
          <w:tcPr>
            <w:tcW w:w="76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74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jc w:val="center"/>
              <w:ind w:right="99"/>
              <w:spacing w:after="0" w:line="183" w:lineRule="exact"/>
              <w:rPr>
                <w:sz w:val="20"/>
                <w:szCs w:val="20"/>
                <w:color w:val="auto"/>
              </w:rPr>
            </w:pPr>
            <w:r>
              <w:rPr>
                <w:rFonts w:ascii="Arial" w:cs="Arial" w:eastAsia="Arial" w:hAnsi="Arial"/>
                <w:sz w:val="16"/>
                <w:szCs w:val="16"/>
                <w:b w:val="1"/>
                <w:bCs w:val="1"/>
                <w:color w:val="CB233C"/>
              </w:rPr>
              <w:t>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60"/>
              <w:spacing w:after="0" w:line="183" w:lineRule="exact"/>
              <w:rPr>
                <w:sz w:val="20"/>
                <w:szCs w:val="20"/>
                <w:color w:val="auto"/>
              </w:rPr>
            </w:pPr>
            <w:r>
              <w:rPr>
                <w:rFonts w:ascii="Arial" w:cs="Arial" w:eastAsia="Arial" w:hAnsi="Arial"/>
                <w:sz w:val="16"/>
                <w:szCs w:val="16"/>
                <w:color w:val="auto"/>
              </w:rPr>
              <w:t>Mergers &amp; Acquisitions</w:t>
            </w:r>
          </w:p>
        </w:tc>
        <w:tc>
          <w:tcPr>
            <w:tcW w:w="1040" w:type="dxa"/>
            <w:vAlign w:val="bottom"/>
            <w:tcBorders>
              <w:bottom w:val="single" w:sz="8" w:color="A7A9AC"/>
            </w:tcBorders>
          </w:tcPr>
          <w:p>
            <w:pPr>
              <w:jc w:val="center"/>
              <w:ind w:left="179"/>
              <w:spacing w:after="0" w:line="183" w:lineRule="exact"/>
              <w:rPr>
                <w:sz w:val="20"/>
                <w:szCs w:val="20"/>
                <w:color w:val="auto"/>
              </w:rPr>
            </w:pPr>
            <w:r>
              <w:rPr>
                <w:rFonts w:ascii="Arial" w:cs="Arial" w:eastAsia="Arial" w:hAnsi="Arial"/>
                <w:sz w:val="16"/>
                <w:szCs w:val="16"/>
                <w:b w:val="1"/>
                <w:bCs w:val="1"/>
                <w:color w:val="CB233C"/>
                <w:w w:val="86"/>
              </w:rPr>
              <w:t>B</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B</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900" w:type="dxa"/>
            <w:vAlign w:val="bottom"/>
            <w:tcBorders>
              <w:bottom w:val="single" w:sz="8" w:color="A7A9AC"/>
            </w:tcBorders>
          </w:tcPr>
          <w:p>
            <w:pPr>
              <w:jc w:val="center"/>
              <w:ind w:right="19"/>
              <w:spacing w:after="0" w:line="183" w:lineRule="exact"/>
              <w:rPr>
                <w:sz w:val="20"/>
                <w:szCs w:val="20"/>
                <w:color w:val="auto"/>
              </w:rPr>
            </w:pPr>
            <w:r>
              <w:rPr>
                <w:rFonts w:ascii="Arial" w:cs="Arial" w:eastAsia="Arial" w:hAnsi="Arial"/>
                <w:sz w:val="16"/>
                <w:szCs w:val="16"/>
                <w:b w:val="1"/>
                <w:bCs w:val="1"/>
                <w:color w:val="CB233C"/>
              </w:rPr>
              <w:t>A</w:t>
            </w:r>
          </w:p>
        </w:tc>
        <w:tc>
          <w:tcPr>
            <w:tcW w:w="68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B</w:t>
            </w:r>
          </w:p>
        </w:tc>
        <w:tc>
          <w:tcPr>
            <w:tcW w:w="78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w w:val="86"/>
              </w:rPr>
              <w:t>A</w:t>
            </w:r>
          </w:p>
        </w:tc>
        <w:tc>
          <w:tcPr>
            <w:tcW w:w="76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74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jc w:val="center"/>
              <w:ind w:right="99"/>
              <w:spacing w:after="0" w:line="183" w:lineRule="exact"/>
              <w:rPr>
                <w:sz w:val="20"/>
                <w:szCs w:val="20"/>
                <w:color w:val="auto"/>
              </w:rPr>
            </w:pPr>
            <w:r>
              <w:rPr>
                <w:rFonts w:ascii="Arial" w:cs="Arial" w:eastAsia="Arial" w:hAnsi="Arial"/>
                <w:sz w:val="16"/>
                <w:szCs w:val="16"/>
                <w:b w:val="1"/>
                <w:bCs w:val="1"/>
                <w:color w:val="CB233C"/>
              </w:rPr>
              <w:t>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60"/>
              <w:spacing w:after="0" w:line="183" w:lineRule="exact"/>
              <w:rPr>
                <w:sz w:val="20"/>
                <w:szCs w:val="20"/>
                <w:color w:val="auto"/>
              </w:rPr>
            </w:pPr>
            <w:r>
              <w:rPr>
                <w:rFonts w:ascii="Arial" w:cs="Arial" w:eastAsia="Arial" w:hAnsi="Arial"/>
                <w:sz w:val="16"/>
                <w:szCs w:val="16"/>
                <w:color w:val="auto"/>
              </w:rPr>
              <w:t>Human Resources/Compensation</w:t>
            </w:r>
          </w:p>
        </w:tc>
        <w:tc>
          <w:tcPr>
            <w:tcW w:w="1040" w:type="dxa"/>
            <w:vAlign w:val="bottom"/>
            <w:tcBorders>
              <w:bottom w:val="single" w:sz="8" w:color="A7A9AC"/>
            </w:tcBorders>
          </w:tcPr>
          <w:p>
            <w:pPr>
              <w:jc w:val="center"/>
              <w:ind w:left="179"/>
              <w:spacing w:after="0" w:line="183" w:lineRule="exact"/>
              <w:rPr>
                <w:sz w:val="20"/>
                <w:szCs w:val="20"/>
                <w:color w:val="auto"/>
              </w:rPr>
            </w:pPr>
            <w:r>
              <w:rPr>
                <w:rFonts w:ascii="Arial" w:cs="Arial" w:eastAsia="Arial" w:hAnsi="Arial"/>
                <w:sz w:val="16"/>
                <w:szCs w:val="16"/>
                <w:b w:val="1"/>
                <w:bCs w:val="1"/>
                <w:color w:val="CB233C"/>
                <w:w w:val="86"/>
              </w:rPr>
              <w:t>A</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900" w:type="dxa"/>
            <w:vAlign w:val="bottom"/>
            <w:tcBorders>
              <w:bottom w:val="single" w:sz="8" w:color="A7A9AC"/>
            </w:tcBorders>
          </w:tcPr>
          <w:p>
            <w:pPr>
              <w:jc w:val="center"/>
              <w:ind w:right="19"/>
              <w:spacing w:after="0" w:line="183" w:lineRule="exact"/>
              <w:rPr>
                <w:sz w:val="20"/>
                <w:szCs w:val="20"/>
                <w:color w:val="auto"/>
              </w:rPr>
            </w:pPr>
            <w:r>
              <w:rPr>
                <w:rFonts w:ascii="Arial" w:cs="Arial" w:eastAsia="Arial" w:hAnsi="Arial"/>
                <w:sz w:val="16"/>
                <w:szCs w:val="16"/>
                <w:b w:val="1"/>
                <w:bCs w:val="1"/>
                <w:color w:val="CB233C"/>
              </w:rPr>
              <w:t>B</w:t>
            </w:r>
          </w:p>
        </w:tc>
        <w:tc>
          <w:tcPr>
            <w:tcW w:w="68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78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w w:val="86"/>
              </w:rPr>
              <w:t>A</w:t>
            </w:r>
          </w:p>
        </w:tc>
        <w:tc>
          <w:tcPr>
            <w:tcW w:w="76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74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jc w:val="center"/>
              <w:ind w:right="99"/>
              <w:spacing w:after="0" w:line="183" w:lineRule="exact"/>
              <w:rPr>
                <w:sz w:val="20"/>
                <w:szCs w:val="20"/>
                <w:color w:val="auto"/>
              </w:rPr>
            </w:pPr>
            <w:r>
              <w:rPr>
                <w:rFonts w:ascii="Arial" w:cs="Arial" w:eastAsia="Arial" w:hAnsi="Arial"/>
                <w:sz w:val="16"/>
                <w:szCs w:val="16"/>
                <w:b w:val="1"/>
                <w:bCs w:val="1"/>
                <w:color w:val="CB233C"/>
              </w:rPr>
              <w:t>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60"/>
              <w:spacing w:after="0" w:line="183" w:lineRule="exact"/>
              <w:rPr>
                <w:sz w:val="20"/>
                <w:szCs w:val="20"/>
                <w:color w:val="auto"/>
              </w:rPr>
            </w:pPr>
            <w:r>
              <w:rPr>
                <w:rFonts w:ascii="Arial" w:cs="Arial" w:eastAsia="Arial" w:hAnsi="Arial"/>
                <w:sz w:val="16"/>
                <w:szCs w:val="16"/>
                <w:color w:val="auto"/>
              </w:rPr>
              <w:t>Strategic Planning</w:t>
            </w:r>
          </w:p>
        </w:tc>
        <w:tc>
          <w:tcPr>
            <w:tcW w:w="1040" w:type="dxa"/>
            <w:vAlign w:val="bottom"/>
            <w:tcBorders>
              <w:bottom w:val="single" w:sz="8" w:color="A7A9AC"/>
            </w:tcBorders>
          </w:tcPr>
          <w:p>
            <w:pPr>
              <w:jc w:val="center"/>
              <w:ind w:left="179"/>
              <w:spacing w:after="0" w:line="183" w:lineRule="exact"/>
              <w:rPr>
                <w:sz w:val="20"/>
                <w:szCs w:val="20"/>
                <w:color w:val="auto"/>
              </w:rPr>
            </w:pPr>
            <w:r>
              <w:rPr>
                <w:rFonts w:ascii="Arial" w:cs="Arial" w:eastAsia="Arial" w:hAnsi="Arial"/>
                <w:sz w:val="16"/>
                <w:szCs w:val="16"/>
                <w:b w:val="1"/>
                <w:bCs w:val="1"/>
                <w:color w:val="CB233C"/>
                <w:w w:val="86"/>
              </w:rPr>
              <w:t>A</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900" w:type="dxa"/>
            <w:vAlign w:val="bottom"/>
            <w:tcBorders>
              <w:bottom w:val="single" w:sz="8" w:color="A7A9AC"/>
            </w:tcBorders>
          </w:tcPr>
          <w:p>
            <w:pPr>
              <w:jc w:val="center"/>
              <w:ind w:right="19"/>
              <w:spacing w:after="0" w:line="183" w:lineRule="exact"/>
              <w:rPr>
                <w:sz w:val="20"/>
                <w:szCs w:val="20"/>
                <w:color w:val="auto"/>
              </w:rPr>
            </w:pPr>
            <w:r>
              <w:rPr>
                <w:rFonts w:ascii="Arial" w:cs="Arial" w:eastAsia="Arial" w:hAnsi="Arial"/>
                <w:sz w:val="16"/>
                <w:szCs w:val="16"/>
                <w:b w:val="1"/>
                <w:bCs w:val="1"/>
                <w:color w:val="CB233C"/>
              </w:rPr>
              <w:t>B</w:t>
            </w:r>
          </w:p>
        </w:tc>
        <w:tc>
          <w:tcPr>
            <w:tcW w:w="68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78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w w:val="86"/>
              </w:rPr>
              <w:t>A</w:t>
            </w:r>
          </w:p>
        </w:tc>
        <w:tc>
          <w:tcPr>
            <w:tcW w:w="76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74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jc w:val="center"/>
              <w:ind w:right="99"/>
              <w:spacing w:after="0" w:line="183" w:lineRule="exact"/>
              <w:rPr>
                <w:sz w:val="20"/>
                <w:szCs w:val="20"/>
                <w:color w:val="auto"/>
              </w:rPr>
            </w:pPr>
            <w:r>
              <w:rPr>
                <w:rFonts w:ascii="Arial" w:cs="Arial" w:eastAsia="Arial" w:hAnsi="Arial"/>
                <w:sz w:val="16"/>
                <w:szCs w:val="16"/>
                <w:b w:val="1"/>
                <w:bCs w:val="1"/>
                <w:color w:val="CB233C"/>
              </w:rPr>
              <w:t>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60"/>
              <w:spacing w:after="0" w:line="183" w:lineRule="exact"/>
              <w:rPr>
                <w:sz w:val="20"/>
                <w:szCs w:val="20"/>
                <w:color w:val="auto"/>
              </w:rPr>
            </w:pPr>
            <w:r>
              <w:rPr>
                <w:rFonts w:ascii="Arial" w:cs="Arial" w:eastAsia="Arial" w:hAnsi="Arial"/>
                <w:sz w:val="16"/>
                <w:szCs w:val="16"/>
                <w:color w:val="auto"/>
              </w:rPr>
              <w:t>International Business</w:t>
            </w:r>
          </w:p>
        </w:tc>
        <w:tc>
          <w:tcPr>
            <w:tcW w:w="1040" w:type="dxa"/>
            <w:vAlign w:val="bottom"/>
            <w:tcBorders>
              <w:bottom w:val="single" w:sz="8" w:color="A7A9AC"/>
            </w:tcBorders>
          </w:tcPr>
          <w:p>
            <w:pPr>
              <w:jc w:val="center"/>
              <w:ind w:left="179"/>
              <w:spacing w:after="0" w:line="183" w:lineRule="exact"/>
              <w:rPr>
                <w:sz w:val="20"/>
                <w:szCs w:val="20"/>
                <w:color w:val="auto"/>
              </w:rPr>
            </w:pPr>
            <w:r>
              <w:rPr>
                <w:rFonts w:ascii="Arial" w:cs="Arial" w:eastAsia="Arial" w:hAnsi="Arial"/>
                <w:sz w:val="16"/>
                <w:szCs w:val="16"/>
                <w:b w:val="1"/>
                <w:bCs w:val="1"/>
                <w:color w:val="CB233C"/>
                <w:w w:val="86"/>
              </w:rPr>
              <w:t>A</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B</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900" w:type="dxa"/>
            <w:vAlign w:val="bottom"/>
            <w:tcBorders>
              <w:bottom w:val="single" w:sz="8" w:color="A7A9AC"/>
            </w:tcBorders>
          </w:tcPr>
          <w:p>
            <w:pPr>
              <w:jc w:val="center"/>
              <w:ind w:right="19"/>
              <w:spacing w:after="0" w:line="183" w:lineRule="exact"/>
              <w:rPr>
                <w:sz w:val="20"/>
                <w:szCs w:val="20"/>
                <w:color w:val="auto"/>
              </w:rPr>
            </w:pPr>
            <w:r>
              <w:rPr>
                <w:rFonts w:ascii="Arial" w:cs="Arial" w:eastAsia="Arial" w:hAnsi="Arial"/>
                <w:sz w:val="16"/>
                <w:szCs w:val="16"/>
                <w:b w:val="1"/>
                <w:bCs w:val="1"/>
                <w:color w:val="CB233C"/>
              </w:rPr>
              <w:t>B</w:t>
            </w:r>
          </w:p>
        </w:tc>
        <w:tc>
          <w:tcPr>
            <w:tcW w:w="680" w:type="dxa"/>
            <w:vAlign w:val="bottom"/>
            <w:tcBorders>
              <w:bottom w:val="single" w:sz="8" w:color="A7A9AC"/>
            </w:tcBorders>
          </w:tcPr>
          <w:p>
            <w:pPr>
              <w:spacing w:after="0"/>
              <w:rPr>
                <w:sz w:val="15"/>
                <w:szCs w:val="15"/>
                <w:color w:val="auto"/>
              </w:rPr>
            </w:pPr>
          </w:p>
        </w:tc>
        <w:tc>
          <w:tcPr>
            <w:tcW w:w="78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w w:val="86"/>
              </w:rPr>
              <w:t>B</w:t>
            </w:r>
          </w:p>
        </w:tc>
        <w:tc>
          <w:tcPr>
            <w:tcW w:w="76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74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jc w:val="center"/>
              <w:ind w:right="99"/>
              <w:spacing w:after="0" w:line="183" w:lineRule="exact"/>
              <w:rPr>
                <w:sz w:val="20"/>
                <w:szCs w:val="20"/>
                <w:color w:val="auto"/>
              </w:rPr>
            </w:pPr>
            <w:r>
              <w:rPr>
                <w:rFonts w:ascii="Arial" w:cs="Arial" w:eastAsia="Arial" w:hAnsi="Arial"/>
                <w:sz w:val="16"/>
                <w:szCs w:val="16"/>
                <w:b w:val="1"/>
                <w:bCs w:val="1"/>
                <w:color w:val="CB233C"/>
              </w:rPr>
              <w:t>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300" w:type="dxa"/>
            <w:vAlign w:val="bottom"/>
            <w:gridSpan w:val="2"/>
          </w:tcPr>
          <w:p>
            <w:pPr>
              <w:ind w:left="60"/>
              <w:spacing w:after="0" w:line="168" w:lineRule="exact"/>
              <w:rPr>
                <w:sz w:val="20"/>
                <w:szCs w:val="20"/>
                <w:color w:val="auto"/>
              </w:rPr>
            </w:pPr>
            <w:r>
              <w:rPr>
                <w:rFonts w:ascii="Arial" w:cs="Arial" w:eastAsia="Arial" w:hAnsi="Arial"/>
                <w:sz w:val="16"/>
                <w:szCs w:val="16"/>
                <w:color w:val="auto"/>
              </w:rPr>
              <w:t>Health, Safety &amp; Environment and</w:t>
            </w:r>
          </w:p>
        </w:tc>
        <w:tc>
          <w:tcPr>
            <w:tcW w:w="104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CB233C"/>
                <w:w w:val="86"/>
              </w:rPr>
              <w:t>A</w:t>
            </w: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CB233C"/>
              </w:rPr>
              <w:t>A</w:t>
            </w: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CB233C"/>
              </w:rPr>
              <w:t>A</w:t>
            </w: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CB233C"/>
              </w:rPr>
              <w:t>A</w:t>
            </w:r>
          </w:p>
        </w:tc>
        <w:tc>
          <w:tcPr>
            <w:tcW w:w="90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6"/>
                <w:szCs w:val="16"/>
                <w:b w:val="1"/>
                <w:bCs w:val="1"/>
                <w:color w:val="CB233C"/>
              </w:rPr>
              <w:t>A</w:t>
            </w: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CB233C"/>
                <w:w w:val="86"/>
              </w:rPr>
              <w:t>A</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CB233C"/>
              </w:rPr>
              <w:t>A</w:t>
            </w:r>
          </w:p>
        </w:tc>
        <w:tc>
          <w:tcPr>
            <w:tcW w:w="740" w:type="dxa"/>
            <w:vAlign w:val="bottom"/>
            <w:vMerge w:val="restart"/>
          </w:tcPr>
          <w:p>
            <w:pPr>
              <w:jc w:val="center"/>
              <w:spacing w:after="0"/>
              <w:rPr>
                <w:sz w:val="20"/>
                <w:szCs w:val="20"/>
                <w:color w:val="auto"/>
              </w:rPr>
            </w:pPr>
            <w:r>
              <w:rPr>
                <w:rFonts w:ascii="Arial" w:cs="Arial" w:eastAsia="Arial" w:hAnsi="Arial"/>
                <w:sz w:val="16"/>
                <w:szCs w:val="16"/>
                <w:b w:val="1"/>
                <w:bCs w:val="1"/>
                <w:color w:val="CB233C"/>
              </w:rPr>
              <w:t>A</w:t>
            </w:r>
          </w:p>
        </w:tc>
        <w:tc>
          <w:tcPr>
            <w:tcW w:w="260" w:type="dxa"/>
            <w:vAlign w:val="bottom"/>
          </w:tcPr>
          <w:p>
            <w:pPr>
              <w:spacing w:after="0"/>
              <w:rPr>
                <w:sz w:val="14"/>
                <w:szCs w:val="14"/>
                <w:color w:val="auto"/>
              </w:rPr>
            </w:pPr>
          </w:p>
        </w:tc>
        <w:tc>
          <w:tcPr>
            <w:tcW w:w="4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CB233C"/>
              </w:rPr>
              <w:t>A</w:t>
            </w:r>
          </w:p>
        </w:tc>
        <w:tc>
          <w:tcPr>
            <w:tcW w:w="0" w:type="dxa"/>
            <w:vAlign w:val="bottom"/>
          </w:tcPr>
          <w:p>
            <w:pPr>
              <w:spacing w:after="0"/>
              <w:rPr>
                <w:sz w:val="1"/>
                <w:szCs w:val="1"/>
                <w:color w:val="auto"/>
              </w:rPr>
            </w:pPr>
          </w:p>
        </w:tc>
      </w:tr>
      <w:tr>
        <w:trPr>
          <w:trHeight w:val="128"/>
        </w:trPr>
        <w:tc>
          <w:tcPr>
            <w:tcW w:w="3300" w:type="dxa"/>
            <w:vAlign w:val="bottom"/>
            <w:gridSpan w:val="2"/>
            <w:vMerge w:val="restart"/>
          </w:tcPr>
          <w:p>
            <w:pPr>
              <w:ind w:left="60"/>
              <w:spacing w:after="0"/>
              <w:rPr>
                <w:sz w:val="20"/>
                <w:szCs w:val="20"/>
                <w:color w:val="auto"/>
              </w:rPr>
            </w:pPr>
            <w:r>
              <w:rPr>
                <w:rFonts w:ascii="Arial" w:cs="Arial" w:eastAsia="Arial" w:hAnsi="Arial"/>
                <w:sz w:val="16"/>
                <w:szCs w:val="16"/>
                <w:color w:val="auto"/>
              </w:rPr>
              <w:t>Sustainability</w:t>
            </w:r>
          </w:p>
        </w:tc>
        <w:tc>
          <w:tcPr>
            <w:tcW w:w="10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3300" w:type="dxa"/>
            <w:vAlign w:val="bottom"/>
            <w:tcBorders>
              <w:bottom w:val="single" w:sz="8" w:color="A7A9AC"/>
            </w:tcBorders>
            <w:gridSpan w:val="2"/>
            <w:vMerge w:val="continue"/>
          </w:tcPr>
          <w:p>
            <w:pPr>
              <w:spacing w:after="0"/>
              <w:rPr>
                <w:sz w:val="6"/>
                <w:szCs w:val="6"/>
                <w:color w:val="auto"/>
              </w:rPr>
            </w:pPr>
          </w:p>
        </w:tc>
        <w:tc>
          <w:tcPr>
            <w:tcW w:w="1040" w:type="dxa"/>
            <w:vAlign w:val="bottom"/>
            <w:tcBorders>
              <w:bottom w:val="single" w:sz="8" w:color="A7A9AC"/>
            </w:tcBorders>
          </w:tcPr>
          <w:p>
            <w:pPr>
              <w:spacing w:after="0"/>
              <w:rPr>
                <w:sz w:val="6"/>
                <w:szCs w:val="6"/>
                <w:color w:val="auto"/>
              </w:rPr>
            </w:pPr>
          </w:p>
        </w:tc>
        <w:tc>
          <w:tcPr>
            <w:tcW w:w="800" w:type="dxa"/>
            <w:vAlign w:val="bottom"/>
            <w:tcBorders>
              <w:bottom w:val="single" w:sz="8" w:color="A7A9AC"/>
            </w:tcBorders>
          </w:tcPr>
          <w:p>
            <w:pPr>
              <w:spacing w:after="0"/>
              <w:rPr>
                <w:sz w:val="6"/>
                <w:szCs w:val="6"/>
                <w:color w:val="auto"/>
              </w:rPr>
            </w:pPr>
          </w:p>
        </w:tc>
        <w:tc>
          <w:tcPr>
            <w:tcW w:w="800" w:type="dxa"/>
            <w:vAlign w:val="bottom"/>
            <w:tcBorders>
              <w:bottom w:val="single" w:sz="8" w:color="A7A9AC"/>
            </w:tcBorders>
          </w:tcPr>
          <w:p>
            <w:pPr>
              <w:spacing w:after="0"/>
              <w:rPr>
                <w:sz w:val="6"/>
                <w:szCs w:val="6"/>
                <w:color w:val="auto"/>
              </w:rPr>
            </w:pPr>
          </w:p>
        </w:tc>
        <w:tc>
          <w:tcPr>
            <w:tcW w:w="800" w:type="dxa"/>
            <w:vAlign w:val="bottom"/>
            <w:tcBorders>
              <w:bottom w:val="single" w:sz="8" w:color="A7A9AC"/>
            </w:tcBorders>
          </w:tcPr>
          <w:p>
            <w:pPr>
              <w:spacing w:after="0"/>
              <w:rPr>
                <w:sz w:val="6"/>
                <w:szCs w:val="6"/>
                <w:color w:val="auto"/>
              </w:rPr>
            </w:pPr>
          </w:p>
        </w:tc>
        <w:tc>
          <w:tcPr>
            <w:tcW w:w="900" w:type="dxa"/>
            <w:vAlign w:val="bottom"/>
            <w:tcBorders>
              <w:bottom w:val="single" w:sz="8" w:color="A7A9AC"/>
            </w:tcBorders>
          </w:tcPr>
          <w:p>
            <w:pPr>
              <w:spacing w:after="0"/>
              <w:rPr>
                <w:sz w:val="6"/>
                <w:szCs w:val="6"/>
                <w:color w:val="auto"/>
              </w:rPr>
            </w:pPr>
          </w:p>
        </w:tc>
        <w:tc>
          <w:tcPr>
            <w:tcW w:w="680" w:type="dxa"/>
            <w:vAlign w:val="bottom"/>
            <w:tcBorders>
              <w:bottom w:val="single" w:sz="8" w:color="A7A9AC"/>
            </w:tcBorders>
          </w:tcPr>
          <w:p>
            <w:pPr>
              <w:spacing w:after="0"/>
              <w:rPr>
                <w:sz w:val="6"/>
                <w:szCs w:val="6"/>
                <w:color w:val="auto"/>
              </w:rPr>
            </w:pPr>
          </w:p>
        </w:tc>
        <w:tc>
          <w:tcPr>
            <w:tcW w:w="780" w:type="dxa"/>
            <w:vAlign w:val="bottom"/>
            <w:tcBorders>
              <w:bottom w:val="single" w:sz="8" w:color="A7A9AC"/>
            </w:tcBorders>
          </w:tcPr>
          <w:p>
            <w:pPr>
              <w:spacing w:after="0"/>
              <w:rPr>
                <w:sz w:val="6"/>
                <w:szCs w:val="6"/>
                <w:color w:val="auto"/>
              </w:rPr>
            </w:pPr>
          </w:p>
        </w:tc>
        <w:tc>
          <w:tcPr>
            <w:tcW w:w="760" w:type="dxa"/>
            <w:vAlign w:val="bottom"/>
            <w:tcBorders>
              <w:bottom w:val="single" w:sz="8" w:color="A7A9AC"/>
            </w:tcBorders>
          </w:tcPr>
          <w:p>
            <w:pPr>
              <w:spacing w:after="0"/>
              <w:rPr>
                <w:sz w:val="6"/>
                <w:szCs w:val="6"/>
                <w:color w:val="auto"/>
              </w:rPr>
            </w:pPr>
          </w:p>
        </w:tc>
        <w:tc>
          <w:tcPr>
            <w:tcW w:w="740" w:type="dxa"/>
            <w:vAlign w:val="bottom"/>
            <w:tcBorders>
              <w:bottom w:val="single" w:sz="8" w:color="A7A9AC"/>
            </w:tcBorders>
          </w:tcPr>
          <w:p>
            <w:pPr>
              <w:spacing w:after="0"/>
              <w:rPr>
                <w:sz w:val="6"/>
                <w:szCs w:val="6"/>
                <w:color w:val="auto"/>
              </w:rPr>
            </w:pPr>
          </w:p>
        </w:tc>
        <w:tc>
          <w:tcPr>
            <w:tcW w:w="260" w:type="dxa"/>
            <w:vAlign w:val="bottom"/>
            <w:tcBorders>
              <w:bottom w:val="single" w:sz="8" w:color="A7A9AC"/>
            </w:tcBorders>
          </w:tcPr>
          <w:p>
            <w:pPr>
              <w:spacing w:after="0"/>
              <w:rPr>
                <w:sz w:val="6"/>
                <w:szCs w:val="6"/>
                <w:color w:val="auto"/>
              </w:rPr>
            </w:pPr>
          </w:p>
        </w:tc>
        <w:tc>
          <w:tcPr>
            <w:tcW w:w="380" w:type="dxa"/>
            <w:vAlign w:val="bottom"/>
            <w:tcBorders>
              <w:bottom w:val="single" w:sz="8" w:color="A7A9A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60"/>
              <w:spacing w:after="0" w:line="183" w:lineRule="exact"/>
              <w:rPr>
                <w:sz w:val="20"/>
                <w:szCs w:val="20"/>
                <w:color w:val="auto"/>
              </w:rPr>
            </w:pPr>
            <w:r>
              <w:rPr>
                <w:rFonts w:ascii="Arial" w:cs="Arial" w:eastAsia="Arial" w:hAnsi="Arial"/>
                <w:sz w:val="16"/>
                <w:szCs w:val="16"/>
                <w:color w:val="auto"/>
              </w:rPr>
              <w:t>Public Policy</w:t>
            </w:r>
          </w:p>
        </w:tc>
        <w:tc>
          <w:tcPr>
            <w:tcW w:w="1040" w:type="dxa"/>
            <w:vAlign w:val="bottom"/>
            <w:tcBorders>
              <w:bottom w:val="single" w:sz="8" w:color="A7A9AC"/>
            </w:tcBorders>
          </w:tcPr>
          <w:p>
            <w:pPr>
              <w:jc w:val="center"/>
              <w:ind w:left="179"/>
              <w:spacing w:after="0" w:line="183" w:lineRule="exact"/>
              <w:rPr>
                <w:sz w:val="20"/>
                <w:szCs w:val="20"/>
                <w:color w:val="auto"/>
              </w:rPr>
            </w:pPr>
            <w:r>
              <w:rPr>
                <w:rFonts w:ascii="Arial" w:cs="Arial" w:eastAsia="Arial" w:hAnsi="Arial"/>
                <w:sz w:val="16"/>
                <w:szCs w:val="16"/>
                <w:b w:val="1"/>
                <w:bCs w:val="1"/>
                <w:color w:val="CB233C"/>
                <w:w w:val="86"/>
              </w:rPr>
              <w:t>B</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80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900" w:type="dxa"/>
            <w:vAlign w:val="bottom"/>
            <w:tcBorders>
              <w:bottom w:val="single" w:sz="8" w:color="A7A9AC"/>
            </w:tcBorders>
          </w:tcPr>
          <w:p>
            <w:pPr>
              <w:jc w:val="center"/>
              <w:ind w:right="19"/>
              <w:spacing w:after="0" w:line="183" w:lineRule="exact"/>
              <w:rPr>
                <w:sz w:val="20"/>
                <w:szCs w:val="20"/>
                <w:color w:val="auto"/>
              </w:rPr>
            </w:pPr>
            <w:r>
              <w:rPr>
                <w:rFonts w:ascii="Arial" w:cs="Arial" w:eastAsia="Arial" w:hAnsi="Arial"/>
                <w:sz w:val="16"/>
                <w:szCs w:val="16"/>
                <w:b w:val="1"/>
                <w:bCs w:val="1"/>
                <w:color w:val="CB233C"/>
              </w:rPr>
              <w:t>A</w:t>
            </w:r>
          </w:p>
        </w:tc>
        <w:tc>
          <w:tcPr>
            <w:tcW w:w="68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B</w:t>
            </w:r>
          </w:p>
        </w:tc>
        <w:tc>
          <w:tcPr>
            <w:tcW w:w="78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w w:val="86"/>
              </w:rPr>
              <w:t>A</w:t>
            </w:r>
          </w:p>
        </w:tc>
        <w:tc>
          <w:tcPr>
            <w:tcW w:w="76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740" w:type="dxa"/>
            <w:vAlign w:val="bottom"/>
            <w:tcBorders>
              <w:bottom w:val="single" w:sz="8" w:color="A7A9AC"/>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jc w:val="center"/>
              <w:ind w:right="99"/>
              <w:spacing w:after="0" w:line="183" w:lineRule="exact"/>
              <w:rPr>
                <w:sz w:val="20"/>
                <w:szCs w:val="20"/>
                <w:color w:val="auto"/>
              </w:rPr>
            </w:pPr>
            <w:r>
              <w:rPr>
                <w:rFonts w:ascii="Arial" w:cs="Arial" w:eastAsia="Arial" w:hAnsi="Arial"/>
                <w:sz w:val="16"/>
                <w:szCs w:val="16"/>
                <w:b w:val="1"/>
                <w:bCs w:val="1"/>
                <w:color w:val="CB233C"/>
              </w:rPr>
              <w:t>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uto"/>
            </w:tcBorders>
            <w:gridSpan w:val="2"/>
          </w:tcPr>
          <w:p>
            <w:pPr>
              <w:ind w:left="60"/>
              <w:spacing w:after="0" w:line="183" w:lineRule="exact"/>
              <w:rPr>
                <w:sz w:val="20"/>
                <w:szCs w:val="20"/>
                <w:color w:val="auto"/>
              </w:rPr>
            </w:pPr>
            <w:r>
              <w:rPr>
                <w:rFonts w:ascii="Arial" w:cs="Arial" w:eastAsia="Arial" w:hAnsi="Arial"/>
                <w:sz w:val="16"/>
                <w:szCs w:val="16"/>
                <w:color w:val="auto"/>
              </w:rPr>
              <w:t>Corporate Governance</w:t>
            </w:r>
          </w:p>
        </w:tc>
        <w:tc>
          <w:tcPr>
            <w:tcW w:w="1040" w:type="dxa"/>
            <w:vAlign w:val="bottom"/>
            <w:tcBorders>
              <w:bottom w:val="single" w:sz="8" w:color="auto"/>
            </w:tcBorders>
          </w:tcPr>
          <w:p>
            <w:pPr>
              <w:jc w:val="center"/>
              <w:ind w:left="179"/>
              <w:spacing w:after="0" w:line="183" w:lineRule="exact"/>
              <w:rPr>
                <w:sz w:val="20"/>
                <w:szCs w:val="20"/>
                <w:color w:val="auto"/>
              </w:rPr>
            </w:pPr>
            <w:r>
              <w:rPr>
                <w:rFonts w:ascii="Arial" w:cs="Arial" w:eastAsia="Arial" w:hAnsi="Arial"/>
                <w:sz w:val="16"/>
                <w:szCs w:val="16"/>
                <w:b w:val="1"/>
                <w:bCs w:val="1"/>
                <w:color w:val="CB233C"/>
                <w:w w:val="86"/>
              </w:rPr>
              <w:t>A</w:t>
            </w:r>
          </w:p>
        </w:tc>
        <w:tc>
          <w:tcPr>
            <w:tcW w:w="8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8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8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900" w:type="dxa"/>
            <w:vAlign w:val="bottom"/>
            <w:tcBorders>
              <w:bottom w:val="single" w:sz="8" w:color="auto"/>
            </w:tcBorders>
          </w:tcPr>
          <w:p>
            <w:pPr>
              <w:jc w:val="center"/>
              <w:ind w:right="19"/>
              <w:spacing w:after="0" w:line="183" w:lineRule="exact"/>
              <w:rPr>
                <w:sz w:val="20"/>
                <w:szCs w:val="20"/>
                <w:color w:val="auto"/>
              </w:rPr>
            </w:pPr>
            <w:r>
              <w:rPr>
                <w:rFonts w:ascii="Arial" w:cs="Arial" w:eastAsia="Arial" w:hAnsi="Arial"/>
                <w:sz w:val="16"/>
                <w:szCs w:val="16"/>
                <w:b w:val="1"/>
                <w:bCs w:val="1"/>
                <w:color w:val="CB233C"/>
              </w:rPr>
              <w:t>A</w:t>
            </w:r>
          </w:p>
        </w:tc>
        <w:tc>
          <w:tcPr>
            <w:tcW w:w="6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7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CB233C"/>
                <w:w w:val="86"/>
              </w:rPr>
              <w:t>A</w:t>
            </w:r>
          </w:p>
        </w:tc>
        <w:tc>
          <w:tcPr>
            <w:tcW w:w="7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7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CB233C"/>
              </w:rPr>
              <w:t>A</w:t>
            </w:r>
          </w:p>
        </w:tc>
        <w:tc>
          <w:tcPr>
            <w:tcW w:w="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center"/>
              <w:ind w:right="99"/>
              <w:spacing w:after="0" w:line="183" w:lineRule="exact"/>
              <w:rPr>
                <w:sz w:val="20"/>
                <w:szCs w:val="20"/>
                <w:color w:val="auto"/>
              </w:rPr>
            </w:pPr>
            <w:r>
              <w:rPr>
                <w:rFonts w:ascii="Arial" w:cs="Arial" w:eastAsia="Arial" w:hAnsi="Arial"/>
                <w:sz w:val="16"/>
                <w:szCs w:val="16"/>
                <w:b w:val="1"/>
                <w:bCs w:val="1"/>
                <w:color w:val="CB233C"/>
              </w:rPr>
              <w:t>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1740" w:type="dxa"/>
            <w:vAlign w:val="bottom"/>
            <w:tcBorders>
              <w:bottom w:val="single" w:sz="8" w:color="CB233C"/>
            </w:tcBorders>
          </w:tcPr>
          <w:p>
            <w:pPr>
              <w:spacing w:after="0"/>
              <w:rPr>
                <w:sz w:val="7"/>
                <w:szCs w:val="7"/>
                <w:color w:val="auto"/>
              </w:rPr>
            </w:pPr>
          </w:p>
        </w:tc>
        <w:tc>
          <w:tcPr>
            <w:tcW w:w="1560" w:type="dxa"/>
            <w:vAlign w:val="bottom"/>
            <w:tcBorders>
              <w:bottom w:val="single" w:sz="8" w:color="CB233C"/>
            </w:tcBorders>
          </w:tcPr>
          <w:p>
            <w:pPr>
              <w:spacing w:after="0"/>
              <w:rPr>
                <w:sz w:val="7"/>
                <w:szCs w:val="7"/>
                <w:color w:val="auto"/>
              </w:rPr>
            </w:pPr>
          </w:p>
        </w:tc>
        <w:tc>
          <w:tcPr>
            <w:tcW w:w="1040" w:type="dxa"/>
            <w:vAlign w:val="bottom"/>
            <w:tcBorders>
              <w:bottom w:val="single" w:sz="8" w:color="CB233C"/>
            </w:tcBorders>
          </w:tcPr>
          <w:p>
            <w:pPr>
              <w:spacing w:after="0"/>
              <w:rPr>
                <w:sz w:val="7"/>
                <w:szCs w:val="7"/>
                <w:color w:val="auto"/>
              </w:rPr>
            </w:pPr>
          </w:p>
        </w:tc>
        <w:tc>
          <w:tcPr>
            <w:tcW w:w="800" w:type="dxa"/>
            <w:vAlign w:val="bottom"/>
            <w:tcBorders>
              <w:bottom w:val="single" w:sz="8" w:color="CB233C"/>
            </w:tcBorders>
          </w:tcPr>
          <w:p>
            <w:pPr>
              <w:spacing w:after="0"/>
              <w:rPr>
                <w:sz w:val="7"/>
                <w:szCs w:val="7"/>
                <w:color w:val="auto"/>
              </w:rPr>
            </w:pPr>
          </w:p>
        </w:tc>
        <w:tc>
          <w:tcPr>
            <w:tcW w:w="800" w:type="dxa"/>
            <w:vAlign w:val="bottom"/>
            <w:tcBorders>
              <w:bottom w:val="single" w:sz="8" w:color="CB233C"/>
            </w:tcBorders>
          </w:tcPr>
          <w:p>
            <w:pPr>
              <w:spacing w:after="0"/>
              <w:rPr>
                <w:sz w:val="7"/>
                <w:szCs w:val="7"/>
                <w:color w:val="auto"/>
              </w:rPr>
            </w:pPr>
          </w:p>
        </w:tc>
        <w:tc>
          <w:tcPr>
            <w:tcW w:w="800" w:type="dxa"/>
            <w:vAlign w:val="bottom"/>
            <w:tcBorders>
              <w:bottom w:val="single" w:sz="8" w:color="CB233C"/>
            </w:tcBorders>
          </w:tcPr>
          <w:p>
            <w:pPr>
              <w:spacing w:after="0"/>
              <w:rPr>
                <w:sz w:val="7"/>
                <w:szCs w:val="7"/>
                <w:color w:val="auto"/>
              </w:rPr>
            </w:pPr>
          </w:p>
        </w:tc>
        <w:tc>
          <w:tcPr>
            <w:tcW w:w="900" w:type="dxa"/>
            <w:vAlign w:val="bottom"/>
            <w:tcBorders>
              <w:bottom w:val="single" w:sz="8" w:color="CB233C"/>
            </w:tcBorders>
          </w:tcPr>
          <w:p>
            <w:pPr>
              <w:spacing w:after="0"/>
              <w:rPr>
                <w:sz w:val="7"/>
                <w:szCs w:val="7"/>
                <w:color w:val="auto"/>
              </w:rPr>
            </w:pPr>
          </w:p>
        </w:tc>
        <w:tc>
          <w:tcPr>
            <w:tcW w:w="680" w:type="dxa"/>
            <w:vAlign w:val="bottom"/>
            <w:tcBorders>
              <w:bottom w:val="single" w:sz="8" w:color="CB233C"/>
            </w:tcBorders>
          </w:tcPr>
          <w:p>
            <w:pPr>
              <w:spacing w:after="0"/>
              <w:rPr>
                <w:sz w:val="7"/>
                <w:szCs w:val="7"/>
                <w:color w:val="auto"/>
              </w:rPr>
            </w:pPr>
          </w:p>
        </w:tc>
        <w:tc>
          <w:tcPr>
            <w:tcW w:w="780" w:type="dxa"/>
            <w:vAlign w:val="bottom"/>
            <w:tcBorders>
              <w:bottom w:val="single" w:sz="8" w:color="CB233C"/>
            </w:tcBorders>
          </w:tcPr>
          <w:p>
            <w:pPr>
              <w:spacing w:after="0"/>
              <w:rPr>
                <w:sz w:val="7"/>
                <w:szCs w:val="7"/>
                <w:color w:val="auto"/>
              </w:rPr>
            </w:pPr>
          </w:p>
        </w:tc>
        <w:tc>
          <w:tcPr>
            <w:tcW w:w="760" w:type="dxa"/>
            <w:vAlign w:val="bottom"/>
            <w:tcBorders>
              <w:bottom w:val="single" w:sz="8" w:color="CB233C"/>
            </w:tcBorders>
          </w:tcPr>
          <w:p>
            <w:pPr>
              <w:spacing w:after="0"/>
              <w:rPr>
                <w:sz w:val="7"/>
                <w:szCs w:val="7"/>
                <w:color w:val="auto"/>
              </w:rPr>
            </w:pPr>
          </w:p>
        </w:tc>
        <w:tc>
          <w:tcPr>
            <w:tcW w:w="740" w:type="dxa"/>
            <w:vAlign w:val="bottom"/>
            <w:tcBorders>
              <w:bottom w:val="single" w:sz="8" w:color="CB233C"/>
            </w:tcBorders>
          </w:tcPr>
          <w:p>
            <w:pPr>
              <w:spacing w:after="0"/>
              <w:rPr>
                <w:sz w:val="7"/>
                <w:szCs w:val="7"/>
                <w:color w:val="auto"/>
              </w:rPr>
            </w:pPr>
          </w:p>
        </w:tc>
        <w:tc>
          <w:tcPr>
            <w:tcW w:w="260" w:type="dxa"/>
            <w:vAlign w:val="bottom"/>
            <w:tcBorders>
              <w:bottom w:val="single" w:sz="8" w:color="CB233C"/>
            </w:tcBorders>
          </w:tcPr>
          <w:p>
            <w:pPr>
              <w:spacing w:after="0"/>
              <w:rPr>
                <w:sz w:val="7"/>
                <w:szCs w:val="7"/>
                <w:color w:val="auto"/>
              </w:rPr>
            </w:pPr>
          </w:p>
        </w:tc>
        <w:tc>
          <w:tcPr>
            <w:tcW w:w="380" w:type="dxa"/>
            <w:vAlign w:val="bottom"/>
            <w:tcBorders>
              <w:bottom w:val="single" w:sz="8" w:color="CB233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CB233C"/>
            </w:tcBorders>
            <w:gridSpan w:val="2"/>
          </w:tcPr>
          <w:p>
            <w:pPr>
              <w:ind w:left="60"/>
              <w:spacing w:after="0" w:line="183" w:lineRule="exact"/>
              <w:rPr>
                <w:sz w:val="20"/>
                <w:szCs w:val="20"/>
                <w:color w:val="auto"/>
              </w:rPr>
            </w:pPr>
            <w:r>
              <w:rPr>
                <w:rFonts w:ascii="Arial" w:cs="Arial" w:eastAsia="Arial" w:hAnsi="Arial"/>
                <w:sz w:val="16"/>
                <w:szCs w:val="16"/>
                <w:b w:val="1"/>
                <w:bCs w:val="1"/>
                <w:color w:val="CB233C"/>
              </w:rPr>
              <w:t>LEGEND</w:t>
            </w:r>
          </w:p>
        </w:tc>
        <w:tc>
          <w:tcPr>
            <w:tcW w:w="1040" w:type="dxa"/>
            <w:vAlign w:val="bottom"/>
            <w:tcBorders>
              <w:bottom w:val="single" w:sz="8" w:color="CB233C"/>
            </w:tcBorders>
          </w:tcPr>
          <w:p>
            <w:pPr>
              <w:spacing w:after="0"/>
              <w:rPr>
                <w:sz w:val="15"/>
                <w:szCs w:val="15"/>
                <w:color w:val="auto"/>
              </w:rPr>
            </w:pPr>
          </w:p>
        </w:tc>
        <w:tc>
          <w:tcPr>
            <w:tcW w:w="800" w:type="dxa"/>
            <w:vAlign w:val="bottom"/>
            <w:tcBorders>
              <w:bottom w:val="single" w:sz="8" w:color="CB233C"/>
            </w:tcBorders>
          </w:tcPr>
          <w:p>
            <w:pPr>
              <w:spacing w:after="0"/>
              <w:rPr>
                <w:sz w:val="15"/>
                <w:szCs w:val="15"/>
                <w:color w:val="auto"/>
              </w:rPr>
            </w:pPr>
          </w:p>
        </w:tc>
        <w:tc>
          <w:tcPr>
            <w:tcW w:w="800" w:type="dxa"/>
            <w:vAlign w:val="bottom"/>
            <w:tcBorders>
              <w:bottom w:val="single" w:sz="8" w:color="CB233C"/>
            </w:tcBorders>
          </w:tcPr>
          <w:p>
            <w:pPr>
              <w:spacing w:after="0"/>
              <w:rPr>
                <w:sz w:val="15"/>
                <w:szCs w:val="15"/>
                <w:color w:val="auto"/>
              </w:rPr>
            </w:pPr>
          </w:p>
        </w:tc>
        <w:tc>
          <w:tcPr>
            <w:tcW w:w="800" w:type="dxa"/>
            <w:vAlign w:val="bottom"/>
            <w:tcBorders>
              <w:bottom w:val="single" w:sz="8" w:color="CB233C"/>
            </w:tcBorders>
          </w:tcPr>
          <w:p>
            <w:pPr>
              <w:spacing w:after="0"/>
              <w:rPr>
                <w:sz w:val="15"/>
                <w:szCs w:val="15"/>
                <w:color w:val="auto"/>
              </w:rPr>
            </w:pPr>
          </w:p>
        </w:tc>
        <w:tc>
          <w:tcPr>
            <w:tcW w:w="900" w:type="dxa"/>
            <w:vAlign w:val="bottom"/>
            <w:tcBorders>
              <w:bottom w:val="single" w:sz="8" w:color="CB233C"/>
            </w:tcBorders>
          </w:tcPr>
          <w:p>
            <w:pPr>
              <w:spacing w:after="0"/>
              <w:rPr>
                <w:sz w:val="15"/>
                <w:szCs w:val="15"/>
                <w:color w:val="auto"/>
              </w:rPr>
            </w:pPr>
          </w:p>
        </w:tc>
        <w:tc>
          <w:tcPr>
            <w:tcW w:w="680" w:type="dxa"/>
            <w:vAlign w:val="bottom"/>
            <w:tcBorders>
              <w:bottom w:val="single" w:sz="8" w:color="CB233C"/>
            </w:tcBorders>
          </w:tcPr>
          <w:p>
            <w:pPr>
              <w:spacing w:after="0"/>
              <w:rPr>
                <w:sz w:val="15"/>
                <w:szCs w:val="15"/>
                <w:color w:val="auto"/>
              </w:rPr>
            </w:pPr>
          </w:p>
        </w:tc>
        <w:tc>
          <w:tcPr>
            <w:tcW w:w="780" w:type="dxa"/>
            <w:vAlign w:val="bottom"/>
            <w:tcBorders>
              <w:bottom w:val="single" w:sz="8" w:color="CB233C"/>
            </w:tcBorders>
          </w:tcPr>
          <w:p>
            <w:pPr>
              <w:spacing w:after="0"/>
              <w:rPr>
                <w:sz w:val="15"/>
                <w:szCs w:val="15"/>
                <w:color w:val="auto"/>
              </w:rPr>
            </w:pPr>
          </w:p>
        </w:tc>
        <w:tc>
          <w:tcPr>
            <w:tcW w:w="760" w:type="dxa"/>
            <w:vAlign w:val="bottom"/>
            <w:tcBorders>
              <w:bottom w:val="single" w:sz="8" w:color="CB233C"/>
            </w:tcBorders>
          </w:tcPr>
          <w:p>
            <w:pPr>
              <w:spacing w:after="0"/>
              <w:rPr>
                <w:sz w:val="15"/>
                <w:szCs w:val="15"/>
                <w:color w:val="auto"/>
              </w:rPr>
            </w:pPr>
          </w:p>
        </w:tc>
        <w:tc>
          <w:tcPr>
            <w:tcW w:w="740" w:type="dxa"/>
            <w:vAlign w:val="bottom"/>
            <w:tcBorders>
              <w:bottom w:val="single" w:sz="8" w:color="CB233C"/>
            </w:tcBorders>
          </w:tcPr>
          <w:p>
            <w:pPr>
              <w:spacing w:after="0"/>
              <w:rPr>
                <w:sz w:val="15"/>
                <w:szCs w:val="15"/>
                <w:color w:val="auto"/>
              </w:rPr>
            </w:pPr>
          </w:p>
        </w:tc>
        <w:tc>
          <w:tcPr>
            <w:tcW w:w="260" w:type="dxa"/>
            <w:vAlign w:val="bottom"/>
            <w:tcBorders>
              <w:bottom w:val="single" w:sz="8" w:color="CB233C"/>
            </w:tcBorders>
          </w:tcPr>
          <w:p>
            <w:pPr>
              <w:spacing w:after="0"/>
              <w:rPr>
                <w:sz w:val="15"/>
                <w:szCs w:val="15"/>
                <w:color w:val="auto"/>
              </w:rPr>
            </w:pPr>
          </w:p>
        </w:tc>
        <w:tc>
          <w:tcPr>
            <w:tcW w:w="380" w:type="dxa"/>
            <w:vAlign w:val="bottom"/>
            <w:tcBorders>
              <w:bottom w:val="single" w:sz="8" w:color="CB233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40" w:type="dxa"/>
            <w:vAlign w:val="bottom"/>
            <w:tcBorders>
              <w:bottom w:val="single" w:sz="8" w:color="A7A9AC"/>
            </w:tcBorders>
            <w:gridSpan w:val="6"/>
          </w:tcPr>
          <w:p>
            <w:pPr>
              <w:ind w:left="60"/>
              <w:spacing w:after="0" w:line="183" w:lineRule="exact"/>
              <w:rPr>
                <w:sz w:val="20"/>
                <w:szCs w:val="20"/>
                <w:color w:val="auto"/>
              </w:rPr>
            </w:pPr>
            <w:r>
              <w:rPr>
                <w:rFonts w:ascii="Arial" w:cs="Arial" w:eastAsia="Arial" w:hAnsi="Arial"/>
                <w:sz w:val="16"/>
                <w:szCs w:val="16"/>
                <w:b w:val="1"/>
                <w:bCs w:val="1"/>
                <w:color w:val="CB233C"/>
              </w:rPr>
              <w:t xml:space="preserve">A  </w:t>
            </w:r>
            <w:r>
              <w:rPr>
                <w:rFonts w:ascii="Arial" w:cs="Arial" w:eastAsia="Arial" w:hAnsi="Arial"/>
                <w:sz w:val="16"/>
                <w:szCs w:val="16"/>
                <w:b w:val="1"/>
                <w:bCs w:val="1"/>
                <w:color w:val="000000"/>
              </w:rPr>
              <w:t>Policy-making experience in business, government, education, or technology</w:t>
            </w:r>
          </w:p>
        </w:tc>
        <w:tc>
          <w:tcPr>
            <w:tcW w:w="900" w:type="dxa"/>
            <w:vAlign w:val="bottom"/>
            <w:tcBorders>
              <w:bottom w:val="single" w:sz="8" w:color="A7A9AC"/>
            </w:tcBorders>
          </w:tcPr>
          <w:p>
            <w:pPr>
              <w:spacing w:after="0"/>
              <w:rPr>
                <w:sz w:val="15"/>
                <w:szCs w:val="15"/>
                <w:color w:val="auto"/>
              </w:rPr>
            </w:pPr>
          </w:p>
        </w:tc>
        <w:tc>
          <w:tcPr>
            <w:tcW w:w="680" w:type="dxa"/>
            <w:vAlign w:val="bottom"/>
            <w:tcBorders>
              <w:bottom w:val="single" w:sz="8" w:color="A7A9AC"/>
            </w:tcBorders>
          </w:tcPr>
          <w:p>
            <w:pPr>
              <w:spacing w:after="0"/>
              <w:rPr>
                <w:sz w:val="15"/>
                <w:szCs w:val="15"/>
                <w:color w:val="auto"/>
              </w:rPr>
            </w:pPr>
          </w:p>
        </w:tc>
        <w:tc>
          <w:tcPr>
            <w:tcW w:w="780" w:type="dxa"/>
            <w:vAlign w:val="bottom"/>
            <w:tcBorders>
              <w:bottom w:val="single" w:sz="8" w:color="A7A9AC"/>
            </w:tcBorders>
          </w:tcPr>
          <w:p>
            <w:pPr>
              <w:spacing w:after="0"/>
              <w:rPr>
                <w:sz w:val="15"/>
                <w:szCs w:val="15"/>
                <w:color w:val="auto"/>
              </w:rPr>
            </w:pPr>
          </w:p>
        </w:tc>
        <w:tc>
          <w:tcPr>
            <w:tcW w:w="760" w:type="dxa"/>
            <w:vAlign w:val="bottom"/>
            <w:tcBorders>
              <w:bottom w:val="single" w:sz="8" w:color="A7A9AC"/>
            </w:tcBorders>
          </w:tcPr>
          <w:p>
            <w:pPr>
              <w:spacing w:after="0"/>
              <w:rPr>
                <w:sz w:val="15"/>
                <w:szCs w:val="15"/>
                <w:color w:val="auto"/>
              </w:rPr>
            </w:pPr>
          </w:p>
        </w:tc>
        <w:tc>
          <w:tcPr>
            <w:tcW w:w="740" w:type="dxa"/>
            <w:vAlign w:val="bottom"/>
            <w:tcBorders>
              <w:bottom w:val="single" w:sz="8" w:color="A7A9AC"/>
            </w:tcBorders>
          </w:tcPr>
          <w:p>
            <w:pPr>
              <w:spacing w:after="0"/>
              <w:rPr>
                <w:sz w:val="15"/>
                <w:szCs w:val="15"/>
                <w:color w:val="auto"/>
              </w:rPr>
            </w:pP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uto"/>
            </w:tcBorders>
            <w:gridSpan w:val="2"/>
          </w:tcPr>
          <w:p>
            <w:pPr>
              <w:ind w:left="60"/>
              <w:spacing w:after="0" w:line="183" w:lineRule="exact"/>
              <w:rPr>
                <w:sz w:val="20"/>
                <w:szCs w:val="20"/>
                <w:color w:val="auto"/>
              </w:rPr>
            </w:pPr>
            <w:r>
              <w:rPr>
                <w:rFonts w:ascii="Arial" w:cs="Arial" w:eastAsia="Arial" w:hAnsi="Arial"/>
                <w:sz w:val="16"/>
                <w:szCs w:val="16"/>
                <w:b w:val="1"/>
                <w:bCs w:val="1"/>
                <w:color w:val="CB233C"/>
              </w:rPr>
              <w:t xml:space="preserve">B  </w:t>
            </w:r>
            <w:r>
              <w:rPr>
                <w:rFonts w:ascii="Arial" w:cs="Arial" w:eastAsia="Arial" w:hAnsi="Arial"/>
                <w:sz w:val="16"/>
                <w:szCs w:val="16"/>
                <w:b w:val="1"/>
                <w:bCs w:val="1"/>
                <w:color w:val="000000"/>
              </w:rPr>
              <w:t>Other substantial experience</w:t>
            </w:r>
          </w:p>
        </w:tc>
        <w:tc>
          <w:tcPr>
            <w:tcW w:w="10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1740" w:type="dxa"/>
            <w:vAlign w:val="bottom"/>
            <w:tcBorders>
              <w:bottom w:val="single" w:sz="8" w:color="CB233C"/>
            </w:tcBorders>
          </w:tcPr>
          <w:p>
            <w:pPr>
              <w:spacing w:after="0"/>
              <w:rPr>
                <w:sz w:val="7"/>
                <w:szCs w:val="7"/>
                <w:color w:val="auto"/>
              </w:rPr>
            </w:pPr>
          </w:p>
        </w:tc>
        <w:tc>
          <w:tcPr>
            <w:tcW w:w="1560" w:type="dxa"/>
            <w:vAlign w:val="bottom"/>
            <w:tcBorders>
              <w:bottom w:val="single" w:sz="8" w:color="CB233C"/>
            </w:tcBorders>
          </w:tcPr>
          <w:p>
            <w:pPr>
              <w:spacing w:after="0"/>
              <w:rPr>
                <w:sz w:val="7"/>
                <w:szCs w:val="7"/>
                <w:color w:val="auto"/>
              </w:rPr>
            </w:pPr>
          </w:p>
        </w:tc>
        <w:tc>
          <w:tcPr>
            <w:tcW w:w="1040" w:type="dxa"/>
            <w:vAlign w:val="bottom"/>
            <w:tcBorders>
              <w:bottom w:val="single" w:sz="8" w:color="CB233C"/>
            </w:tcBorders>
          </w:tcPr>
          <w:p>
            <w:pPr>
              <w:spacing w:after="0"/>
              <w:rPr>
                <w:sz w:val="7"/>
                <w:szCs w:val="7"/>
                <w:color w:val="auto"/>
              </w:rPr>
            </w:pPr>
          </w:p>
        </w:tc>
        <w:tc>
          <w:tcPr>
            <w:tcW w:w="800" w:type="dxa"/>
            <w:vAlign w:val="bottom"/>
            <w:tcBorders>
              <w:bottom w:val="single" w:sz="8" w:color="CB233C"/>
            </w:tcBorders>
          </w:tcPr>
          <w:p>
            <w:pPr>
              <w:spacing w:after="0"/>
              <w:rPr>
                <w:sz w:val="7"/>
                <w:szCs w:val="7"/>
                <w:color w:val="auto"/>
              </w:rPr>
            </w:pPr>
          </w:p>
        </w:tc>
        <w:tc>
          <w:tcPr>
            <w:tcW w:w="800" w:type="dxa"/>
            <w:vAlign w:val="bottom"/>
            <w:tcBorders>
              <w:bottom w:val="single" w:sz="8" w:color="CB233C"/>
            </w:tcBorders>
          </w:tcPr>
          <w:p>
            <w:pPr>
              <w:spacing w:after="0"/>
              <w:rPr>
                <w:sz w:val="7"/>
                <w:szCs w:val="7"/>
                <w:color w:val="auto"/>
              </w:rPr>
            </w:pPr>
          </w:p>
        </w:tc>
        <w:tc>
          <w:tcPr>
            <w:tcW w:w="800" w:type="dxa"/>
            <w:vAlign w:val="bottom"/>
            <w:tcBorders>
              <w:bottom w:val="single" w:sz="8" w:color="CB233C"/>
            </w:tcBorders>
          </w:tcPr>
          <w:p>
            <w:pPr>
              <w:spacing w:after="0"/>
              <w:rPr>
                <w:sz w:val="7"/>
                <w:szCs w:val="7"/>
                <w:color w:val="auto"/>
              </w:rPr>
            </w:pPr>
          </w:p>
        </w:tc>
        <w:tc>
          <w:tcPr>
            <w:tcW w:w="900" w:type="dxa"/>
            <w:vAlign w:val="bottom"/>
            <w:tcBorders>
              <w:bottom w:val="single" w:sz="8" w:color="CB233C"/>
            </w:tcBorders>
          </w:tcPr>
          <w:p>
            <w:pPr>
              <w:spacing w:after="0"/>
              <w:rPr>
                <w:sz w:val="7"/>
                <w:szCs w:val="7"/>
                <w:color w:val="auto"/>
              </w:rPr>
            </w:pPr>
          </w:p>
        </w:tc>
        <w:tc>
          <w:tcPr>
            <w:tcW w:w="680" w:type="dxa"/>
            <w:vAlign w:val="bottom"/>
            <w:tcBorders>
              <w:bottom w:val="single" w:sz="8" w:color="CB233C"/>
            </w:tcBorders>
          </w:tcPr>
          <w:p>
            <w:pPr>
              <w:spacing w:after="0"/>
              <w:rPr>
                <w:sz w:val="7"/>
                <w:szCs w:val="7"/>
                <w:color w:val="auto"/>
              </w:rPr>
            </w:pPr>
          </w:p>
        </w:tc>
        <w:tc>
          <w:tcPr>
            <w:tcW w:w="780" w:type="dxa"/>
            <w:vAlign w:val="bottom"/>
            <w:tcBorders>
              <w:bottom w:val="single" w:sz="8" w:color="CB233C"/>
            </w:tcBorders>
          </w:tcPr>
          <w:p>
            <w:pPr>
              <w:spacing w:after="0"/>
              <w:rPr>
                <w:sz w:val="7"/>
                <w:szCs w:val="7"/>
                <w:color w:val="auto"/>
              </w:rPr>
            </w:pPr>
          </w:p>
        </w:tc>
        <w:tc>
          <w:tcPr>
            <w:tcW w:w="760" w:type="dxa"/>
            <w:vAlign w:val="bottom"/>
            <w:tcBorders>
              <w:bottom w:val="single" w:sz="8" w:color="CB233C"/>
            </w:tcBorders>
          </w:tcPr>
          <w:p>
            <w:pPr>
              <w:spacing w:after="0"/>
              <w:rPr>
                <w:sz w:val="7"/>
                <w:szCs w:val="7"/>
                <w:color w:val="auto"/>
              </w:rPr>
            </w:pPr>
          </w:p>
        </w:tc>
        <w:tc>
          <w:tcPr>
            <w:tcW w:w="740" w:type="dxa"/>
            <w:vAlign w:val="bottom"/>
            <w:tcBorders>
              <w:bottom w:val="single" w:sz="8" w:color="CB233C"/>
            </w:tcBorders>
          </w:tcPr>
          <w:p>
            <w:pPr>
              <w:spacing w:after="0"/>
              <w:rPr>
                <w:sz w:val="7"/>
                <w:szCs w:val="7"/>
                <w:color w:val="auto"/>
              </w:rPr>
            </w:pPr>
          </w:p>
        </w:tc>
        <w:tc>
          <w:tcPr>
            <w:tcW w:w="260" w:type="dxa"/>
            <w:vAlign w:val="bottom"/>
            <w:tcBorders>
              <w:bottom w:val="single" w:sz="8" w:color="CB233C"/>
            </w:tcBorders>
          </w:tcPr>
          <w:p>
            <w:pPr>
              <w:spacing w:after="0"/>
              <w:rPr>
                <w:sz w:val="7"/>
                <w:szCs w:val="7"/>
                <w:color w:val="auto"/>
              </w:rPr>
            </w:pPr>
          </w:p>
        </w:tc>
        <w:tc>
          <w:tcPr>
            <w:tcW w:w="380" w:type="dxa"/>
            <w:vAlign w:val="bottom"/>
            <w:tcBorders>
              <w:bottom w:val="single" w:sz="8" w:color="CB233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CB233C"/>
            </w:tcBorders>
            <w:gridSpan w:val="2"/>
          </w:tcPr>
          <w:p>
            <w:pPr>
              <w:ind w:left="60"/>
              <w:spacing w:after="0" w:line="183" w:lineRule="exact"/>
              <w:rPr>
                <w:sz w:val="20"/>
                <w:szCs w:val="20"/>
                <w:color w:val="auto"/>
              </w:rPr>
            </w:pPr>
            <w:r>
              <w:rPr>
                <w:rFonts w:ascii="Arial" w:cs="Arial" w:eastAsia="Arial" w:hAnsi="Arial"/>
                <w:sz w:val="16"/>
                <w:szCs w:val="16"/>
                <w:b w:val="1"/>
                <w:bCs w:val="1"/>
                <w:color w:val="CB233C"/>
              </w:rPr>
              <w:t>DEMOGRAPHICS</w:t>
            </w:r>
          </w:p>
        </w:tc>
        <w:tc>
          <w:tcPr>
            <w:tcW w:w="1040" w:type="dxa"/>
            <w:vAlign w:val="bottom"/>
            <w:tcBorders>
              <w:bottom w:val="single" w:sz="8" w:color="CB233C"/>
            </w:tcBorders>
          </w:tcPr>
          <w:p>
            <w:pPr>
              <w:spacing w:after="0"/>
              <w:rPr>
                <w:sz w:val="15"/>
                <w:szCs w:val="15"/>
                <w:color w:val="auto"/>
              </w:rPr>
            </w:pPr>
          </w:p>
        </w:tc>
        <w:tc>
          <w:tcPr>
            <w:tcW w:w="800" w:type="dxa"/>
            <w:vAlign w:val="bottom"/>
            <w:tcBorders>
              <w:bottom w:val="single" w:sz="8" w:color="CB233C"/>
            </w:tcBorders>
          </w:tcPr>
          <w:p>
            <w:pPr>
              <w:spacing w:after="0"/>
              <w:rPr>
                <w:sz w:val="15"/>
                <w:szCs w:val="15"/>
                <w:color w:val="auto"/>
              </w:rPr>
            </w:pPr>
          </w:p>
        </w:tc>
        <w:tc>
          <w:tcPr>
            <w:tcW w:w="800" w:type="dxa"/>
            <w:vAlign w:val="bottom"/>
            <w:tcBorders>
              <w:bottom w:val="single" w:sz="8" w:color="CB233C"/>
            </w:tcBorders>
          </w:tcPr>
          <w:p>
            <w:pPr>
              <w:spacing w:after="0"/>
              <w:rPr>
                <w:sz w:val="15"/>
                <w:szCs w:val="15"/>
                <w:color w:val="auto"/>
              </w:rPr>
            </w:pPr>
          </w:p>
        </w:tc>
        <w:tc>
          <w:tcPr>
            <w:tcW w:w="800" w:type="dxa"/>
            <w:vAlign w:val="bottom"/>
            <w:tcBorders>
              <w:bottom w:val="single" w:sz="8" w:color="CB233C"/>
            </w:tcBorders>
          </w:tcPr>
          <w:p>
            <w:pPr>
              <w:spacing w:after="0"/>
              <w:rPr>
                <w:sz w:val="15"/>
                <w:szCs w:val="15"/>
                <w:color w:val="auto"/>
              </w:rPr>
            </w:pPr>
          </w:p>
        </w:tc>
        <w:tc>
          <w:tcPr>
            <w:tcW w:w="900" w:type="dxa"/>
            <w:vAlign w:val="bottom"/>
            <w:tcBorders>
              <w:bottom w:val="single" w:sz="8" w:color="CB233C"/>
            </w:tcBorders>
          </w:tcPr>
          <w:p>
            <w:pPr>
              <w:spacing w:after="0"/>
              <w:rPr>
                <w:sz w:val="15"/>
                <w:szCs w:val="15"/>
                <w:color w:val="auto"/>
              </w:rPr>
            </w:pPr>
          </w:p>
        </w:tc>
        <w:tc>
          <w:tcPr>
            <w:tcW w:w="680" w:type="dxa"/>
            <w:vAlign w:val="bottom"/>
            <w:tcBorders>
              <w:bottom w:val="single" w:sz="8" w:color="CB233C"/>
            </w:tcBorders>
          </w:tcPr>
          <w:p>
            <w:pPr>
              <w:spacing w:after="0"/>
              <w:rPr>
                <w:sz w:val="15"/>
                <w:szCs w:val="15"/>
                <w:color w:val="auto"/>
              </w:rPr>
            </w:pPr>
          </w:p>
        </w:tc>
        <w:tc>
          <w:tcPr>
            <w:tcW w:w="780" w:type="dxa"/>
            <w:vAlign w:val="bottom"/>
            <w:tcBorders>
              <w:bottom w:val="single" w:sz="8" w:color="CB233C"/>
            </w:tcBorders>
          </w:tcPr>
          <w:p>
            <w:pPr>
              <w:spacing w:after="0"/>
              <w:rPr>
                <w:sz w:val="15"/>
                <w:szCs w:val="15"/>
                <w:color w:val="auto"/>
              </w:rPr>
            </w:pPr>
          </w:p>
        </w:tc>
        <w:tc>
          <w:tcPr>
            <w:tcW w:w="760" w:type="dxa"/>
            <w:vAlign w:val="bottom"/>
            <w:tcBorders>
              <w:bottom w:val="single" w:sz="8" w:color="CB233C"/>
            </w:tcBorders>
          </w:tcPr>
          <w:p>
            <w:pPr>
              <w:spacing w:after="0"/>
              <w:rPr>
                <w:sz w:val="15"/>
                <w:szCs w:val="15"/>
                <w:color w:val="auto"/>
              </w:rPr>
            </w:pPr>
          </w:p>
        </w:tc>
        <w:tc>
          <w:tcPr>
            <w:tcW w:w="740" w:type="dxa"/>
            <w:vAlign w:val="bottom"/>
            <w:tcBorders>
              <w:bottom w:val="single" w:sz="8" w:color="CB233C"/>
            </w:tcBorders>
          </w:tcPr>
          <w:p>
            <w:pPr>
              <w:spacing w:after="0"/>
              <w:rPr>
                <w:sz w:val="15"/>
                <w:szCs w:val="15"/>
                <w:color w:val="auto"/>
              </w:rPr>
            </w:pPr>
          </w:p>
        </w:tc>
        <w:tc>
          <w:tcPr>
            <w:tcW w:w="260" w:type="dxa"/>
            <w:vAlign w:val="bottom"/>
            <w:tcBorders>
              <w:bottom w:val="single" w:sz="8" w:color="CB233C"/>
            </w:tcBorders>
          </w:tcPr>
          <w:p>
            <w:pPr>
              <w:spacing w:after="0"/>
              <w:rPr>
                <w:sz w:val="15"/>
                <w:szCs w:val="15"/>
                <w:color w:val="auto"/>
              </w:rPr>
            </w:pPr>
          </w:p>
        </w:tc>
        <w:tc>
          <w:tcPr>
            <w:tcW w:w="380" w:type="dxa"/>
            <w:vAlign w:val="bottom"/>
            <w:tcBorders>
              <w:bottom w:val="single" w:sz="8" w:color="CB233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120"/>
              <w:spacing w:after="0" w:line="183" w:lineRule="exact"/>
              <w:rPr>
                <w:sz w:val="20"/>
                <w:szCs w:val="20"/>
                <w:color w:val="auto"/>
              </w:rPr>
            </w:pPr>
            <w:r>
              <w:rPr>
                <w:rFonts w:ascii="Arial" w:cs="Arial" w:eastAsia="Arial" w:hAnsi="Arial"/>
                <w:sz w:val="16"/>
                <w:szCs w:val="16"/>
                <w:b w:val="1"/>
                <w:bCs w:val="1"/>
                <w:color w:val="auto"/>
              </w:rPr>
              <w:t>Race/Ethnicity</w:t>
            </w:r>
          </w:p>
        </w:tc>
        <w:tc>
          <w:tcPr>
            <w:tcW w:w="104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680" w:type="dxa"/>
            <w:vAlign w:val="bottom"/>
            <w:tcBorders>
              <w:bottom w:val="single" w:sz="8" w:color="A7A9AC"/>
            </w:tcBorders>
          </w:tcPr>
          <w:p>
            <w:pPr>
              <w:spacing w:after="0"/>
              <w:rPr>
                <w:sz w:val="15"/>
                <w:szCs w:val="15"/>
                <w:color w:val="auto"/>
              </w:rPr>
            </w:pPr>
          </w:p>
        </w:tc>
        <w:tc>
          <w:tcPr>
            <w:tcW w:w="780" w:type="dxa"/>
            <w:vAlign w:val="bottom"/>
            <w:tcBorders>
              <w:bottom w:val="single" w:sz="8" w:color="A7A9AC"/>
            </w:tcBorders>
          </w:tcPr>
          <w:p>
            <w:pPr>
              <w:spacing w:after="0"/>
              <w:rPr>
                <w:sz w:val="15"/>
                <w:szCs w:val="15"/>
                <w:color w:val="auto"/>
              </w:rPr>
            </w:pPr>
          </w:p>
        </w:tc>
        <w:tc>
          <w:tcPr>
            <w:tcW w:w="760" w:type="dxa"/>
            <w:vAlign w:val="bottom"/>
            <w:tcBorders>
              <w:bottom w:val="single" w:sz="8" w:color="A7A9AC"/>
            </w:tcBorders>
          </w:tcPr>
          <w:p>
            <w:pPr>
              <w:spacing w:after="0"/>
              <w:rPr>
                <w:sz w:val="15"/>
                <w:szCs w:val="15"/>
                <w:color w:val="auto"/>
              </w:rPr>
            </w:pPr>
          </w:p>
        </w:tc>
        <w:tc>
          <w:tcPr>
            <w:tcW w:w="740" w:type="dxa"/>
            <w:vAlign w:val="bottom"/>
            <w:tcBorders>
              <w:bottom w:val="single" w:sz="8" w:color="A7A9AC"/>
            </w:tcBorders>
          </w:tcPr>
          <w:p>
            <w:pPr>
              <w:spacing w:after="0"/>
              <w:rPr>
                <w:sz w:val="15"/>
                <w:szCs w:val="15"/>
                <w:color w:val="auto"/>
              </w:rPr>
            </w:pP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180"/>
              <w:spacing w:after="0" w:line="183" w:lineRule="exact"/>
              <w:rPr>
                <w:sz w:val="20"/>
                <w:szCs w:val="20"/>
                <w:color w:val="auto"/>
              </w:rPr>
            </w:pPr>
            <w:r>
              <w:rPr>
                <w:rFonts w:ascii="Arial" w:cs="Arial" w:eastAsia="Arial" w:hAnsi="Arial"/>
                <w:sz w:val="16"/>
                <w:szCs w:val="16"/>
                <w:color w:val="auto"/>
              </w:rPr>
              <w:t>Black/African American</w:t>
            </w:r>
          </w:p>
        </w:tc>
        <w:tc>
          <w:tcPr>
            <w:tcW w:w="104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680" w:type="dxa"/>
            <w:vAlign w:val="bottom"/>
            <w:tcBorders>
              <w:bottom w:val="single" w:sz="8" w:color="A7A9AC"/>
            </w:tcBorders>
          </w:tcPr>
          <w:p>
            <w:pPr>
              <w:spacing w:after="0"/>
              <w:rPr>
                <w:sz w:val="15"/>
                <w:szCs w:val="15"/>
                <w:color w:val="auto"/>
              </w:rPr>
            </w:pPr>
          </w:p>
        </w:tc>
        <w:tc>
          <w:tcPr>
            <w:tcW w:w="780" w:type="dxa"/>
            <w:vAlign w:val="bottom"/>
            <w:tcBorders>
              <w:bottom w:val="single" w:sz="8" w:color="A7A9AC"/>
            </w:tcBorders>
          </w:tcPr>
          <w:p>
            <w:pPr>
              <w:spacing w:after="0"/>
              <w:rPr>
                <w:sz w:val="15"/>
                <w:szCs w:val="15"/>
                <w:color w:val="auto"/>
              </w:rPr>
            </w:pPr>
          </w:p>
        </w:tc>
        <w:tc>
          <w:tcPr>
            <w:tcW w:w="760" w:type="dxa"/>
            <w:vAlign w:val="bottom"/>
            <w:tcBorders>
              <w:bottom w:val="single" w:sz="8" w:color="A7A9AC"/>
            </w:tcBorders>
          </w:tcPr>
          <w:p>
            <w:pPr>
              <w:spacing w:after="0"/>
              <w:rPr>
                <w:sz w:val="15"/>
                <w:szCs w:val="15"/>
                <w:color w:val="auto"/>
              </w:rPr>
            </w:pPr>
          </w:p>
        </w:tc>
        <w:tc>
          <w:tcPr>
            <w:tcW w:w="740" w:type="dxa"/>
            <w:vAlign w:val="bottom"/>
            <w:tcBorders>
              <w:bottom w:val="single" w:sz="8" w:color="A7A9AC"/>
            </w:tcBorders>
          </w:tcPr>
          <w:p>
            <w:pPr>
              <w:spacing w:after="0"/>
              <w:rPr>
                <w:sz w:val="15"/>
                <w:szCs w:val="15"/>
                <w:color w:val="auto"/>
              </w:rPr>
            </w:pP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180"/>
              <w:spacing w:after="0" w:line="183" w:lineRule="exact"/>
              <w:rPr>
                <w:sz w:val="20"/>
                <w:szCs w:val="20"/>
                <w:color w:val="auto"/>
              </w:rPr>
            </w:pPr>
            <w:r>
              <w:rPr>
                <w:rFonts w:ascii="Arial" w:cs="Arial" w:eastAsia="Arial" w:hAnsi="Arial"/>
                <w:sz w:val="16"/>
                <w:szCs w:val="16"/>
                <w:color w:val="auto"/>
              </w:rPr>
              <w:t>Indian/South Asian</w:t>
            </w:r>
          </w:p>
        </w:tc>
        <w:tc>
          <w:tcPr>
            <w:tcW w:w="104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680" w:type="dxa"/>
            <w:vAlign w:val="bottom"/>
            <w:tcBorders>
              <w:bottom w:val="single" w:sz="8" w:color="A7A9AC"/>
            </w:tcBorders>
          </w:tcPr>
          <w:p>
            <w:pPr>
              <w:spacing w:after="0"/>
              <w:rPr>
                <w:sz w:val="15"/>
                <w:szCs w:val="15"/>
                <w:color w:val="auto"/>
              </w:rPr>
            </w:pPr>
          </w:p>
        </w:tc>
        <w:tc>
          <w:tcPr>
            <w:tcW w:w="780" w:type="dxa"/>
            <w:vAlign w:val="bottom"/>
            <w:tcBorders>
              <w:bottom w:val="single" w:sz="8" w:color="A7A9AC"/>
            </w:tcBorders>
          </w:tcPr>
          <w:p>
            <w:pPr>
              <w:spacing w:after="0"/>
              <w:rPr>
                <w:sz w:val="15"/>
                <w:szCs w:val="15"/>
                <w:color w:val="auto"/>
              </w:rPr>
            </w:pPr>
          </w:p>
        </w:tc>
        <w:tc>
          <w:tcPr>
            <w:tcW w:w="760" w:type="dxa"/>
            <w:vAlign w:val="bottom"/>
            <w:tcBorders>
              <w:bottom w:val="single" w:sz="8" w:color="A7A9AC"/>
            </w:tcBorders>
          </w:tcPr>
          <w:p>
            <w:pPr>
              <w:spacing w:after="0"/>
              <w:rPr>
                <w:sz w:val="15"/>
                <w:szCs w:val="15"/>
                <w:color w:val="auto"/>
              </w:rPr>
            </w:pPr>
          </w:p>
        </w:tc>
        <w:tc>
          <w:tcPr>
            <w:tcW w:w="740" w:type="dxa"/>
            <w:vAlign w:val="bottom"/>
            <w:tcBorders>
              <w:bottom w:val="single" w:sz="8" w:color="A7A9AC"/>
            </w:tcBorders>
          </w:tcPr>
          <w:p>
            <w:pPr>
              <w:spacing w:after="0"/>
              <w:rPr>
                <w:sz w:val="15"/>
                <w:szCs w:val="15"/>
                <w:color w:val="auto"/>
              </w:rPr>
            </w:pP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180"/>
              <w:spacing w:after="0" w:line="183" w:lineRule="exact"/>
              <w:rPr>
                <w:sz w:val="20"/>
                <w:szCs w:val="20"/>
                <w:color w:val="auto"/>
              </w:rPr>
            </w:pPr>
            <w:r>
              <w:rPr>
                <w:rFonts w:ascii="Arial" w:cs="Arial" w:eastAsia="Arial" w:hAnsi="Arial"/>
                <w:sz w:val="16"/>
                <w:szCs w:val="16"/>
                <w:color w:val="auto"/>
              </w:rPr>
              <w:t>White/Caucasian</w:t>
            </w:r>
          </w:p>
        </w:tc>
        <w:tc>
          <w:tcPr>
            <w:tcW w:w="104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680" w:type="dxa"/>
            <w:vAlign w:val="bottom"/>
            <w:tcBorders>
              <w:bottom w:val="single" w:sz="8" w:color="A7A9AC"/>
            </w:tcBorders>
          </w:tcPr>
          <w:p>
            <w:pPr>
              <w:spacing w:after="0"/>
              <w:rPr>
                <w:sz w:val="15"/>
                <w:szCs w:val="15"/>
                <w:color w:val="auto"/>
              </w:rPr>
            </w:pPr>
          </w:p>
        </w:tc>
        <w:tc>
          <w:tcPr>
            <w:tcW w:w="780" w:type="dxa"/>
            <w:vAlign w:val="bottom"/>
            <w:tcBorders>
              <w:bottom w:val="single" w:sz="8" w:color="A7A9AC"/>
            </w:tcBorders>
          </w:tcPr>
          <w:p>
            <w:pPr>
              <w:spacing w:after="0"/>
              <w:rPr>
                <w:sz w:val="15"/>
                <w:szCs w:val="15"/>
                <w:color w:val="auto"/>
              </w:rPr>
            </w:pPr>
          </w:p>
        </w:tc>
        <w:tc>
          <w:tcPr>
            <w:tcW w:w="760" w:type="dxa"/>
            <w:vAlign w:val="bottom"/>
            <w:tcBorders>
              <w:bottom w:val="single" w:sz="8" w:color="A7A9AC"/>
            </w:tcBorders>
          </w:tcPr>
          <w:p>
            <w:pPr>
              <w:spacing w:after="0"/>
              <w:rPr>
                <w:sz w:val="15"/>
                <w:szCs w:val="15"/>
                <w:color w:val="auto"/>
              </w:rPr>
            </w:pPr>
          </w:p>
        </w:tc>
        <w:tc>
          <w:tcPr>
            <w:tcW w:w="740" w:type="dxa"/>
            <w:vAlign w:val="bottom"/>
            <w:tcBorders>
              <w:bottom w:val="single" w:sz="8" w:color="A7A9AC"/>
            </w:tcBorders>
          </w:tcPr>
          <w:p>
            <w:pPr>
              <w:spacing w:after="0"/>
              <w:rPr>
                <w:sz w:val="15"/>
                <w:szCs w:val="15"/>
                <w:color w:val="auto"/>
              </w:rPr>
            </w:pP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180"/>
              <w:spacing w:after="0" w:line="183" w:lineRule="exact"/>
              <w:rPr>
                <w:sz w:val="20"/>
                <w:szCs w:val="20"/>
                <w:color w:val="auto"/>
              </w:rPr>
            </w:pPr>
            <w:r>
              <w:rPr>
                <w:rFonts w:ascii="Arial" w:cs="Arial" w:eastAsia="Arial" w:hAnsi="Arial"/>
                <w:sz w:val="16"/>
                <w:szCs w:val="16"/>
                <w:color w:val="auto"/>
              </w:rPr>
              <w:t>Middle Eastern</w:t>
            </w:r>
          </w:p>
        </w:tc>
        <w:tc>
          <w:tcPr>
            <w:tcW w:w="104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680" w:type="dxa"/>
            <w:vAlign w:val="bottom"/>
            <w:tcBorders>
              <w:bottom w:val="single" w:sz="8" w:color="A7A9AC"/>
            </w:tcBorders>
          </w:tcPr>
          <w:p>
            <w:pPr>
              <w:spacing w:after="0"/>
              <w:rPr>
                <w:sz w:val="15"/>
                <w:szCs w:val="15"/>
                <w:color w:val="auto"/>
              </w:rPr>
            </w:pPr>
          </w:p>
        </w:tc>
        <w:tc>
          <w:tcPr>
            <w:tcW w:w="780" w:type="dxa"/>
            <w:vAlign w:val="bottom"/>
            <w:tcBorders>
              <w:bottom w:val="single" w:sz="8" w:color="A7A9AC"/>
            </w:tcBorders>
          </w:tcPr>
          <w:p>
            <w:pPr>
              <w:spacing w:after="0"/>
              <w:rPr>
                <w:sz w:val="15"/>
                <w:szCs w:val="15"/>
                <w:color w:val="auto"/>
              </w:rPr>
            </w:pPr>
          </w:p>
        </w:tc>
        <w:tc>
          <w:tcPr>
            <w:tcW w:w="760" w:type="dxa"/>
            <w:vAlign w:val="bottom"/>
            <w:tcBorders>
              <w:bottom w:val="single" w:sz="8" w:color="A7A9AC"/>
            </w:tcBorders>
          </w:tcPr>
          <w:p>
            <w:pPr>
              <w:spacing w:after="0"/>
              <w:rPr>
                <w:sz w:val="15"/>
                <w:szCs w:val="15"/>
                <w:color w:val="auto"/>
              </w:rPr>
            </w:pPr>
          </w:p>
        </w:tc>
        <w:tc>
          <w:tcPr>
            <w:tcW w:w="740" w:type="dxa"/>
            <w:vAlign w:val="bottom"/>
            <w:tcBorders>
              <w:bottom w:val="single" w:sz="8" w:color="A7A9AC"/>
            </w:tcBorders>
          </w:tcPr>
          <w:p>
            <w:pPr>
              <w:spacing w:after="0"/>
              <w:rPr>
                <w:sz w:val="15"/>
                <w:szCs w:val="15"/>
                <w:color w:val="auto"/>
              </w:rPr>
            </w:pP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180"/>
              <w:spacing w:after="0" w:line="183" w:lineRule="exact"/>
              <w:rPr>
                <w:sz w:val="20"/>
                <w:szCs w:val="20"/>
                <w:color w:val="auto"/>
              </w:rPr>
            </w:pPr>
            <w:r>
              <w:rPr>
                <w:rFonts w:ascii="Arial" w:cs="Arial" w:eastAsia="Arial" w:hAnsi="Arial"/>
                <w:sz w:val="16"/>
                <w:szCs w:val="16"/>
                <w:color w:val="auto"/>
              </w:rPr>
              <w:t>Native American</w:t>
            </w:r>
          </w:p>
        </w:tc>
        <w:tc>
          <w:tcPr>
            <w:tcW w:w="104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680" w:type="dxa"/>
            <w:vAlign w:val="bottom"/>
            <w:tcBorders>
              <w:bottom w:val="single" w:sz="8" w:color="A7A9AC"/>
            </w:tcBorders>
          </w:tcPr>
          <w:p>
            <w:pPr>
              <w:spacing w:after="0"/>
              <w:rPr>
                <w:sz w:val="15"/>
                <w:szCs w:val="15"/>
                <w:color w:val="auto"/>
              </w:rPr>
            </w:pPr>
          </w:p>
        </w:tc>
        <w:tc>
          <w:tcPr>
            <w:tcW w:w="780" w:type="dxa"/>
            <w:vAlign w:val="bottom"/>
            <w:tcBorders>
              <w:bottom w:val="single" w:sz="8" w:color="A7A9AC"/>
            </w:tcBorders>
          </w:tcPr>
          <w:p>
            <w:pPr>
              <w:spacing w:after="0"/>
              <w:rPr>
                <w:sz w:val="15"/>
                <w:szCs w:val="15"/>
                <w:color w:val="auto"/>
              </w:rPr>
            </w:pPr>
          </w:p>
        </w:tc>
        <w:tc>
          <w:tcPr>
            <w:tcW w:w="760" w:type="dxa"/>
            <w:vAlign w:val="bottom"/>
            <w:tcBorders>
              <w:bottom w:val="single" w:sz="8" w:color="A7A9AC"/>
            </w:tcBorders>
          </w:tcPr>
          <w:p>
            <w:pPr>
              <w:spacing w:after="0"/>
              <w:rPr>
                <w:sz w:val="15"/>
                <w:szCs w:val="15"/>
                <w:color w:val="auto"/>
              </w:rPr>
            </w:pPr>
          </w:p>
        </w:tc>
        <w:tc>
          <w:tcPr>
            <w:tcW w:w="740" w:type="dxa"/>
            <w:vAlign w:val="bottom"/>
            <w:tcBorders>
              <w:bottom w:val="single" w:sz="8" w:color="A7A9AC"/>
            </w:tcBorders>
          </w:tcPr>
          <w:p>
            <w:pPr>
              <w:spacing w:after="0"/>
              <w:rPr>
                <w:sz w:val="15"/>
                <w:szCs w:val="15"/>
                <w:color w:val="auto"/>
              </w:rPr>
            </w:pP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120"/>
              <w:spacing w:after="0" w:line="183" w:lineRule="exact"/>
              <w:rPr>
                <w:sz w:val="20"/>
                <w:szCs w:val="20"/>
                <w:color w:val="auto"/>
              </w:rPr>
            </w:pPr>
            <w:r>
              <w:rPr>
                <w:rFonts w:ascii="Arial" w:cs="Arial" w:eastAsia="Arial" w:hAnsi="Arial"/>
                <w:sz w:val="16"/>
                <w:szCs w:val="16"/>
                <w:b w:val="1"/>
                <w:bCs w:val="1"/>
                <w:color w:val="auto"/>
              </w:rPr>
              <w:t>Gender</w:t>
            </w:r>
          </w:p>
        </w:tc>
        <w:tc>
          <w:tcPr>
            <w:tcW w:w="104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680" w:type="dxa"/>
            <w:vAlign w:val="bottom"/>
            <w:tcBorders>
              <w:bottom w:val="single" w:sz="8" w:color="A7A9AC"/>
            </w:tcBorders>
          </w:tcPr>
          <w:p>
            <w:pPr>
              <w:spacing w:after="0"/>
              <w:rPr>
                <w:sz w:val="15"/>
                <w:szCs w:val="15"/>
                <w:color w:val="auto"/>
              </w:rPr>
            </w:pPr>
          </w:p>
        </w:tc>
        <w:tc>
          <w:tcPr>
            <w:tcW w:w="780" w:type="dxa"/>
            <w:vAlign w:val="bottom"/>
            <w:tcBorders>
              <w:bottom w:val="single" w:sz="8" w:color="A7A9AC"/>
            </w:tcBorders>
          </w:tcPr>
          <w:p>
            <w:pPr>
              <w:spacing w:after="0"/>
              <w:rPr>
                <w:sz w:val="15"/>
                <w:szCs w:val="15"/>
                <w:color w:val="auto"/>
              </w:rPr>
            </w:pPr>
          </w:p>
        </w:tc>
        <w:tc>
          <w:tcPr>
            <w:tcW w:w="760" w:type="dxa"/>
            <w:vAlign w:val="bottom"/>
            <w:tcBorders>
              <w:bottom w:val="single" w:sz="8" w:color="A7A9AC"/>
            </w:tcBorders>
          </w:tcPr>
          <w:p>
            <w:pPr>
              <w:spacing w:after="0"/>
              <w:rPr>
                <w:sz w:val="15"/>
                <w:szCs w:val="15"/>
                <w:color w:val="auto"/>
              </w:rPr>
            </w:pPr>
          </w:p>
        </w:tc>
        <w:tc>
          <w:tcPr>
            <w:tcW w:w="740" w:type="dxa"/>
            <w:vAlign w:val="bottom"/>
            <w:tcBorders>
              <w:bottom w:val="single" w:sz="8" w:color="A7A9AC"/>
            </w:tcBorders>
          </w:tcPr>
          <w:p>
            <w:pPr>
              <w:spacing w:after="0"/>
              <w:rPr>
                <w:sz w:val="15"/>
                <w:szCs w:val="15"/>
                <w:color w:val="auto"/>
              </w:rPr>
            </w:pP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7A9AC"/>
            </w:tcBorders>
            <w:gridSpan w:val="2"/>
          </w:tcPr>
          <w:p>
            <w:pPr>
              <w:ind w:left="180"/>
              <w:spacing w:after="0" w:line="183" w:lineRule="exact"/>
              <w:rPr>
                <w:sz w:val="20"/>
                <w:szCs w:val="20"/>
                <w:color w:val="auto"/>
              </w:rPr>
            </w:pPr>
            <w:r>
              <w:rPr>
                <w:rFonts w:ascii="Arial" w:cs="Arial" w:eastAsia="Arial" w:hAnsi="Arial"/>
                <w:sz w:val="16"/>
                <w:szCs w:val="16"/>
                <w:color w:val="auto"/>
              </w:rPr>
              <w:t>Male</w:t>
            </w:r>
          </w:p>
        </w:tc>
        <w:tc>
          <w:tcPr>
            <w:tcW w:w="104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80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680" w:type="dxa"/>
            <w:vAlign w:val="bottom"/>
            <w:tcBorders>
              <w:bottom w:val="single" w:sz="8" w:color="A7A9AC"/>
            </w:tcBorders>
          </w:tcPr>
          <w:p>
            <w:pPr>
              <w:spacing w:after="0"/>
              <w:rPr>
                <w:sz w:val="15"/>
                <w:szCs w:val="15"/>
                <w:color w:val="auto"/>
              </w:rPr>
            </w:pPr>
          </w:p>
        </w:tc>
        <w:tc>
          <w:tcPr>
            <w:tcW w:w="780" w:type="dxa"/>
            <w:vAlign w:val="bottom"/>
            <w:tcBorders>
              <w:bottom w:val="single" w:sz="8" w:color="A7A9AC"/>
            </w:tcBorders>
          </w:tcPr>
          <w:p>
            <w:pPr>
              <w:spacing w:after="0"/>
              <w:rPr>
                <w:sz w:val="15"/>
                <w:szCs w:val="15"/>
                <w:color w:val="auto"/>
              </w:rPr>
            </w:pPr>
          </w:p>
        </w:tc>
        <w:tc>
          <w:tcPr>
            <w:tcW w:w="760" w:type="dxa"/>
            <w:vAlign w:val="bottom"/>
            <w:tcBorders>
              <w:bottom w:val="single" w:sz="8" w:color="A7A9AC"/>
            </w:tcBorders>
          </w:tcPr>
          <w:p>
            <w:pPr>
              <w:spacing w:after="0"/>
              <w:rPr>
                <w:sz w:val="15"/>
                <w:szCs w:val="15"/>
                <w:color w:val="auto"/>
              </w:rPr>
            </w:pPr>
          </w:p>
        </w:tc>
        <w:tc>
          <w:tcPr>
            <w:tcW w:w="740" w:type="dxa"/>
            <w:vAlign w:val="bottom"/>
            <w:tcBorders>
              <w:bottom w:val="single" w:sz="8" w:color="A7A9AC"/>
            </w:tcBorders>
          </w:tcPr>
          <w:p>
            <w:pPr>
              <w:spacing w:after="0"/>
              <w:rPr>
                <w:sz w:val="15"/>
                <w:szCs w:val="15"/>
                <w:color w:val="auto"/>
              </w:rPr>
            </w:pPr>
          </w:p>
        </w:tc>
        <w:tc>
          <w:tcPr>
            <w:tcW w:w="260" w:type="dxa"/>
            <w:vAlign w:val="bottom"/>
            <w:tcBorders>
              <w:bottom w:val="single" w:sz="8" w:color="A7A9AC"/>
            </w:tcBorders>
          </w:tcPr>
          <w:p>
            <w:pPr>
              <w:spacing w:after="0"/>
              <w:rPr>
                <w:sz w:val="15"/>
                <w:szCs w:val="15"/>
                <w:color w:val="auto"/>
              </w:rPr>
            </w:pPr>
          </w:p>
        </w:tc>
        <w:tc>
          <w:tcPr>
            <w:tcW w:w="380" w:type="dxa"/>
            <w:vAlign w:val="bottom"/>
            <w:tcBorders>
              <w:bottom w:val="single" w:sz="8" w:color="A7A9A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uto"/>
            </w:tcBorders>
            <w:gridSpan w:val="2"/>
          </w:tcPr>
          <w:p>
            <w:pPr>
              <w:ind w:left="180"/>
              <w:spacing w:after="0" w:line="183" w:lineRule="exact"/>
              <w:rPr>
                <w:sz w:val="20"/>
                <w:szCs w:val="20"/>
                <w:color w:val="auto"/>
              </w:rPr>
            </w:pPr>
            <w:r>
              <w:rPr>
                <w:rFonts w:ascii="Arial" w:cs="Arial" w:eastAsia="Arial" w:hAnsi="Arial"/>
                <w:sz w:val="16"/>
                <w:szCs w:val="16"/>
                <w:color w:val="auto"/>
              </w:rPr>
              <w:t>Female</w:t>
            </w:r>
          </w:p>
        </w:tc>
        <w:tc>
          <w:tcPr>
            <w:tcW w:w="10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1740" w:type="dxa"/>
            <w:vAlign w:val="bottom"/>
            <w:tcBorders>
              <w:bottom w:val="single" w:sz="8" w:color="CB233C"/>
            </w:tcBorders>
          </w:tcPr>
          <w:p>
            <w:pPr>
              <w:spacing w:after="0"/>
              <w:rPr>
                <w:sz w:val="7"/>
                <w:szCs w:val="7"/>
                <w:color w:val="auto"/>
              </w:rPr>
            </w:pPr>
          </w:p>
        </w:tc>
        <w:tc>
          <w:tcPr>
            <w:tcW w:w="1560" w:type="dxa"/>
            <w:vAlign w:val="bottom"/>
            <w:tcBorders>
              <w:bottom w:val="single" w:sz="8" w:color="CB233C"/>
            </w:tcBorders>
          </w:tcPr>
          <w:p>
            <w:pPr>
              <w:spacing w:after="0"/>
              <w:rPr>
                <w:sz w:val="7"/>
                <w:szCs w:val="7"/>
                <w:color w:val="auto"/>
              </w:rPr>
            </w:pPr>
          </w:p>
        </w:tc>
        <w:tc>
          <w:tcPr>
            <w:tcW w:w="1040" w:type="dxa"/>
            <w:vAlign w:val="bottom"/>
            <w:tcBorders>
              <w:bottom w:val="single" w:sz="8" w:color="CB233C"/>
            </w:tcBorders>
          </w:tcPr>
          <w:p>
            <w:pPr>
              <w:spacing w:after="0"/>
              <w:rPr>
                <w:sz w:val="7"/>
                <w:szCs w:val="7"/>
                <w:color w:val="auto"/>
              </w:rPr>
            </w:pPr>
          </w:p>
        </w:tc>
        <w:tc>
          <w:tcPr>
            <w:tcW w:w="800" w:type="dxa"/>
            <w:vAlign w:val="bottom"/>
            <w:tcBorders>
              <w:bottom w:val="single" w:sz="8" w:color="CB233C"/>
            </w:tcBorders>
          </w:tcPr>
          <w:p>
            <w:pPr>
              <w:spacing w:after="0"/>
              <w:rPr>
                <w:sz w:val="7"/>
                <w:szCs w:val="7"/>
                <w:color w:val="auto"/>
              </w:rPr>
            </w:pPr>
          </w:p>
        </w:tc>
        <w:tc>
          <w:tcPr>
            <w:tcW w:w="800" w:type="dxa"/>
            <w:vAlign w:val="bottom"/>
            <w:tcBorders>
              <w:bottom w:val="single" w:sz="8" w:color="CB233C"/>
            </w:tcBorders>
          </w:tcPr>
          <w:p>
            <w:pPr>
              <w:spacing w:after="0"/>
              <w:rPr>
                <w:sz w:val="7"/>
                <w:szCs w:val="7"/>
                <w:color w:val="auto"/>
              </w:rPr>
            </w:pPr>
          </w:p>
        </w:tc>
        <w:tc>
          <w:tcPr>
            <w:tcW w:w="800" w:type="dxa"/>
            <w:vAlign w:val="bottom"/>
            <w:tcBorders>
              <w:bottom w:val="single" w:sz="8" w:color="CB233C"/>
            </w:tcBorders>
          </w:tcPr>
          <w:p>
            <w:pPr>
              <w:spacing w:after="0"/>
              <w:rPr>
                <w:sz w:val="7"/>
                <w:szCs w:val="7"/>
                <w:color w:val="auto"/>
              </w:rPr>
            </w:pPr>
          </w:p>
        </w:tc>
        <w:tc>
          <w:tcPr>
            <w:tcW w:w="900" w:type="dxa"/>
            <w:vAlign w:val="bottom"/>
            <w:tcBorders>
              <w:bottom w:val="single" w:sz="8" w:color="CB233C"/>
            </w:tcBorders>
          </w:tcPr>
          <w:p>
            <w:pPr>
              <w:spacing w:after="0"/>
              <w:rPr>
                <w:sz w:val="7"/>
                <w:szCs w:val="7"/>
                <w:color w:val="auto"/>
              </w:rPr>
            </w:pPr>
          </w:p>
        </w:tc>
        <w:tc>
          <w:tcPr>
            <w:tcW w:w="680" w:type="dxa"/>
            <w:vAlign w:val="bottom"/>
            <w:tcBorders>
              <w:bottom w:val="single" w:sz="8" w:color="CB233C"/>
            </w:tcBorders>
          </w:tcPr>
          <w:p>
            <w:pPr>
              <w:spacing w:after="0"/>
              <w:rPr>
                <w:sz w:val="7"/>
                <w:szCs w:val="7"/>
                <w:color w:val="auto"/>
              </w:rPr>
            </w:pPr>
          </w:p>
        </w:tc>
        <w:tc>
          <w:tcPr>
            <w:tcW w:w="780" w:type="dxa"/>
            <w:vAlign w:val="bottom"/>
            <w:tcBorders>
              <w:bottom w:val="single" w:sz="8" w:color="CB233C"/>
            </w:tcBorders>
          </w:tcPr>
          <w:p>
            <w:pPr>
              <w:spacing w:after="0"/>
              <w:rPr>
                <w:sz w:val="7"/>
                <w:szCs w:val="7"/>
                <w:color w:val="auto"/>
              </w:rPr>
            </w:pPr>
          </w:p>
        </w:tc>
        <w:tc>
          <w:tcPr>
            <w:tcW w:w="760" w:type="dxa"/>
            <w:vAlign w:val="bottom"/>
            <w:tcBorders>
              <w:bottom w:val="single" w:sz="8" w:color="CB233C"/>
            </w:tcBorders>
          </w:tcPr>
          <w:p>
            <w:pPr>
              <w:spacing w:after="0"/>
              <w:rPr>
                <w:sz w:val="7"/>
                <w:szCs w:val="7"/>
                <w:color w:val="auto"/>
              </w:rPr>
            </w:pPr>
          </w:p>
        </w:tc>
        <w:tc>
          <w:tcPr>
            <w:tcW w:w="740" w:type="dxa"/>
            <w:vAlign w:val="bottom"/>
            <w:tcBorders>
              <w:bottom w:val="single" w:sz="8" w:color="CB233C"/>
            </w:tcBorders>
          </w:tcPr>
          <w:p>
            <w:pPr>
              <w:spacing w:after="0"/>
              <w:rPr>
                <w:sz w:val="7"/>
                <w:szCs w:val="7"/>
                <w:color w:val="auto"/>
              </w:rPr>
            </w:pPr>
          </w:p>
        </w:tc>
        <w:tc>
          <w:tcPr>
            <w:tcW w:w="260" w:type="dxa"/>
            <w:vAlign w:val="bottom"/>
            <w:tcBorders>
              <w:bottom w:val="single" w:sz="8" w:color="CB233C"/>
            </w:tcBorders>
          </w:tcPr>
          <w:p>
            <w:pPr>
              <w:spacing w:after="0"/>
              <w:rPr>
                <w:sz w:val="7"/>
                <w:szCs w:val="7"/>
                <w:color w:val="auto"/>
              </w:rPr>
            </w:pPr>
          </w:p>
        </w:tc>
        <w:tc>
          <w:tcPr>
            <w:tcW w:w="380" w:type="dxa"/>
            <w:vAlign w:val="bottom"/>
            <w:tcBorders>
              <w:bottom w:val="single" w:sz="8" w:color="CB233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1"/>
        </w:trPr>
        <w:tc>
          <w:tcPr>
            <w:tcW w:w="1740" w:type="dxa"/>
            <w:vAlign w:val="bottom"/>
            <w:vMerge w:val="restart"/>
          </w:tcPr>
          <w:p>
            <w:pPr>
              <w:spacing w:after="0"/>
              <w:rPr>
                <w:sz w:val="20"/>
                <w:szCs w:val="20"/>
                <w:color w:val="auto"/>
              </w:rPr>
            </w:pPr>
            <w:r>
              <w:rPr>
                <w:rFonts w:ascii="Arial" w:cs="Arial" w:eastAsia="Arial" w:hAnsi="Arial"/>
                <w:sz w:val="16"/>
                <w:szCs w:val="16"/>
                <w:b w:val="1"/>
                <w:bCs w:val="1"/>
                <w:color w:val="CB233C"/>
              </w:rPr>
              <w:t>www.halliburton.com</w:t>
            </w:r>
          </w:p>
        </w:tc>
        <w:tc>
          <w:tcPr>
            <w:tcW w:w="1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20" w:type="dxa"/>
            <w:vAlign w:val="bottom"/>
            <w:gridSpan w:val="5"/>
            <w:vMerge w:val="restart"/>
          </w:tcPr>
          <w:p>
            <w:pPr>
              <w:ind w:left="100"/>
              <w:spacing w:after="0"/>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231F20"/>
              </w:rPr>
              <w:t>16</w:t>
            </w:r>
          </w:p>
        </w:tc>
        <w:tc>
          <w:tcPr>
            <w:tcW w:w="0" w:type="dxa"/>
            <w:vAlign w:val="bottom"/>
          </w:tcPr>
          <w:p>
            <w:pPr>
              <w:spacing w:after="0"/>
              <w:rPr>
                <w:sz w:val="1"/>
                <w:szCs w:val="1"/>
                <w:color w:val="auto"/>
              </w:rPr>
            </w:pPr>
          </w:p>
        </w:tc>
      </w:tr>
      <w:tr>
        <w:trPr>
          <w:trHeight w:val="94"/>
        </w:trPr>
        <w:tc>
          <w:tcPr>
            <w:tcW w:w="174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20" w:type="dxa"/>
            <w:vAlign w:val="bottom"/>
            <w:gridSpan w:val="5"/>
            <w:vMerge w:val="continue"/>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1740" w:type="dxa"/>
            <w:vAlign w:val="bottom"/>
            <w:tcBorders>
              <w:bottom w:val="single" w:sz="8" w:color="C0C0C0"/>
            </w:tcBorders>
          </w:tcPr>
          <w:p>
            <w:pPr>
              <w:spacing w:after="0"/>
              <w:rPr>
                <w:sz w:val="24"/>
                <w:szCs w:val="24"/>
                <w:color w:val="auto"/>
              </w:rPr>
            </w:pPr>
          </w:p>
        </w:tc>
        <w:tc>
          <w:tcPr>
            <w:tcW w:w="1560" w:type="dxa"/>
            <w:vAlign w:val="bottom"/>
            <w:tcBorders>
              <w:bottom w:val="single" w:sz="8" w:color="C0C0C0"/>
            </w:tcBorders>
          </w:tcPr>
          <w:p>
            <w:pPr>
              <w:spacing w:after="0"/>
              <w:rPr>
                <w:sz w:val="24"/>
                <w:szCs w:val="24"/>
                <w:color w:val="auto"/>
              </w:rPr>
            </w:pPr>
          </w:p>
        </w:tc>
        <w:tc>
          <w:tcPr>
            <w:tcW w:w="1040" w:type="dxa"/>
            <w:vAlign w:val="bottom"/>
            <w:tcBorders>
              <w:bottom w:val="single" w:sz="8" w:color="C0C0C0"/>
            </w:tcBorders>
          </w:tcPr>
          <w:p>
            <w:pPr>
              <w:spacing w:after="0"/>
              <w:rPr>
                <w:sz w:val="24"/>
                <w:szCs w:val="24"/>
                <w:color w:val="auto"/>
              </w:rPr>
            </w:pPr>
          </w:p>
        </w:tc>
        <w:tc>
          <w:tcPr>
            <w:tcW w:w="800" w:type="dxa"/>
            <w:vAlign w:val="bottom"/>
            <w:tcBorders>
              <w:bottom w:val="single" w:sz="8" w:color="C0C0C0"/>
            </w:tcBorders>
          </w:tcPr>
          <w:p>
            <w:pPr>
              <w:spacing w:after="0"/>
              <w:rPr>
                <w:sz w:val="24"/>
                <w:szCs w:val="24"/>
                <w:color w:val="auto"/>
              </w:rPr>
            </w:pPr>
          </w:p>
        </w:tc>
        <w:tc>
          <w:tcPr>
            <w:tcW w:w="800" w:type="dxa"/>
            <w:vAlign w:val="bottom"/>
            <w:tcBorders>
              <w:bottom w:val="single" w:sz="8" w:color="C0C0C0"/>
            </w:tcBorders>
          </w:tcPr>
          <w:p>
            <w:pPr>
              <w:spacing w:after="0"/>
              <w:rPr>
                <w:sz w:val="24"/>
                <w:szCs w:val="24"/>
                <w:color w:val="auto"/>
              </w:rPr>
            </w:pPr>
          </w:p>
        </w:tc>
        <w:tc>
          <w:tcPr>
            <w:tcW w:w="80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680" w:type="dxa"/>
            <w:vAlign w:val="bottom"/>
            <w:tcBorders>
              <w:bottom w:val="single" w:sz="8" w:color="C0C0C0"/>
            </w:tcBorders>
          </w:tcPr>
          <w:p>
            <w:pPr>
              <w:spacing w:after="0"/>
              <w:rPr>
                <w:sz w:val="24"/>
                <w:szCs w:val="24"/>
                <w:color w:val="auto"/>
              </w:rPr>
            </w:pPr>
          </w:p>
        </w:tc>
        <w:tc>
          <w:tcPr>
            <w:tcW w:w="780" w:type="dxa"/>
            <w:vAlign w:val="bottom"/>
            <w:tcBorders>
              <w:bottom w:val="single" w:sz="8" w:color="C0C0C0"/>
            </w:tcBorders>
          </w:tcPr>
          <w:p>
            <w:pPr>
              <w:spacing w:after="0"/>
              <w:rPr>
                <w:sz w:val="24"/>
                <w:szCs w:val="24"/>
                <w:color w:val="auto"/>
              </w:rPr>
            </w:pPr>
          </w:p>
        </w:tc>
        <w:tc>
          <w:tcPr>
            <w:tcW w:w="760" w:type="dxa"/>
            <w:vAlign w:val="bottom"/>
            <w:tcBorders>
              <w:bottom w:val="single" w:sz="8" w:color="C0C0C0"/>
            </w:tcBorders>
          </w:tcPr>
          <w:p>
            <w:pPr>
              <w:spacing w:after="0"/>
              <w:rPr>
                <w:sz w:val="24"/>
                <w:szCs w:val="24"/>
                <w:color w:val="auto"/>
              </w:rPr>
            </w:pPr>
          </w:p>
        </w:tc>
        <w:tc>
          <w:tcPr>
            <w:tcW w:w="74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380" w:type="dxa"/>
            <w:vAlign w:val="bottom"/>
            <w:tcBorders>
              <w:bottom w:val="single" w:sz="8" w:color="C0C0C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-5288915</wp:posOffset>
            </wp:positionV>
            <wp:extent cx="59690" cy="68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-5288915</wp:posOffset>
            </wp:positionV>
            <wp:extent cx="59690" cy="685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-5288915</wp:posOffset>
            </wp:positionV>
            <wp:extent cx="60325" cy="685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-5288915</wp:posOffset>
            </wp:positionV>
            <wp:extent cx="60325" cy="685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-5288915</wp:posOffset>
            </wp:positionV>
            <wp:extent cx="60325" cy="685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-5288915</wp:posOffset>
            </wp:positionV>
            <wp:extent cx="60325" cy="685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-5288915</wp:posOffset>
            </wp:positionV>
            <wp:extent cx="60325" cy="685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-5288915</wp:posOffset>
            </wp:positionV>
            <wp:extent cx="60325" cy="68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-5288915</wp:posOffset>
            </wp:positionV>
            <wp:extent cx="59690" cy="685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-5288915</wp:posOffset>
            </wp:positionV>
            <wp:extent cx="59690" cy="685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-5160010</wp:posOffset>
            </wp:positionV>
            <wp:extent cx="59690" cy="685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-5160010</wp:posOffset>
            </wp:positionV>
            <wp:extent cx="59690" cy="685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-5160010</wp:posOffset>
            </wp:positionV>
            <wp:extent cx="60325" cy="685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-5160010</wp:posOffset>
            </wp:positionV>
            <wp:extent cx="60325" cy="685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-5160010</wp:posOffset>
            </wp:positionV>
            <wp:extent cx="60325" cy="685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-5160010</wp:posOffset>
            </wp:positionV>
            <wp:extent cx="60325" cy="685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-5160010</wp:posOffset>
            </wp:positionV>
            <wp:extent cx="60325" cy="685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-5160010</wp:posOffset>
            </wp:positionV>
            <wp:extent cx="60325" cy="685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-5160010</wp:posOffset>
            </wp:positionV>
            <wp:extent cx="59690" cy="685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-5160010</wp:posOffset>
            </wp:positionV>
            <wp:extent cx="59690" cy="685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-5031740</wp:posOffset>
            </wp:positionV>
            <wp:extent cx="59690" cy="685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-5031740</wp:posOffset>
            </wp:positionV>
            <wp:extent cx="59690" cy="685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-5031740</wp:posOffset>
            </wp:positionV>
            <wp:extent cx="60325" cy="685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-5031740</wp:posOffset>
            </wp:positionV>
            <wp:extent cx="60325" cy="685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-5031740</wp:posOffset>
            </wp:positionV>
            <wp:extent cx="60325" cy="685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-5031740</wp:posOffset>
            </wp:positionV>
            <wp:extent cx="60325" cy="685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-5031740</wp:posOffset>
            </wp:positionV>
            <wp:extent cx="60325" cy="685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-5031740</wp:posOffset>
            </wp:positionV>
            <wp:extent cx="60325" cy="685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-5031740</wp:posOffset>
            </wp:positionV>
            <wp:extent cx="59690" cy="685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-5031740</wp:posOffset>
            </wp:positionV>
            <wp:extent cx="59690" cy="68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-4902835</wp:posOffset>
            </wp:positionV>
            <wp:extent cx="59690"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-4902835</wp:posOffset>
            </wp:positionV>
            <wp:extent cx="59690" cy="685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-4902835</wp:posOffset>
            </wp:positionV>
            <wp:extent cx="60325" cy="685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-4902835</wp:posOffset>
            </wp:positionV>
            <wp:extent cx="60325" cy="685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-4902835</wp:posOffset>
            </wp:positionV>
            <wp:extent cx="60325" cy="685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-4902835</wp:posOffset>
            </wp:positionV>
            <wp:extent cx="60325" cy="685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-4902835</wp:posOffset>
            </wp:positionV>
            <wp:extent cx="60325" cy="685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-4902835</wp:posOffset>
            </wp:positionV>
            <wp:extent cx="60325" cy="685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-4902835</wp:posOffset>
            </wp:positionV>
            <wp:extent cx="59690" cy="685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-4902835</wp:posOffset>
            </wp:positionV>
            <wp:extent cx="59690" cy="685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-4774565</wp:posOffset>
            </wp:positionV>
            <wp:extent cx="59690" cy="685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-4774565</wp:posOffset>
            </wp:positionV>
            <wp:extent cx="59690" cy="685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-4774565</wp:posOffset>
            </wp:positionV>
            <wp:extent cx="60325" cy="685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-4774565</wp:posOffset>
            </wp:positionV>
            <wp:extent cx="60325" cy="685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-4774565</wp:posOffset>
            </wp:positionV>
            <wp:extent cx="60325" cy="685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-4774565</wp:posOffset>
            </wp:positionV>
            <wp:extent cx="60325" cy="685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-4774565</wp:posOffset>
            </wp:positionV>
            <wp:extent cx="60325" cy="685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-4774565</wp:posOffset>
            </wp:positionV>
            <wp:extent cx="60325" cy="685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-4774565</wp:posOffset>
            </wp:positionV>
            <wp:extent cx="59690" cy="685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-4774565</wp:posOffset>
            </wp:positionV>
            <wp:extent cx="59690" cy="685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-4645660</wp:posOffset>
            </wp:positionV>
            <wp:extent cx="60325" cy="685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-4645660</wp:posOffset>
            </wp:positionV>
            <wp:extent cx="60325" cy="685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-4645660</wp:posOffset>
            </wp:positionV>
            <wp:extent cx="60325" cy="685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-4645660</wp:posOffset>
            </wp:positionV>
            <wp:extent cx="60325" cy="685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-4645660</wp:posOffset>
            </wp:positionV>
            <wp:extent cx="59690" cy="685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-4517390</wp:posOffset>
            </wp:positionV>
            <wp:extent cx="60325" cy="685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-4517390</wp:posOffset>
            </wp:positionV>
            <wp:extent cx="60325" cy="685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-4517390</wp:posOffset>
            </wp:positionV>
            <wp:extent cx="60325" cy="685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-4517390</wp:posOffset>
            </wp:positionV>
            <wp:extent cx="60325" cy="685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-4517390</wp:posOffset>
            </wp:positionV>
            <wp:extent cx="59690" cy="685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-4517390</wp:posOffset>
            </wp:positionV>
            <wp:extent cx="59690" cy="685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-4388485</wp:posOffset>
            </wp:positionV>
            <wp:extent cx="59690" cy="685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-4388485</wp:posOffset>
            </wp:positionV>
            <wp:extent cx="59690" cy="685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-4388485</wp:posOffset>
            </wp:positionV>
            <wp:extent cx="60325" cy="685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-4388485</wp:posOffset>
            </wp:positionV>
            <wp:extent cx="60325" cy="685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-4388485</wp:posOffset>
            </wp:positionV>
            <wp:extent cx="60325" cy="685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-4388485</wp:posOffset>
            </wp:positionV>
            <wp:extent cx="60325" cy="685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-4388485</wp:posOffset>
            </wp:positionV>
            <wp:extent cx="60325" cy="685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-4388485</wp:posOffset>
            </wp:positionV>
            <wp:extent cx="60325" cy="685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-4388485</wp:posOffset>
            </wp:positionV>
            <wp:extent cx="59690" cy="685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-4388485</wp:posOffset>
            </wp:positionV>
            <wp:extent cx="59690" cy="685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-1628140</wp:posOffset>
            </wp:positionV>
            <wp:extent cx="60325" cy="685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-1628140</wp:posOffset>
            </wp:positionV>
            <wp:extent cx="60325" cy="685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-1499870</wp:posOffset>
            </wp:positionV>
            <wp:extent cx="59690" cy="685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-1370965</wp:posOffset>
            </wp:positionV>
            <wp:extent cx="59690" cy="685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-1370965</wp:posOffset>
            </wp:positionV>
            <wp:extent cx="60325" cy="685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-1370965</wp:posOffset>
            </wp:positionV>
            <wp:extent cx="60325" cy="685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-1370965</wp:posOffset>
            </wp:positionV>
            <wp:extent cx="60325" cy="685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-1370965</wp:posOffset>
            </wp:positionV>
            <wp:extent cx="60325" cy="685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-1242695</wp:posOffset>
            </wp:positionV>
            <wp:extent cx="59690" cy="685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-1113790</wp:posOffset>
            </wp:positionV>
            <wp:extent cx="59690" cy="685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-856615</wp:posOffset>
            </wp:positionV>
            <wp:extent cx="59690" cy="685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-856615</wp:posOffset>
            </wp:positionV>
            <wp:extent cx="59690" cy="685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-856615</wp:posOffset>
            </wp:positionV>
            <wp:extent cx="60325" cy="685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-856615</wp:posOffset>
            </wp:positionV>
            <wp:extent cx="60325" cy="685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-856615</wp:posOffset>
            </wp:positionV>
            <wp:extent cx="60325" cy="685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-856615</wp:posOffset>
            </wp:positionV>
            <wp:extent cx="60325" cy="685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-856615</wp:posOffset>
            </wp:positionV>
            <wp:extent cx="60325" cy="685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-856615</wp:posOffset>
            </wp:positionV>
            <wp:extent cx="59690" cy="685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-728345</wp:posOffset>
            </wp:positionV>
            <wp:extent cx="60325" cy="685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-728345</wp:posOffset>
            </wp:positionV>
            <wp:extent cx="59690" cy="685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6858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Information about Nominees for Director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ABDULAZIZ F. AL KHAYYAL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688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688465"/>
                    </a:xfrm>
                    <a:prstGeom prst="rect">
                      <a:avLst/>
                    </a:prstGeom>
                    <a:noFill/>
                  </pic:spPr>
                </pic:pic>
              </a:graphicData>
            </a:graphic>
          </wp:anchor>
        </w:drawing>
      </w:r>
    </w:p>
    <w:p>
      <w:pPr>
        <w:spacing w:after="0" w:line="102"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CB233C"/>
        </w:rPr>
        <w:t>Professional Experience:</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0"/>
        <w:spacing w:after="0"/>
        <w:rPr>
          <w:sz w:val="20"/>
          <w:szCs w:val="20"/>
          <w:color w:val="auto"/>
        </w:rPr>
      </w:pPr>
      <w:r>
        <w:rPr>
          <w:rFonts w:ascii="Arial" w:cs="Arial" w:eastAsia="Arial" w:hAnsi="Arial"/>
          <w:sz w:val="16"/>
          <w:szCs w:val="16"/>
          <w:color w:val="FFFFFF"/>
        </w:rPr>
        <w:t>Age 68</w:t>
      </w:r>
    </w:p>
    <w:p>
      <w:pPr>
        <w:spacing w:after="0" w:line="73" w:lineRule="exact"/>
        <w:rPr>
          <w:sz w:val="20"/>
          <w:szCs w:val="20"/>
          <w:color w:val="auto"/>
        </w:rPr>
      </w:pPr>
    </w:p>
    <w:p>
      <w:pPr>
        <w:ind w:left="60" w:right="320"/>
        <w:spacing w:after="0" w:line="290" w:lineRule="auto"/>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2014</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INDEPENDENT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46" w:right="100" w:hanging="146"/>
        <w:spacing w:after="0" w:line="246" w:lineRule="auto"/>
        <w:tabs>
          <w:tab w:leader="none" w:pos="143" w:val="left"/>
        </w:tabs>
        <w:numPr>
          <w:ilvl w:val="0"/>
          <w:numId w:val="14"/>
        </w:numPr>
        <w:rPr>
          <w:rFonts w:ascii="Arial" w:cs="Arial" w:eastAsia="Arial" w:hAnsi="Arial"/>
          <w:sz w:val="16"/>
          <w:szCs w:val="16"/>
          <w:color w:val="CB233C"/>
        </w:rPr>
      </w:pPr>
      <w:r>
        <w:rPr>
          <w:rFonts w:ascii="Arial" w:cs="Arial" w:eastAsia="Arial" w:hAnsi="Arial"/>
          <w:sz w:val="16"/>
          <w:szCs w:val="16"/>
          <w:color w:val="auto"/>
        </w:rPr>
        <w:t>Retired director and Senior Vice President of Industrial Relations of Saudi Aramco (the world’s largest producer of crude oil), where he held multiple senior roles over a career spanning from 1981 to 2014</w:t>
      </w:r>
    </w:p>
    <w:p>
      <w:pPr>
        <w:ind w:left="146" w:right="60" w:hanging="146"/>
        <w:spacing w:after="0" w:line="256" w:lineRule="auto"/>
        <w:tabs>
          <w:tab w:leader="none" w:pos="143" w:val="left"/>
        </w:tabs>
        <w:numPr>
          <w:ilvl w:val="0"/>
          <w:numId w:val="14"/>
        </w:numPr>
        <w:rPr>
          <w:rFonts w:ascii="Arial" w:cs="Arial" w:eastAsia="Arial" w:hAnsi="Arial"/>
          <w:sz w:val="16"/>
          <w:szCs w:val="16"/>
          <w:color w:val="CB233C"/>
        </w:rPr>
      </w:pPr>
      <w:r>
        <w:rPr>
          <w:rFonts w:ascii="Arial" w:cs="Arial" w:eastAsia="Arial" w:hAnsi="Arial"/>
          <w:sz w:val="16"/>
          <w:szCs w:val="16"/>
          <w:color w:val="auto"/>
        </w:rPr>
        <w:t>Saudi Aramco roles included: member of general management, Vice President of Sales and Marketing, Vice President of Employee Relations and Training, Vice President of Corporate Planning, Senior Vice President of International Operations, and Senior Vice President of Refining, Marketing and International</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CB233C"/>
        </w:rPr>
        <w:t>Skills and Expertise:</w:t>
      </w:r>
    </w:p>
    <w:p>
      <w:pPr>
        <w:spacing w:after="0" w:line="21" w:lineRule="exact"/>
        <w:rPr>
          <w:sz w:val="20"/>
          <w:szCs w:val="20"/>
          <w:color w:val="auto"/>
        </w:rPr>
      </w:pPr>
    </w:p>
    <w:p>
      <w:pPr>
        <w:ind w:left="6" w:right="220"/>
        <w:spacing w:after="0" w:line="256" w:lineRule="auto"/>
        <w:rPr>
          <w:sz w:val="20"/>
          <w:szCs w:val="20"/>
          <w:color w:val="auto"/>
        </w:rPr>
      </w:pPr>
      <w:r>
        <w:rPr>
          <w:rFonts w:ascii="Arial" w:cs="Arial" w:eastAsia="Arial" w:hAnsi="Arial"/>
          <w:sz w:val="16"/>
          <w:szCs w:val="16"/>
          <w:color w:val="auto"/>
        </w:rPr>
        <w:t>The Board determined that Mr. Al Khayyal should be nominated for election as a Director because of his exceptional knowledge of the energy industry, including significant international industry experience, a thorough understanding of the geopolitics of the oil and gas business, and executive experience with the world’s largest producer of crude oil.</w:t>
      </w:r>
    </w:p>
    <w:p>
      <w:pPr>
        <w:spacing w:after="0" w:line="84" w:lineRule="exact"/>
        <w:rPr>
          <w:sz w:val="20"/>
          <w:szCs w:val="20"/>
          <w:color w:val="auto"/>
        </w:rPr>
      </w:pPr>
    </w:p>
    <w:p>
      <w:pPr>
        <w:ind w:left="6"/>
        <w:spacing w:after="0"/>
        <w:tabs>
          <w:tab w:leader="none" w:pos="4765" w:val="left"/>
        </w:tabs>
        <w:rPr>
          <w:sz w:val="20"/>
          <w:szCs w:val="20"/>
          <w:color w:val="auto"/>
        </w:rPr>
      </w:pPr>
      <w:r>
        <w:rPr>
          <w:rFonts w:ascii="Arial" w:cs="Arial" w:eastAsia="Arial" w:hAnsi="Arial"/>
          <w:sz w:val="16"/>
          <w:szCs w:val="16"/>
          <w:b w:val="1"/>
          <w:bCs w:val="1"/>
          <w:color w:val="CB233C"/>
        </w:rPr>
        <w:t>Other Company Directorships:</w:t>
      </w:r>
      <w:r>
        <w:rPr>
          <w:sz w:val="20"/>
          <w:szCs w:val="20"/>
          <w:color w:val="auto"/>
        </w:rPr>
        <w:tab/>
      </w:r>
      <w:r>
        <w:rPr>
          <w:rFonts w:ascii="Arial" w:cs="Arial" w:eastAsia="Arial" w:hAnsi="Arial"/>
          <w:sz w:val="16"/>
          <w:szCs w:val="16"/>
          <w:b w:val="1"/>
          <w:bCs w:val="1"/>
          <w:color w:val="CB233C"/>
        </w:rPr>
        <w:t>Former Directorships in the Past 5 Years:</w:t>
      </w:r>
    </w:p>
    <w:p>
      <w:pPr>
        <w:spacing w:after="0" w:line="35" w:lineRule="exact"/>
        <w:rPr>
          <w:sz w:val="20"/>
          <w:szCs w:val="20"/>
          <w:color w:val="auto"/>
        </w:rPr>
      </w:pPr>
    </w:p>
    <w:p>
      <w:pPr>
        <w:sectPr>
          <w:pgSz w:w="11900" w:h="16838" w:orient="portrait"/>
          <w:cols w:equalWidth="0" w:num="2">
            <w:col w:w="1220" w:space="394"/>
            <w:col w:w="9626"/>
          </w:cols>
          <w:pgMar w:left="320" w:top="238" w:right="339" w:bottom="1440" w:gutter="0" w:footer="0" w:header="0"/>
          <w:type w:val="continuous"/>
        </w:sectPr>
      </w:pPr>
    </w:p>
    <w:p>
      <w:pPr>
        <w:jc w:val="right"/>
        <w:ind w:right="4300"/>
        <w:spacing w:after="0"/>
        <w:tabs>
          <w:tab w:leader="none" w:pos="520" w:val="left"/>
        </w:tabs>
        <w:rPr>
          <w:sz w:val="20"/>
          <w:szCs w:val="20"/>
          <w:color w:val="auto"/>
        </w:rPr>
      </w:pPr>
      <w:r>
        <w:rPr>
          <w:rFonts w:ascii="Arial" w:cs="Arial" w:eastAsia="Arial" w:hAnsi="Arial"/>
          <w:sz w:val="16"/>
          <w:szCs w:val="16"/>
          <w:color w:val="CB233C"/>
        </w:rPr>
        <w:t xml:space="preserve">• </w:t>
      </w:r>
      <w:r>
        <w:rPr>
          <w:rFonts w:ascii="Arial" w:cs="Arial" w:eastAsia="Arial" w:hAnsi="Arial"/>
          <w:sz w:val="16"/>
          <w:szCs w:val="16"/>
          <w:color w:val="000000"/>
        </w:rPr>
        <w:t>Marathon Petroleum Corporation (since 2016)</w:t>
      </w:r>
      <w:r>
        <w:rPr>
          <w:sz w:val="20"/>
          <w:szCs w:val="20"/>
          <w:color w:val="auto"/>
        </w:rPr>
        <w:tab/>
      </w:r>
      <w:r>
        <w:rPr>
          <w:rFonts w:ascii="Arial" w:cs="Arial" w:eastAsia="Arial" w:hAnsi="Arial"/>
          <w:sz w:val="16"/>
          <w:szCs w:val="16"/>
          <w:color w:val="CB233C"/>
        </w:rPr>
        <w:t xml:space="preserve">• </w:t>
      </w:r>
      <w:r>
        <w:rPr>
          <w:rFonts w:ascii="Arial" w:cs="Arial" w:eastAsia="Arial" w:hAnsi="Arial"/>
          <w:sz w:val="16"/>
          <w:szCs w:val="16"/>
          <w:color w:val="000000"/>
        </w:rPr>
        <w:t>None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E. ALBRECHT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2177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217741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6"/>
          <w:szCs w:val="16"/>
          <w:color w:val="FFFFFF"/>
        </w:rPr>
        <w:t>Age 70</w:t>
      </w:r>
    </w:p>
    <w:p>
      <w:pPr>
        <w:spacing w:after="0" w:line="73" w:lineRule="exact"/>
        <w:rPr>
          <w:sz w:val="20"/>
          <w:szCs w:val="20"/>
          <w:color w:val="auto"/>
        </w:rPr>
      </w:pPr>
    </w:p>
    <w:p>
      <w:pPr>
        <w:ind w:left="60" w:right="320"/>
        <w:spacing w:after="0" w:line="290" w:lineRule="auto"/>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2016</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INDEPENDENT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CB233C"/>
        </w:rPr>
        <w:t>Professional Experience:</w:t>
      </w:r>
    </w:p>
    <w:p>
      <w:pPr>
        <w:spacing w:after="0" w:line="21" w:lineRule="exact"/>
        <w:rPr>
          <w:sz w:val="20"/>
          <w:szCs w:val="20"/>
          <w:color w:val="auto"/>
        </w:rPr>
      </w:pPr>
    </w:p>
    <w:p>
      <w:pPr>
        <w:ind w:left="146" w:hanging="146"/>
        <w:spacing w:after="0"/>
        <w:tabs>
          <w:tab w:leader="none" w:pos="146" w:val="left"/>
        </w:tabs>
        <w:numPr>
          <w:ilvl w:val="0"/>
          <w:numId w:val="15"/>
        </w:numPr>
        <w:rPr>
          <w:rFonts w:ascii="Arial" w:cs="Arial" w:eastAsia="Arial" w:hAnsi="Arial"/>
          <w:sz w:val="16"/>
          <w:szCs w:val="16"/>
          <w:color w:val="CB233C"/>
        </w:rPr>
      </w:pPr>
      <w:r>
        <w:rPr>
          <w:rFonts w:ascii="Arial" w:cs="Arial" w:eastAsia="Arial" w:hAnsi="Arial"/>
          <w:sz w:val="16"/>
          <w:szCs w:val="16"/>
          <w:color w:val="auto"/>
        </w:rPr>
        <w:t>President of Moncrief Energy, LLC (a private oil and gas operator) since 2021</w:t>
      </w:r>
    </w:p>
    <w:p>
      <w:pPr>
        <w:spacing w:after="0" w:line="5" w:lineRule="exact"/>
        <w:rPr>
          <w:rFonts w:ascii="Arial" w:cs="Arial" w:eastAsia="Arial" w:hAnsi="Arial"/>
          <w:sz w:val="16"/>
          <w:szCs w:val="16"/>
          <w:color w:val="CB233C"/>
        </w:rPr>
      </w:pPr>
    </w:p>
    <w:p>
      <w:pPr>
        <w:ind w:left="146" w:hanging="146"/>
        <w:spacing w:after="0"/>
        <w:tabs>
          <w:tab w:leader="none" w:pos="146" w:val="left"/>
        </w:tabs>
        <w:numPr>
          <w:ilvl w:val="0"/>
          <w:numId w:val="15"/>
        </w:numPr>
        <w:rPr>
          <w:rFonts w:ascii="Arial" w:cs="Arial" w:eastAsia="Arial" w:hAnsi="Arial"/>
          <w:sz w:val="16"/>
          <w:szCs w:val="16"/>
          <w:color w:val="CB233C"/>
        </w:rPr>
      </w:pPr>
      <w:r>
        <w:rPr>
          <w:rFonts w:ascii="Arial" w:cs="Arial" w:eastAsia="Arial" w:hAnsi="Arial"/>
          <w:sz w:val="16"/>
          <w:szCs w:val="16"/>
          <w:color w:val="auto"/>
        </w:rPr>
        <w:t>Non-Executive Chairman of the Board of California Resources Corporation from 2016 to 2020</w:t>
      </w:r>
    </w:p>
    <w:p>
      <w:pPr>
        <w:spacing w:after="0" w:line="5" w:lineRule="exact"/>
        <w:rPr>
          <w:rFonts w:ascii="Arial" w:cs="Arial" w:eastAsia="Arial" w:hAnsi="Arial"/>
          <w:sz w:val="16"/>
          <w:szCs w:val="16"/>
          <w:color w:val="CB233C"/>
        </w:rPr>
      </w:pPr>
    </w:p>
    <w:p>
      <w:pPr>
        <w:ind w:left="146" w:hanging="146"/>
        <w:spacing w:after="0"/>
        <w:tabs>
          <w:tab w:leader="none" w:pos="146" w:val="left"/>
        </w:tabs>
        <w:numPr>
          <w:ilvl w:val="0"/>
          <w:numId w:val="15"/>
        </w:numPr>
        <w:rPr>
          <w:rFonts w:ascii="Arial" w:cs="Arial" w:eastAsia="Arial" w:hAnsi="Arial"/>
          <w:sz w:val="16"/>
          <w:szCs w:val="16"/>
          <w:color w:val="CB233C"/>
        </w:rPr>
      </w:pPr>
      <w:r>
        <w:rPr>
          <w:rFonts w:ascii="Arial" w:cs="Arial" w:eastAsia="Arial" w:hAnsi="Arial"/>
          <w:sz w:val="16"/>
          <w:szCs w:val="16"/>
          <w:color w:val="auto"/>
        </w:rPr>
        <w:t>Executive Chairman of the Board of California Resources Corporation from 2014 to 2016</w:t>
      </w:r>
    </w:p>
    <w:p>
      <w:pPr>
        <w:spacing w:after="0" w:line="5" w:lineRule="exact"/>
        <w:rPr>
          <w:rFonts w:ascii="Arial" w:cs="Arial" w:eastAsia="Arial" w:hAnsi="Arial"/>
          <w:sz w:val="16"/>
          <w:szCs w:val="16"/>
          <w:color w:val="CB233C"/>
        </w:rPr>
      </w:pPr>
    </w:p>
    <w:p>
      <w:pPr>
        <w:ind w:left="146" w:hanging="146"/>
        <w:spacing w:after="0"/>
        <w:tabs>
          <w:tab w:leader="none" w:pos="146" w:val="left"/>
        </w:tabs>
        <w:numPr>
          <w:ilvl w:val="0"/>
          <w:numId w:val="15"/>
        </w:numPr>
        <w:rPr>
          <w:rFonts w:ascii="Arial" w:cs="Arial" w:eastAsia="Arial" w:hAnsi="Arial"/>
          <w:sz w:val="16"/>
          <w:szCs w:val="16"/>
          <w:color w:val="CB233C"/>
        </w:rPr>
      </w:pPr>
      <w:r>
        <w:rPr>
          <w:rFonts w:ascii="Arial" w:cs="Arial" w:eastAsia="Arial" w:hAnsi="Arial"/>
          <w:sz w:val="16"/>
          <w:szCs w:val="16"/>
          <w:color w:val="auto"/>
        </w:rPr>
        <w:t>Vice President of Occidental Petroleum Corporation from 2008 to 2014</w:t>
      </w:r>
    </w:p>
    <w:p>
      <w:pPr>
        <w:spacing w:after="0" w:line="5" w:lineRule="exact"/>
        <w:rPr>
          <w:rFonts w:ascii="Arial" w:cs="Arial" w:eastAsia="Arial" w:hAnsi="Arial"/>
          <w:sz w:val="16"/>
          <w:szCs w:val="16"/>
          <w:color w:val="CB233C"/>
        </w:rPr>
      </w:pPr>
    </w:p>
    <w:p>
      <w:pPr>
        <w:ind w:left="146" w:hanging="146"/>
        <w:spacing w:after="0"/>
        <w:tabs>
          <w:tab w:leader="none" w:pos="146" w:val="left"/>
        </w:tabs>
        <w:numPr>
          <w:ilvl w:val="0"/>
          <w:numId w:val="15"/>
        </w:numPr>
        <w:rPr>
          <w:rFonts w:ascii="Arial" w:cs="Arial" w:eastAsia="Arial" w:hAnsi="Arial"/>
          <w:sz w:val="16"/>
          <w:szCs w:val="16"/>
          <w:color w:val="CB233C"/>
        </w:rPr>
      </w:pPr>
      <w:r>
        <w:rPr>
          <w:rFonts w:ascii="Arial" w:cs="Arial" w:eastAsia="Arial" w:hAnsi="Arial"/>
          <w:sz w:val="16"/>
          <w:szCs w:val="16"/>
          <w:color w:val="auto"/>
        </w:rPr>
        <w:t>President of Oxy Oil &amp; Gas, Americas from 2012 to 2014</w:t>
      </w:r>
    </w:p>
    <w:p>
      <w:pPr>
        <w:spacing w:after="0" w:line="11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CB233C"/>
        </w:rPr>
        <w:t>Skills and Expertise:</w:t>
      </w:r>
    </w:p>
    <w:p>
      <w:pPr>
        <w:spacing w:after="0" w:line="21" w:lineRule="exact"/>
        <w:rPr>
          <w:sz w:val="20"/>
          <w:szCs w:val="20"/>
          <w:color w:val="auto"/>
        </w:rPr>
      </w:pPr>
    </w:p>
    <w:p>
      <w:pPr>
        <w:ind w:left="6" w:right="160"/>
        <w:spacing w:after="0" w:line="252" w:lineRule="auto"/>
        <w:rPr>
          <w:sz w:val="20"/>
          <w:szCs w:val="20"/>
          <w:color w:val="auto"/>
        </w:rPr>
      </w:pPr>
      <w:r>
        <w:rPr>
          <w:rFonts w:ascii="Arial" w:cs="Arial" w:eastAsia="Arial" w:hAnsi="Arial"/>
          <w:sz w:val="16"/>
          <w:szCs w:val="16"/>
          <w:color w:val="auto"/>
        </w:rPr>
        <w:t>The Board determined that Mr. Albrecht should be nominated for election as a Director because of his extensive experience in the domestic oil and natural gas industry and executive experience with a public oil and gas exploration and production company and an international offshore drilling company. Additionally, Mr. Albrecht’s expertise in the field of engineering gives him technical understanding of Halliburton’s business and customers.</w:t>
      </w:r>
    </w:p>
    <w:p>
      <w:pPr>
        <w:spacing w:after="0" w:line="88" w:lineRule="exact"/>
        <w:rPr>
          <w:sz w:val="20"/>
          <w:szCs w:val="20"/>
          <w:color w:val="auto"/>
        </w:rPr>
      </w:pPr>
    </w:p>
    <w:p>
      <w:pPr>
        <w:sectPr>
          <w:pgSz w:w="11900" w:h="16838" w:orient="portrait"/>
          <w:cols w:equalWidth="0" w:num="2">
            <w:col w:w="1220" w:space="394"/>
            <w:col w:w="9626"/>
          </w:cols>
          <w:pgMar w:left="320" w:top="238" w:right="339" w:bottom="1440" w:gutter="0" w:footer="0" w:header="0"/>
          <w:type w:val="continuous"/>
        </w:sectPr>
      </w:pPr>
    </w:p>
    <w:p>
      <w:pPr>
        <w:ind w:left="1620"/>
        <w:spacing w:after="0"/>
        <w:rPr>
          <w:sz w:val="20"/>
          <w:szCs w:val="20"/>
          <w:color w:val="auto"/>
        </w:rPr>
      </w:pPr>
      <w:r>
        <w:rPr>
          <w:rFonts w:ascii="Arial" w:cs="Arial" w:eastAsia="Arial" w:hAnsi="Arial"/>
          <w:sz w:val="16"/>
          <w:szCs w:val="16"/>
          <w:b w:val="1"/>
          <w:bCs w:val="1"/>
          <w:color w:val="CB233C"/>
        </w:rPr>
        <w:t>Other Company Directorships:</w:t>
      </w:r>
    </w:p>
    <w:p>
      <w:pPr>
        <w:spacing w:after="0" w:line="21" w:lineRule="exact"/>
        <w:rPr>
          <w:sz w:val="20"/>
          <w:szCs w:val="20"/>
          <w:color w:val="auto"/>
        </w:rPr>
      </w:pPr>
    </w:p>
    <w:p>
      <w:pPr>
        <w:ind w:left="1760" w:hanging="146"/>
        <w:spacing w:after="0" w:line="265" w:lineRule="auto"/>
        <w:tabs>
          <w:tab w:leader="none" w:pos="1754" w:val="left"/>
        </w:tabs>
        <w:numPr>
          <w:ilvl w:val="0"/>
          <w:numId w:val="16"/>
        </w:numPr>
        <w:rPr>
          <w:rFonts w:ascii="Arial" w:cs="Arial" w:eastAsia="Arial" w:hAnsi="Arial"/>
          <w:sz w:val="16"/>
          <w:szCs w:val="16"/>
          <w:color w:val="CB233C"/>
        </w:rPr>
      </w:pPr>
      <w:r>
        <w:rPr>
          <w:rFonts w:ascii="Arial" w:cs="Arial" w:eastAsia="Arial" w:hAnsi="Arial"/>
          <w:sz w:val="16"/>
          <w:szCs w:val="16"/>
          <w:color w:val="auto"/>
        </w:rPr>
        <w:t>Chairman of the Board and director of Laredo Petroleum, Inc. (since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CB233C"/>
        </w:rPr>
        <w:t>Former Directorships in the Past 5 Years:</w:t>
      </w:r>
    </w:p>
    <w:p>
      <w:pPr>
        <w:spacing w:after="0" w:line="21" w:lineRule="exact"/>
        <w:rPr>
          <w:sz w:val="20"/>
          <w:szCs w:val="20"/>
          <w:color w:val="auto"/>
        </w:rPr>
      </w:pPr>
    </w:p>
    <w:p>
      <w:pPr>
        <w:ind w:left="160" w:right="320" w:hanging="153"/>
        <w:spacing w:after="0" w:line="252" w:lineRule="auto"/>
        <w:tabs>
          <w:tab w:leader="none" w:pos="154" w:val="left"/>
        </w:tabs>
        <w:numPr>
          <w:ilvl w:val="0"/>
          <w:numId w:val="17"/>
        </w:numPr>
        <w:rPr>
          <w:rFonts w:ascii="Arial" w:cs="Arial" w:eastAsia="Arial" w:hAnsi="Arial"/>
          <w:sz w:val="16"/>
          <w:szCs w:val="16"/>
          <w:color w:val="CB233C"/>
        </w:rPr>
      </w:pPr>
      <w:r>
        <w:rPr>
          <w:rFonts w:ascii="Arial" w:cs="Arial" w:eastAsia="Arial" w:hAnsi="Arial"/>
          <w:sz w:val="16"/>
          <w:szCs w:val="16"/>
          <w:color w:val="auto"/>
        </w:rPr>
        <w:t>Chairman of the Board and director of Rowan Companies plc (2015-2019)</w:t>
      </w:r>
    </w:p>
    <w:p>
      <w:pPr>
        <w:spacing w:after="0" w:line="1" w:lineRule="exact"/>
        <w:rPr>
          <w:rFonts w:ascii="Arial" w:cs="Arial" w:eastAsia="Arial" w:hAnsi="Arial"/>
          <w:sz w:val="16"/>
          <w:szCs w:val="16"/>
          <w:color w:val="CB233C"/>
        </w:rPr>
      </w:pPr>
    </w:p>
    <w:p>
      <w:pPr>
        <w:ind w:left="160" w:hanging="153"/>
        <w:spacing w:after="0"/>
        <w:tabs>
          <w:tab w:leader="none" w:pos="160" w:val="left"/>
        </w:tabs>
        <w:numPr>
          <w:ilvl w:val="0"/>
          <w:numId w:val="17"/>
        </w:numPr>
        <w:rPr>
          <w:rFonts w:ascii="Arial" w:cs="Arial" w:eastAsia="Arial" w:hAnsi="Arial"/>
          <w:sz w:val="16"/>
          <w:szCs w:val="16"/>
          <w:color w:val="CB233C"/>
        </w:rPr>
      </w:pPr>
      <w:r>
        <w:rPr>
          <w:rFonts w:ascii="Arial" w:cs="Arial" w:eastAsia="Arial" w:hAnsi="Arial"/>
          <w:sz w:val="16"/>
          <w:szCs w:val="16"/>
          <w:color w:val="auto"/>
        </w:rPr>
        <w:t>California Resources Corporation (2014-2020)</w:t>
      </w:r>
    </w:p>
    <w:p>
      <w:pPr>
        <w:spacing w:after="0" w:line="18" w:lineRule="exact"/>
        <w:rPr>
          <w:rFonts w:ascii="Arial" w:cs="Arial" w:eastAsia="Arial" w:hAnsi="Arial"/>
          <w:sz w:val="16"/>
          <w:szCs w:val="16"/>
          <w:color w:val="CB233C"/>
        </w:rPr>
      </w:pPr>
    </w:p>
    <w:p>
      <w:pPr>
        <w:ind w:left="160" w:hanging="153"/>
        <w:spacing w:after="0"/>
        <w:tabs>
          <w:tab w:leader="none" w:pos="160" w:val="left"/>
        </w:tabs>
        <w:numPr>
          <w:ilvl w:val="0"/>
          <w:numId w:val="17"/>
        </w:numPr>
        <w:rPr>
          <w:rFonts w:ascii="Arial" w:cs="Arial" w:eastAsia="Arial" w:hAnsi="Arial"/>
          <w:sz w:val="16"/>
          <w:szCs w:val="16"/>
          <w:color w:val="CB233C"/>
        </w:rPr>
      </w:pPr>
      <w:r>
        <w:rPr>
          <w:rFonts w:ascii="Arial" w:cs="Arial" w:eastAsia="Arial" w:hAnsi="Arial"/>
          <w:sz w:val="16"/>
          <w:szCs w:val="16"/>
          <w:color w:val="auto"/>
        </w:rPr>
        <w:t>Lead Independent Director of Valaris Inc. (2019-2021)</w:t>
      </w:r>
    </w:p>
    <w:p>
      <w:pPr>
        <w:spacing w:after="0" w:line="200" w:lineRule="exact"/>
        <w:rPr>
          <w:sz w:val="20"/>
          <w:szCs w:val="20"/>
          <w:color w:val="auto"/>
        </w:rPr>
      </w:pPr>
    </w:p>
    <w:p>
      <w:pPr>
        <w:sectPr>
          <w:pgSz w:w="11900" w:h="16838" w:orient="portrait"/>
          <w:cols w:equalWidth="0" w:num="2">
            <w:col w:w="6160" w:space="240"/>
            <w:col w:w="4840"/>
          </w:cols>
          <w:pgMar w:left="320" w:top="238" w:right="3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 KATHERINE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24085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240855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16"/>
          <w:szCs w:val="16"/>
          <w:color w:val="FFFFFF"/>
        </w:rPr>
        <w:t>Age 62</w:t>
      </w:r>
    </w:p>
    <w:p>
      <w:pPr>
        <w:spacing w:after="0" w:line="73" w:lineRule="exact"/>
        <w:rPr>
          <w:sz w:val="20"/>
          <w:szCs w:val="20"/>
          <w:color w:val="auto"/>
        </w:rPr>
      </w:pPr>
    </w:p>
    <w:p>
      <w:pPr>
        <w:ind w:left="60" w:right="320"/>
        <w:spacing w:after="0" w:line="290" w:lineRule="auto"/>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2019</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INDEPENDENT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CB233C"/>
        </w:rPr>
        <w:t>Professional Experience:</w:t>
      </w:r>
    </w:p>
    <w:p>
      <w:pPr>
        <w:spacing w:after="0" w:line="21" w:lineRule="exact"/>
        <w:rPr>
          <w:sz w:val="20"/>
          <w:szCs w:val="20"/>
          <w:color w:val="auto"/>
        </w:rPr>
      </w:pPr>
    </w:p>
    <w:p>
      <w:pPr>
        <w:ind w:left="146" w:hanging="146"/>
        <w:spacing w:after="0"/>
        <w:tabs>
          <w:tab w:leader="none" w:pos="146" w:val="left"/>
        </w:tabs>
        <w:numPr>
          <w:ilvl w:val="0"/>
          <w:numId w:val="18"/>
        </w:numPr>
        <w:rPr>
          <w:rFonts w:ascii="Arial" w:cs="Arial" w:eastAsia="Arial" w:hAnsi="Arial"/>
          <w:sz w:val="16"/>
          <w:szCs w:val="16"/>
          <w:color w:val="CB233C"/>
        </w:rPr>
      </w:pPr>
      <w:r>
        <w:rPr>
          <w:rFonts w:ascii="Arial" w:cs="Arial" w:eastAsia="Arial" w:hAnsi="Arial"/>
          <w:sz w:val="16"/>
          <w:szCs w:val="16"/>
          <w:color w:val="auto"/>
        </w:rPr>
        <w:t>President, Texas A&amp;M University (a public research university) since 2021</w:t>
      </w:r>
    </w:p>
    <w:p>
      <w:pPr>
        <w:spacing w:after="0" w:line="5" w:lineRule="exact"/>
        <w:rPr>
          <w:rFonts w:ascii="Arial" w:cs="Arial" w:eastAsia="Arial" w:hAnsi="Arial"/>
          <w:sz w:val="16"/>
          <w:szCs w:val="16"/>
          <w:color w:val="CB233C"/>
        </w:rPr>
      </w:pPr>
    </w:p>
    <w:p>
      <w:pPr>
        <w:ind w:left="146" w:hanging="146"/>
        <w:spacing w:after="0"/>
        <w:tabs>
          <w:tab w:leader="none" w:pos="146" w:val="left"/>
        </w:tabs>
        <w:numPr>
          <w:ilvl w:val="0"/>
          <w:numId w:val="18"/>
        </w:numPr>
        <w:rPr>
          <w:rFonts w:ascii="Arial" w:cs="Arial" w:eastAsia="Arial" w:hAnsi="Arial"/>
          <w:sz w:val="16"/>
          <w:szCs w:val="16"/>
          <w:color w:val="CB233C"/>
        </w:rPr>
      </w:pPr>
      <w:r>
        <w:rPr>
          <w:rFonts w:ascii="Arial" w:cs="Arial" w:eastAsia="Arial" w:hAnsi="Arial"/>
          <w:sz w:val="16"/>
          <w:szCs w:val="16"/>
          <w:color w:val="auto"/>
        </w:rPr>
        <w:t>Vice Chancellor of National Laboratories and National Security Strategic Initiatives for the Texas A&amp;M University System since 2012</w:t>
      </w:r>
    </w:p>
    <w:p>
      <w:pPr>
        <w:spacing w:after="0" w:line="5" w:lineRule="exact"/>
        <w:rPr>
          <w:rFonts w:ascii="Arial" w:cs="Arial" w:eastAsia="Arial" w:hAnsi="Arial"/>
          <w:sz w:val="16"/>
          <w:szCs w:val="16"/>
          <w:color w:val="CB233C"/>
        </w:rPr>
      </w:pPr>
    </w:p>
    <w:p>
      <w:pPr>
        <w:ind w:left="146" w:hanging="146"/>
        <w:spacing w:after="0"/>
        <w:tabs>
          <w:tab w:leader="none" w:pos="146" w:val="left"/>
        </w:tabs>
        <w:numPr>
          <w:ilvl w:val="0"/>
          <w:numId w:val="18"/>
        </w:numPr>
        <w:rPr>
          <w:rFonts w:ascii="Arial" w:cs="Arial" w:eastAsia="Arial" w:hAnsi="Arial"/>
          <w:sz w:val="16"/>
          <w:szCs w:val="16"/>
          <w:color w:val="CB233C"/>
        </w:rPr>
      </w:pPr>
      <w:r>
        <w:rPr>
          <w:rFonts w:ascii="Arial" w:cs="Arial" w:eastAsia="Arial" w:hAnsi="Arial"/>
          <w:sz w:val="16"/>
          <w:szCs w:val="16"/>
          <w:color w:val="auto"/>
        </w:rPr>
        <w:t>Vice Chancellor of Engineering and Dean of the College of Engineering at Texas A&amp;M University from 2012 to 2021</w:t>
      </w:r>
    </w:p>
    <w:p>
      <w:pPr>
        <w:spacing w:after="0" w:line="5" w:lineRule="exact"/>
        <w:rPr>
          <w:rFonts w:ascii="Arial" w:cs="Arial" w:eastAsia="Arial" w:hAnsi="Arial"/>
          <w:sz w:val="16"/>
          <w:szCs w:val="16"/>
          <w:color w:val="CB233C"/>
        </w:rPr>
      </w:pPr>
    </w:p>
    <w:p>
      <w:pPr>
        <w:ind w:left="146" w:hanging="146"/>
        <w:spacing w:after="0"/>
        <w:tabs>
          <w:tab w:leader="none" w:pos="146" w:val="left"/>
        </w:tabs>
        <w:numPr>
          <w:ilvl w:val="0"/>
          <w:numId w:val="18"/>
        </w:numPr>
        <w:rPr>
          <w:rFonts w:ascii="Arial" w:cs="Arial" w:eastAsia="Arial" w:hAnsi="Arial"/>
          <w:sz w:val="16"/>
          <w:szCs w:val="16"/>
          <w:color w:val="CB233C"/>
        </w:rPr>
      </w:pPr>
      <w:r>
        <w:rPr>
          <w:rFonts w:ascii="Arial" w:cs="Arial" w:eastAsia="Arial" w:hAnsi="Arial"/>
          <w:sz w:val="16"/>
          <w:szCs w:val="16"/>
          <w:color w:val="auto"/>
        </w:rPr>
        <w:t>The Bowen Engineering Head for the School of Civil Engineering at Purdue University from 2007 to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36195</wp:posOffset>
            </wp:positionV>
            <wp:extent cx="614616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46165" cy="8890"/>
                    </a:xfrm>
                    <a:prstGeom prst="rect">
                      <a:avLst/>
                    </a:prstGeom>
                    <a:noFill/>
                  </pic:spPr>
                </pic:pic>
              </a:graphicData>
            </a:graphic>
          </wp:anchor>
        </w:drawing>
      </w:r>
    </w:p>
    <w:p>
      <w:pPr>
        <w:spacing w:after="0" w:line="9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CB233C"/>
        </w:rPr>
        <w:t>Skills and Expertise:</w:t>
      </w:r>
    </w:p>
    <w:p>
      <w:pPr>
        <w:spacing w:after="0" w:line="21" w:lineRule="exact"/>
        <w:rPr>
          <w:sz w:val="20"/>
          <w:szCs w:val="20"/>
          <w:color w:val="auto"/>
        </w:rPr>
      </w:pPr>
    </w:p>
    <w:p>
      <w:pPr>
        <w:ind w:left="6" w:right="160"/>
        <w:spacing w:after="0" w:line="248" w:lineRule="auto"/>
        <w:rPr>
          <w:sz w:val="20"/>
          <w:szCs w:val="20"/>
          <w:color w:val="auto"/>
        </w:rPr>
      </w:pPr>
      <w:r>
        <w:rPr>
          <w:rFonts w:ascii="Arial" w:cs="Arial" w:eastAsia="Arial" w:hAnsi="Arial"/>
          <w:sz w:val="16"/>
          <w:szCs w:val="16"/>
          <w:color w:val="auto"/>
        </w:rPr>
        <w:t>The Board determined that Dr. Banks should be nominated for election as a Director because of her extensive experience in engineering and technology, as an academic and mentor, and also her current role leading a large, public research university, and previous experience as an executive leading one of the largest engineering schools in the country while overseeing the engineering, academic, and research programs at seven universities. Dr. Banks also brings unique expertise in scientific lab management, safety, and nuclear security, as both a director of Triad National Security (which provides lab management, nuclear operations, national security, and scientific research to the National Nuclear Security Administration) and as Vice Chancellor of the Los Alamos National Laboratory. Given Halliburton’s focus on developing talent, Dr. Banks’ knowledge of the American academic system is also highly valuable to the Board’s discussions of talent recruitment, retention, and development. Dr. Banks’ oversight of Texas A&amp;M’s Sustainability Master Plan also provides unique perspectives and knowledge to the Board’s work of overseeing ESG strategy at Halliburton.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26035</wp:posOffset>
            </wp:positionV>
            <wp:extent cx="614616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46165" cy="889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1220" w:space="394"/>
            <w:col w:w="9626"/>
          </w:cols>
          <w:pgMar w:left="320" w:top="238"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1360" w:type="dxa"/>
            <w:vAlign w:val="bottom"/>
          </w:tcPr>
          <w:p>
            <w:pPr>
              <w:spacing w:after="0"/>
              <w:rPr>
                <w:sz w:val="17"/>
                <w:szCs w:val="17"/>
                <w:color w:val="auto"/>
              </w:rPr>
            </w:pPr>
          </w:p>
        </w:tc>
        <w:tc>
          <w:tcPr>
            <w:tcW w:w="3820" w:type="dxa"/>
            <w:vAlign w:val="bottom"/>
          </w:tcPr>
          <w:p>
            <w:pPr>
              <w:ind w:left="260"/>
              <w:spacing w:after="0"/>
              <w:rPr>
                <w:sz w:val="20"/>
                <w:szCs w:val="20"/>
                <w:color w:val="auto"/>
              </w:rPr>
            </w:pPr>
            <w:r>
              <w:rPr>
                <w:rFonts w:ascii="Arial" w:cs="Arial" w:eastAsia="Arial" w:hAnsi="Arial"/>
                <w:sz w:val="16"/>
                <w:szCs w:val="16"/>
                <w:b w:val="1"/>
                <w:bCs w:val="1"/>
                <w:color w:val="CB233C"/>
              </w:rPr>
              <w:t>Other Company Directorships:</w:t>
            </w:r>
          </w:p>
        </w:tc>
        <w:tc>
          <w:tcPr>
            <w:tcW w:w="6060" w:type="dxa"/>
            <w:vAlign w:val="bottom"/>
            <w:gridSpan w:val="2"/>
          </w:tcPr>
          <w:p>
            <w:pPr>
              <w:ind w:left="1220"/>
              <w:spacing w:after="0"/>
              <w:rPr>
                <w:sz w:val="20"/>
                <w:szCs w:val="20"/>
                <w:color w:val="auto"/>
              </w:rPr>
            </w:pPr>
            <w:r>
              <w:rPr>
                <w:rFonts w:ascii="Arial" w:cs="Arial" w:eastAsia="Arial" w:hAnsi="Arial"/>
                <w:sz w:val="16"/>
                <w:szCs w:val="16"/>
                <w:b w:val="1"/>
                <w:bCs w:val="1"/>
                <w:color w:val="CB233C"/>
              </w:rPr>
              <w:t>Former Directorships in the Past 5 Years:</w:t>
            </w: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3820" w:type="dxa"/>
            <w:vAlign w:val="bottom"/>
          </w:tcPr>
          <w:p>
            <w:pPr>
              <w:ind w:left="260"/>
              <w:spacing w:after="0"/>
              <w:rPr>
                <w:sz w:val="20"/>
                <w:szCs w:val="20"/>
                <w:color w:val="auto"/>
              </w:rPr>
            </w:pPr>
            <w:r>
              <w:rPr>
                <w:rFonts w:ascii="Arial" w:cs="Arial" w:eastAsia="Arial" w:hAnsi="Arial"/>
                <w:sz w:val="16"/>
                <w:szCs w:val="16"/>
                <w:color w:val="CB233C"/>
              </w:rPr>
              <w:t xml:space="preserve">• </w:t>
            </w:r>
            <w:r>
              <w:rPr>
                <w:rFonts w:ascii="Arial" w:cs="Arial" w:eastAsia="Arial" w:hAnsi="Arial"/>
                <w:sz w:val="16"/>
                <w:szCs w:val="16"/>
                <w:color w:val="000000"/>
              </w:rPr>
              <w:t>None</w:t>
            </w:r>
          </w:p>
        </w:tc>
        <w:tc>
          <w:tcPr>
            <w:tcW w:w="6060" w:type="dxa"/>
            <w:vAlign w:val="bottom"/>
            <w:gridSpan w:val="2"/>
          </w:tcPr>
          <w:p>
            <w:pPr>
              <w:ind w:left="1220"/>
              <w:spacing w:after="0"/>
              <w:rPr>
                <w:sz w:val="20"/>
                <w:szCs w:val="20"/>
                <w:color w:val="auto"/>
              </w:rPr>
            </w:pPr>
            <w:r>
              <w:rPr>
                <w:rFonts w:ascii="Arial" w:cs="Arial" w:eastAsia="Arial" w:hAnsi="Arial"/>
                <w:sz w:val="16"/>
                <w:szCs w:val="16"/>
                <w:color w:val="CB233C"/>
              </w:rPr>
              <w:t xml:space="preserve">• </w:t>
            </w:r>
            <w:r>
              <w:rPr>
                <w:rFonts w:ascii="Arial" w:cs="Arial" w:eastAsia="Arial" w:hAnsi="Arial"/>
                <w:sz w:val="16"/>
                <w:szCs w:val="16"/>
                <w:color w:val="000000"/>
              </w:rPr>
              <w:t>None</w:t>
            </w:r>
          </w:p>
        </w:tc>
        <w:tc>
          <w:tcPr>
            <w:tcW w:w="0" w:type="dxa"/>
            <w:vAlign w:val="bottom"/>
          </w:tcPr>
          <w:p>
            <w:pPr>
              <w:spacing w:after="0"/>
              <w:rPr>
                <w:sz w:val="1"/>
                <w:szCs w:val="1"/>
                <w:color w:val="auto"/>
              </w:rPr>
            </w:pPr>
          </w:p>
        </w:tc>
      </w:tr>
      <w:tr>
        <w:trPr>
          <w:trHeight w:val="43"/>
        </w:trPr>
        <w:tc>
          <w:tcPr>
            <w:tcW w:w="1360" w:type="dxa"/>
            <w:vAlign w:val="bottom"/>
          </w:tcPr>
          <w:p>
            <w:pPr>
              <w:spacing w:after="0"/>
              <w:rPr>
                <w:sz w:val="3"/>
                <w:szCs w:val="3"/>
                <w:color w:val="auto"/>
              </w:rPr>
            </w:pPr>
          </w:p>
        </w:tc>
        <w:tc>
          <w:tcPr>
            <w:tcW w:w="3820" w:type="dxa"/>
            <w:vAlign w:val="bottom"/>
            <w:tcBorders>
              <w:bottom w:val="single" w:sz="8" w:color="CB233C"/>
            </w:tcBorders>
          </w:tcPr>
          <w:p>
            <w:pPr>
              <w:spacing w:after="0"/>
              <w:rPr>
                <w:sz w:val="3"/>
                <w:szCs w:val="3"/>
                <w:color w:val="auto"/>
              </w:rPr>
            </w:pPr>
          </w:p>
        </w:tc>
        <w:tc>
          <w:tcPr>
            <w:tcW w:w="2520" w:type="dxa"/>
            <w:vAlign w:val="bottom"/>
            <w:tcBorders>
              <w:bottom w:val="single" w:sz="8" w:color="CB233C"/>
            </w:tcBorders>
          </w:tcPr>
          <w:p>
            <w:pPr>
              <w:spacing w:after="0"/>
              <w:rPr>
                <w:sz w:val="3"/>
                <w:szCs w:val="3"/>
                <w:color w:val="auto"/>
              </w:rPr>
            </w:pPr>
          </w:p>
        </w:tc>
        <w:tc>
          <w:tcPr>
            <w:tcW w:w="3540" w:type="dxa"/>
            <w:vAlign w:val="bottom"/>
            <w:tcBorders>
              <w:bottom w:val="single" w:sz="8" w:color="CB233C"/>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3540" w:type="dxa"/>
            <w:vAlign w:val="bottom"/>
            <w:vMerge w:val="restart"/>
          </w:tcPr>
          <w:p>
            <w:pPr>
              <w:ind w:left="100"/>
              <w:spacing w:after="0"/>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  17</w:t>
            </w:r>
          </w:p>
        </w:tc>
        <w:tc>
          <w:tcPr>
            <w:tcW w:w="0" w:type="dxa"/>
            <w:vAlign w:val="bottom"/>
          </w:tcPr>
          <w:p>
            <w:pPr>
              <w:spacing w:after="0"/>
              <w:rPr>
                <w:sz w:val="1"/>
                <w:szCs w:val="1"/>
                <w:color w:val="auto"/>
              </w:rPr>
            </w:pPr>
          </w:p>
        </w:tc>
      </w:tr>
      <w:tr>
        <w:trPr>
          <w:trHeight w:val="94"/>
        </w:trPr>
        <w:tc>
          <w:tcPr>
            <w:tcW w:w="13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3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1360" w:type="dxa"/>
            <w:vAlign w:val="bottom"/>
            <w:tcBorders>
              <w:bottom w:val="single" w:sz="8" w:color="C0C0C0"/>
            </w:tcBorders>
          </w:tcPr>
          <w:p>
            <w:pPr>
              <w:spacing w:after="0"/>
              <w:rPr>
                <w:sz w:val="23"/>
                <w:szCs w:val="23"/>
                <w:color w:val="auto"/>
              </w:rPr>
            </w:pPr>
          </w:p>
        </w:tc>
        <w:tc>
          <w:tcPr>
            <w:tcW w:w="3820" w:type="dxa"/>
            <w:vAlign w:val="bottom"/>
            <w:tcBorders>
              <w:bottom w:val="single" w:sz="8" w:color="C0C0C0"/>
            </w:tcBorders>
          </w:tcPr>
          <w:p>
            <w:pPr>
              <w:spacing w:after="0"/>
              <w:rPr>
                <w:sz w:val="23"/>
                <w:szCs w:val="23"/>
                <w:color w:val="auto"/>
              </w:rPr>
            </w:pPr>
          </w:p>
        </w:tc>
        <w:tc>
          <w:tcPr>
            <w:tcW w:w="2520" w:type="dxa"/>
            <w:vAlign w:val="bottom"/>
            <w:tcBorders>
              <w:bottom w:val="single" w:sz="8" w:color="C0C0C0"/>
            </w:tcBorders>
          </w:tcPr>
          <w:p>
            <w:pPr>
              <w:spacing w:after="0"/>
              <w:rPr>
                <w:sz w:val="23"/>
                <w:szCs w:val="23"/>
                <w:color w:val="auto"/>
              </w:rPr>
            </w:pPr>
          </w:p>
        </w:tc>
        <w:tc>
          <w:tcPr>
            <w:tcW w:w="35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type w:val="continuous"/>
        </w:sectPr>
      </w:pPr>
    </w:p>
    <w:bookmarkStart w:id="22" w:name="page23"/>
    <w:bookmarkEnd w:id="2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ALAN 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671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671955"/>
                    </a:xfrm>
                    <a:prstGeom prst="rect">
                      <a:avLst/>
                    </a:prstGeom>
                    <a:noFill/>
                  </pic:spPr>
                </pic:pic>
              </a:graphicData>
            </a:graphic>
          </wp:anchor>
        </w:drawing>
      </w:r>
    </w:p>
    <w:p>
      <w:pPr>
        <w:spacing w:after="0" w:line="102"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CB233C"/>
        </w:rPr>
        <w:t>Professional Experience:</w:t>
      </w:r>
    </w:p>
    <w:p>
      <w:pPr>
        <w:spacing w:after="0" w:line="21" w:lineRule="exact"/>
        <w:rPr>
          <w:sz w:val="20"/>
          <w:szCs w:val="20"/>
          <w:color w:val="auto"/>
        </w:rPr>
      </w:pPr>
    </w:p>
    <w:p>
      <w:pPr>
        <w:ind w:left="1760" w:hanging="146"/>
        <w:spacing w:after="0"/>
        <w:tabs>
          <w:tab w:leader="none" w:pos="1760" w:val="left"/>
        </w:tabs>
        <w:numPr>
          <w:ilvl w:val="0"/>
          <w:numId w:val="19"/>
        </w:numPr>
        <w:rPr>
          <w:rFonts w:ascii="Arial" w:cs="Arial" w:eastAsia="Arial" w:hAnsi="Arial"/>
          <w:sz w:val="16"/>
          <w:szCs w:val="16"/>
          <w:color w:val="CB233C"/>
        </w:rPr>
      </w:pPr>
      <w:r>
        <w:rPr>
          <w:rFonts w:ascii="Arial" w:cs="Arial" w:eastAsia="Arial" w:hAnsi="Arial"/>
          <w:sz w:val="16"/>
          <w:szCs w:val="16"/>
          <w:color w:val="auto"/>
        </w:rPr>
        <w:t>President and Chief Executive Officer of H&amp;R Block, Inc. (a tax and financial service provider) from 2010 until his retirement in 2011</w:t>
      </w:r>
    </w:p>
    <w:p>
      <w:pPr>
        <w:spacing w:after="0" w:line="5" w:lineRule="exact"/>
        <w:rPr>
          <w:rFonts w:ascii="Arial" w:cs="Arial" w:eastAsia="Arial" w:hAnsi="Arial"/>
          <w:sz w:val="16"/>
          <w:szCs w:val="16"/>
          <w:color w:val="CB233C"/>
        </w:rPr>
      </w:pPr>
    </w:p>
    <w:p>
      <w:pPr>
        <w:ind w:left="1760" w:hanging="146"/>
        <w:spacing w:after="0"/>
        <w:tabs>
          <w:tab w:leader="none" w:pos="1760" w:val="left"/>
        </w:tabs>
        <w:numPr>
          <w:ilvl w:val="0"/>
          <w:numId w:val="19"/>
        </w:numPr>
        <w:rPr>
          <w:rFonts w:ascii="Arial" w:cs="Arial" w:eastAsia="Arial" w:hAnsi="Arial"/>
          <w:sz w:val="16"/>
          <w:szCs w:val="16"/>
          <w:color w:val="CB233C"/>
        </w:rPr>
      </w:pPr>
      <w:r>
        <w:rPr>
          <w:rFonts w:ascii="Arial" w:cs="Arial" w:eastAsia="Arial" w:hAnsi="Arial"/>
          <w:sz w:val="16"/>
          <w:szCs w:val="16"/>
          <w:color w:val="auto"/>
        </w:rPr>
        <w:t>Interim Chief Executive Officer of H&amp;R Block, Inc. from 2007 to 2008</w:t>
      </w:r>
    </w:p>
    <w:p>
      <w:pPr>
        <w:spacing w:after="0" w:line="5" w:lineRule="exact"/>
        <w:rPr>
          <w:rFonts w:ascii="Arial" w:cs="Arial" w:eastAsia="Arial" w:hAnsi="Arial"/>
          <w:sz w:val="16"/>
          <w:szCs w:val="16"/>
          <w:color w:val="CB233C"/>
        </w:rPr>
      </w:pPr>
    </w:p>
    <w:p>
      <w:pPr>
        <w:ind w:left="1760" w:hanging="146"/>
        <w:spacing w:after="0"/>
        <w:tabs>
          <w:tab w:leader="none" w:pos="1760" w:val="left"/>
        </w:tabs>
        <w:numPr>
          <w:ilvl w:val="0"/>
          <w:numId w:val="19"/>
        </w:numPr>
        <w:rPr>
          <w:rFonts w:ascii="Arial" w:cs="Arial" w:eastAsia="Arial" w:hAnsi="Arial"/>
          <w:sz w:val="16"/>
          <w:szCs w:val="16"/>
          <w:color w:val="CB233C"/>
        </w:rPr>
      </w:pPr>
      <w:r>
        <w:rPr>
          <w:rFonts w:ascii="Arial" w:cs="Arial" w:eastAsia="Arial" w:hAnsi="Arial"/>
          <w:sz w:val="16"/>
          <w:szCs w:val="16"/>
          <w:color w:val="auto"/>
        </w:rPr>
        <w:t>Senior Vice President and Chief Financial Officer of Aetna, Inc. from 2001 to 2007</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1500" w:type="dxa"/>
            <w:vAlign w:val="bottom"/>
          </w:tcPr>
          <w:p>
            <w:pPr>
              <w:spacing w:after="0"/>
              <w:rPr>
                <w:sz w:val="16"/>
                <w:szCs w:val="16"/>
                <w:color w:val="auto"/>
              </w:rPr>
            </w:pPr>
          </w:p>
        </w:tc>
        <w:tc>
          <w:tcPr>
            <w:tcW w:w="3620" w:type="dxa"/>
            <w:vAlign w:val="bottom"/>
          </w:tcPr>
          <w:p>
            <w:pPr>
              <w:ind w:left="60"/>
              <w:spacing w:after="0"/>
              <w:rPr>
                <w:sz w:val="20"/>
                <w:szCs w:val="20"/>
                <w:color w:val="auto"/>
              </w:rPr>
            </w:pPr>
            <w:r>
              <w:rPr>
                <w:rFonts w:ascii="Arial" w:cs="Arial" w:eastAsia="Arial" w:hAnsi="Arial"/>
                <w:sz w:val="16"/>
                <w:szCs w:val="16"/>
                <w:b w:val="1"/>
                <w:bCs w:val="1"/>
                <w:color w:val="CB233C"/>
              </w:rPr>
              <w:t>Skills and Expertise:</w:t>
            </w:r>
          </w:p>
        </w:tc>
        <w:tc>
          <w:tcPr>
            <w:tcW w:w="6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9680" w:type="dxa"/>
            <w:vAlign w:val="bottom"/>
            <w:gridSpan w:val="2"/>
          </w:tcPr>
          <w:p>
            <w:pPr>
              <w:ind w:left="60"/>
              <w:spacing w:after="0"/>
              <w:rPr>
                <w:sz w:val="20"/>
                <w:szCs w:val="20"/>
                <w:color w:val="auto"/>
              </w:rPr>
            </w:pPr>
            <w:r>
              <w:rPr>
                <w:rFonts w:ascii="Arial" w:cs="Arial" w:eastAsia="Arial" w:hAnsi="Arial"/>
                <w:sz w:val="16"/>
                <w:szCs w:val="16"/>
                <w:color w:val="auto"/>
              </w:rPr>
              <w:t>The Board determined that Mr. Bennett should be nominated for election as a Director because of his business and financial</w:t>
            </w:r>
          </w:p>
        </w:tc>
        <w:tc>
          <w:tcPr>
            <w:tcW w:w="0" w:type="dxa"/>
            <w:vAlign w:val="bottom"/>
          </w:tcPr>
          <w:p>
            <w:pPr>
              <w:spacing w:after="0"/>
              <w:rPr>
                <w:sz w:val="1"/>
                <w:szCs w:val="1"/>
                <w:color w:val="auto"/>
              </w:rPr>
            </w:pPr>
          </w:p>
        </w:tc>
      </w:tr>
      <w:tr>
        <w:trPr>
          <w:trHeight w:val="189"/>
        </w:trPr>
        <w:tc>
          <w:tcPr>
            <w:tcW w:w="1500" w:type="dxa"/>
            <w:vAlign w:val="bottom"/>
            <w:vMerge w:val="restart"/>
          </w:tcPr>
          <w:p>
            <w:pPr>
              <w:spacing w:after="0"/>
              <w:rPr>
                <w:sz w:val="20"/>
                <w:szCs w:val="20"/>
                <w:color w:val="auto"/>
              </w:rPr>
            </w:pPr>
            <w:r>
              <w:rPr>
                <w:rFonts w:ascii="Arial" w:cs="Arial" w:eastAsia="Arial" w:hAnsi="Arial"/>
                <w:sz w:val="16"/>
                <w:szCs w:val="16"/>
                <w:color w:val="FFFFFF"/>
              </w:rPr>
              <w:t>Age 71</w:t>
            </w:r>
          </w:p>
        </w:tc>
        <w:tc>
          <w:tcPr>
            <w:tcW w:w="9680" w:type="dxa"/>
            <w:vAlign w:val="bottom"/>
            <w:gridSpan w:val="2"/>
          </w:tcPr>
          <w:p>
            <w:pPr>
              <w:ind w:left="60"/>
              <w:spacing w:after="0"/>
              <w:rPr>
                <w:sz w:val="20"/>
                <w:szCs w:val="20"/>
                <w:color w:val="auto"/>
              </w:rPr>
            </w:pPr>
            <w:r>
              <w:rPr>
                <w:rFonts w:ascii="Arial" w:cs="Arial" w:eastAsia="Arial" w:hAnsi="Arial"/>
                <w:sz w:val="16"/>
                <w:szCs w:val="16"/>
                <w:color w:val="auto"/>
              </w:rPr>
              <w:t>expertise, ranging from internal audit to corporate controller to chief financial officer of a large, public company. He is a certified public</w:t>
            </w:r>
          </w:p>
        </w:tc>
        <w:tc>
          <w:tcPr>
            <w:tcW w:w="0" w:type="dxa"/>
            <w:vAlign w:val="bottom"/>
          </w:tcPr>
          <w:p>
            <w:pPr>
              <w:spacing w:after="0"/>
              <w:rPr>
                <w:sz w:val="1"/>
                <w:szCs w:val="1"/>
                <w:color w:val="auto"/>
              </w:rPr>
            </w:pPr>
          </w:p>
        </w:tc>
      </w:tr>
      <w:tr>
        <w:trPr>
          <w:trHeight w:val="120"/>
        </w:trPr>
        <w:tc>
          <w:tcPr>
            <w:tcW w:w="1500" w:type="dxa"/>
            <w:vAlign w:val="bottom"/>
            <w:vMerge w:val="continue"/>
          </w:tcPr>
          <w:p>
            <w:pPr>
              <w:spacing w:after="0"/>
              <w:rPr>
                <w:sz w:val="10"/>
                <w:szCs w:val="10"/>
                <w:color w:val="auto"/>
              </w:rPr>
            </w:pPr>
          </w:p>
        </w:tc>
        <w:tc>
          <w:tcPr>
            <w:tcW w:w="9680" w:type="dxa"/>
            <w:vAlign w:val="bottom"/>
            <w:gridSpan w:val="2"/>
            <w:vMerge w:val="restart"/>
          </w:tcPr>
          <w:p>
            <w:pPr>
              <w:ind w:left="60"/>
              <w:spacing w:after="0"/>
              <w:rPr>
                <w:sz w:val="20"/>
                <w:szCs w:val="20"/>
                <w:color w:val="auto"/>
              </w:rPr>
            </w:pPr>
            <w:r>
              <w:rPr>
                <w:rFonts w:ascii="Arial" w:cs="Arial" w:eastAsia="Arial" w:hAnsi="Arial"/>
                <w:sz w:val="16"/>
                <w:szCs w:val="16"/>
                <w:color w:val="auto"/>
              </w:rPr>
              <w:t>accountant and also has chief executive officer experience. Mr. Bennett has deep experience in overseeing strategic decisions</w:t>
            </w:r>
          </w:p>
        </w:tc>
        <w:tc>
          <w:tcPr>
            <w:tcW w:w="0" w:type="dxa"/>
            <w:vAlign w:val="bottom"/>
          </w:tcPr>
          <w:p>
            <w:pPr>
              <w:spacing w:after="0"/>
              <w:rPr>
                <w:sz w:val="1"/>
                <w:szCs w:val="1"/>
                <w:color w:val="auto"/>
              </w:rPr>
            </w:pPr>
          </w:p>
        </w:tc>
      </w:tr>
      <w:tr>
        <w:trPr>
          <w:trHeight w:val="69"/>
        </w:trPr>
        <w:tc>
          <w:tcPr>
            <w:tcW w:w="1500" w:type="dxa"/>
            <w:vAlign w:val="bottom"/>
            <w:vMerge w:val="restart"/>
          </w:tcPr>
          <w:p>
            <w:pPr>
              <w:spacing w:after="0"/>
              <w:rPr>
                <w:sz w:val="20"/>
                <w:szCs w:val="20"/>
                <w:color w:val="auto"/>
              </w:rPr>
            </w:pPr>
            <w:r>
              <w:rPr>
                <w:rFonts w:ascii="Arial" w:cs="Arial" w:eastAsia="Arial" w:hAnsi="Arial"/>
                <w:sz w:val="16"/>
                <w:szCs w:val="16"/>
                <w:color w:val="FFFFFF"/>
              </w:rPr>
              <w:t>Director</w:t>
            </w:r>
          </w:p>
        </w:tc>
        <w:tc>
          <w:tcPr>
            <w:tcW w:w="9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500" w:type="dxa"/>
            <w:vAlign w:val="bottom"/>
            <w:vMerge w:val="continue"/>
          </w:tcPr>
          <w:p>
            <w:pPr>
              <w:spacing w:after="0"/>
              <w:rPr>
                <w:sz w:val="14"/>
                <w:szCs w:val="14"/>
                <w:color w:val="auto"/>
              </w:rPr>
            </w:pPr>
          </w:p>
        </w:tc>
        <w:tc>
          <w:tcPr>
            <w:tcW w:w="9680" w:type="dxa"/>
            <w:vAlign w:val="bottom"/>
            <w:gridSpan w:val="2"/>
          </w:tcPr>
          <w:p>
            <w:pPr>
              <w:ind w:left="60"/>
              <w:spacing w:after="0" w:line="163" w:lineRule="exact"/>
              <w:rPr>
                <w:sz w:val="20"/>
                <w:szCs w:val="20"/>
                <w:color w:val="auto"/>
              </w:rPr>
            </w:pPr>
            <w:r>
              <w:rPr>
                <w:rFonts w:ascii="Arial" w:cs="Arial" w:eastAsia="Arial" w:hAnsi="Arial"/>
                <w:sz w:val="16"/>
                <w:szCs w:val="16"/>
                <w:color w:val="auto"/>
              </w:rPr>
              <w:t>related to mergers and acquisitions, giving him valuable perspectives in Board discussions of strategy and capital allocation.</w:t>
            </w:r>
          </w:p>
        </w:tc>
        <w:tc>
          <w:tcPr>
            <w:tcW w:w="0" w:type="dxa"/>
            <w:vAlign w:val="bottom"/>
          </w:tcPr>
          <w:p>
            <w:pPr>
              <w:spacing w:after="0"/>
              <w:rPr>
                <w:sz w:val="1"/>
                <w:szCs w:val="1"/>
                <w:color w:val="auto"/>
              </w:rPr>
            </w:pPr>
          </w:p>
        </w:tc>
      </w:tr>
      <w:tr>
        <w:trPr>
          <w:trHeight w:val="95"/>
        </w:trPr>
        <w:tc>
          <w:tcPr>
            <w:tcW w:w="1500" w:type="dxa"/>
            <w:vAlign w:val="bottom"/>
            <w:vMerge w:val="restart"/>
          </w:tcPr>
          <w:p>
            <w:pPr>
              <w:spacing w:after="0"/>
              <w:rPr>
                <w:sz w:val="20"/>
                <w:szCs w:val="20"/>
                <w:color w:val="auto"/>
              </w:rPr>
            </w:pPr>
            <w:r>
              <w:rPr>
                <w:rFonts w:ascii="Arial" w:cs="Arial" w:eastAsia="Arial" w:hAnsi="Arial"/>
                <w:sz w:val="16"/>
                <w:szCs w:val="16"/>
                <w:color w:val="FFFFFF"/>
              </w:rPr>
              <w:t xml:space="preserve">since: </w:t>
            </w:r>
            <w:r>
              <w:rPr>
                <w:rFonts w:ascii="Arial" w:cs="Arial" w:eastAsia="Arial" w:hAnsi="Arial"/>
                <w:sz w:val="16"/>
                <w:szCs w:val="16"/>
                <w:b w:val="1"/>
                <w:bCs w:val="1"/>
                <w:color w:val="FFFFFF"/>
              </w:rPr>
              <w:t>2006</w:t>
            </w:r>
          </w:p>
        </w:tc>
        <w:tc>
          <w:tcPr>
            <w:tcW w:w="3620" w:type="dxa"/>
            <w:vAlign w:val="bottom"/>
            <w:tcBorders>
              <w:bottom w:val="single" w:sz="8" w:color="auto"/>
            </w:tcBorders>
          </w:tcPr>
          <w:p>
            <w:pPr>
              <w:spacing w:after="0"/>
              <w:rPr>
                <w:sz w:val="8"/>
                <w:szCs w:val="8"/>
                <w:color w:val="auto"/>
              </w:rPr>
            </w:pPr>
          </w:p>
        </w:tc>
        <w:tc>
          <w:tcPr>
            <w:tcW w:w="6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500" w:type="dxa"/>
            <w:vAlign w:val="bottom"/>
            <w:vMerge w:val="continue"/>
          </w:tcPr>
          <w:p>
            <w:pPr>
              <w:spacing w:after="0"/>
              <w:rPr>
                <w:sz w:val="9"/>
                <w:szCs w:val="9"/>
                <w:color w:val="auto"/>
              </w:rPr>
            </w:pPr>
          </w:p>
        </w:tc>
        <w:tc>
          <w:tcPr>
            <w:tcW w:w="3620" w:type="dxa"/>
            <w:vAlign w:val="bottom"/>
            <w:vMerge w:val="restart"/>
          </w:tcPr>
          <w:p>
            <w:pPr>
              <w:ind w:left="60"/>
              <w:spacing w:after="0"/>
              <w:rPr>
                <w:sz w:val="20"/>
                <w:szCs w:val="20"/>
                <w:color w:val="auto"/>
              </w:rPr>
            </w:pPr>
            <w:r>
              <w:rPr>
                <w:rFonts w:ascii="Arial" w:cs="Arial" w:eastAsia="Arial" w:hAnsi="Arial"/>
                <w:sz w:val="16"/>
                <w:szCs w:val="16"/>
                <w:b w:val="1"/>
                <w:bCs w:val="1"/>
                <w:color w:val="CB233C"/>
              </w:rPr>
              <w:t>Other Company Directorships:</w:t>
            </w:r>
          </w:p>
        </w:tc>
        <w:tc>
          <w:tcPr>
            <w:tcW w:w="6060" w:type="dxa"/>
            <w:vAlign w:val="bottom"/>
            <w:vMerge w:val="restart"/>
          </w:tcPr>
          <w:p>
            <w:pPr>
              <w:ind w:left="1220"/>
              <w:spacing w:after="0"/>
              <w:rPr>
                <w:sz w:val="20"/>
                <w:szCs w:val="20"/>
                <w:color w:val="auto"/>
              </w:rPr>
            </w:pPr>
            <w:r>
              <w:rPr>
                <w:rFonts w:ascii="Arial" w:cs="Arial" w:eastAsia="Arial" w:hAnsi="Arial"/>
                <w:sz w:val="16"/>
                <w:szCs w:val="16"/>
                <w:b w:val="1"/>
                <w:bCs w:val="1"/>
                <w:color w:val="CB233C"/>
              </w:rPr>
              <w:t>Former Directorships in the Past 5 Years:</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rPr>
                <w:sz w:val="20"/>
                <w:szCs w:val="20"/>
                <w:color w:val="auto"/>
              </w:rPr>
            </w:pPr>
            <w:r>
              <w:rPr>
                <w:rFonts w:ascii="Arial" w:cs="Arial" w:eastAsia="Arial" w:hAnsi="Arial"/>
                <w:sz w:val="16"/>
                <w:szCs w:val="16"/>
                <w:b w:val="1"/>
                <w:bCs w:val="1"/>
                <w:color w:val="FFFFFF"/>
              </w:rPr>
              <w:t>INDEPENDENT</w:t>
            </w:r>
          </w:p>
        </w:tc>
        <w:tc>
          <w:tcPr>
            <w:tcW w:w="3620" w:type="dxa"/>
            <w:vAlign w:val="bottom"/>
            <w:vMerge w:val="continue"/>
          </w:tcPr>
          <w:p>
            <w:pPr>
              <w:spacing w:after="0"/>
              <w:rPr>
                <w:sz w:val="7"/>
                <w:szCs w:val="7"/>
                <w:color w:val="auto"/>
              </w:rPr>
            </w:pPr>
          </w:p>
        </w:tc>
        <w:tc>
          <w:tcPr>
            <w:tcW w:w="6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500" w:type="dxa"/>
            <w:vAlign w:val="bottom"/>
            <w:vMerge w:val="continue"/>
          </w:tcPr>
          <w:p>
            <w:pPr>
              <w:spacing w:after="0"/>
              <w:rPr>
                <w:sz w:val="18"/>
                <w:szCs w:val="18"/>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CB233C"/>
              </w:rPr>
              <w:t xml:space="preserve">• </w:t>
            </w:r>
            <w:r>
              <w:rPr>
                <w:rFonts w:ascii="Arial" w:cs="Arial" w:eastAsia="Arial" w:hAnsi="Arial"/>
                <w:sz w:val="16"/>
                <w:szCs w:val="16"/>
                <w:color w:val="000000"/>
              </w:rPr>
              <w:t>Fluor Corporation (since 2011)</w:t>
            </w:r>
          </w:p>
        </w:tc>
        <w:tc>
          <w:tcPr>
            <w:tcW w:w="6060" w:type="dxa"/>
            <w:vAlign w:val="bottom"/>
          </w:tcPr>
          <w:p>
            <w:pPr>
              <w:ind w:left="1220"/>
              <w:spacing w:after="0"/>
              <w:rPr>
                <w:sz w:val="20"/>
                <w:szCs w:val="20"/>
                <w:color w:val="auto"/>
              </w:rPr>
            </w:pPr>
            <w:r>
              <w:rPr>
                <w:rFonts w:ascii="Arial" w:cs="Arial" w:eastAsia="Arial" w:hAnsi="Arial"/>
                <w:sz w:val="16"/>
                <w:szCs w:val="16"/>
                <w:color w:val="CB233C"/>
              </w:rPr>
              <w:t xml:space="preserve">• </w:t>
            </w:r>
            <w:r>
              <w:rPr>
                <w:rFonts w:ascii="Arial" w:cs="Arial" w:eastAsia="Arial" w:hAnsi="Arial"/>
                <w:sz w:val="16"/>
                <w:szCs w:val="16"/>
                <w:color w:val="000000"/>
              </w:rPr>
              <w:t>None</w:t>
            </w:r>
          </w:p>
        </w:tc>
        <w:tc>
          <w:tcPr>
            <w:tcW w:w="0" w:type="dxa"/>
            <w:vAlign w:val="bottom"/>
          </w:tcPr>
          <w:p>
            <w:pPr>
              <w:spacing w:after="0"/>
              <w:rPr>
                <w:sz w:val="1"/>
                <w:szCs w:val="1"/>
                <w:color w:val="auto"/>
              </w:rPr>
            </w:pPr>
          </w:p>
        </w:tc>
      </w:tr>
    </w:tbl>
    <w:p>
      <w:pPr>
        <w:ind w:left="1620"/>
        <w:spacing w:after="0"/>
        <w:rPr>
          <w:sz w:val="20"/>
          <w:szCs w:val="20"/>
          <w:color w:val="auto"/>
        </w:rPr>
      </w:pPr>
      <w:r>
        <w:rPr>
          <w:rFonts w:ascii="Arial" w:cs="Arial" w:eastAsia="Arial" w:hAnsi="Arial"/>
          <w:sz w:val="16"/>
          <w:szCs w:val="16"/>
          <w:color w:val="CB233C"/>
        </w:rPr>
        <w:t xml:space="preserve">• </w:t>
      </w:r>
      <w:r>
        <w:rPr>
          <w:rFonts w:ascii="Arial" w:cs="Arial" w:eastAsia="Arial" w:hAnsi="Arial"/>
          <w:sz w:val="16"/>
          <w:szCs w:val="16"/>
          <w:color w:val="000000"/>
        </w:rPr>
        <w:t>TJX Companies, Inc. (since 2007)</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MILTON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2040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2040255"/>
                    </a:xfrm>
                    <a:prstGeom prst="rect">
                      <a:avLst/>
                    </a:prstGeom>
                    <a:noFill/>
                  </pic:spPr>
                </pic:pic>
              </a:graphicData>
            </a:graphic>
          </wp:anchor>
        </w:drawing>
      </w:r>
    </w:p>
    <w:p>
      <w:pPr>
        <w:spacing w:after="0" w:line="102"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CB233C"/>
        </w:rPr>
        <w:t>Professional Experience:</w:t>
      </w:r>
    </w:p>
    <w:p>
      <w:pPr>
        <w:spacing w:after="0" w:line="21" w:lineRule="exact"/>
        <w:rPr>
          <w:sz w:val="20"/>
          <w:szCs w:val="20"/>
          <w:color w:val="auto"/>
        </w:rPr>
      </w:pPr>
    </w:p>
    <w:p>
      <w:pPr>
        <w:ind w:left="1760" w:right="420" w:hanging="146"/>
        <w:spacing w:after="0" w:line="246" w:lineRule="auto"/>
        <w:tabs>
          <w:tab w:leader="none" w:pos="1754" w:val="left"/>
        </w:tabs>
        <w:numPr>
          <w:ilvl w:val="0"/>
          <w:numId w:val="20"/>
        </w:numPr>
        <w:rPr>
          <w:rFonts w:ascii="Arial" w:cs="Arial" w:eastAsia="Arial" w:hAnsi="Arial"/>
          <w:sz w:val="16"/>
          <w:szCs w:val="16"/>
          <w:color w:val="CB233C"/>
        </w:rPr>
      </w:pPr>
      <w:r>
        <w:rPr>
          <w:rFonts w:ascii="Arial" w:cs="Arial" w:eastAsia="Arial" w:hAnsi="Arial"/>
          <w:sz w:val="16"/>
          <w:szCs w:val="16"/>
          <w:color w:val="auto"/>
        </w:rPr>
        <w:t>Executive Chairman of the Board of CenterPoint Energy, Inc. (a public utility holding company) from 2013 until his retirement in 2021</w:t>
      </w:r>
    </w:p>
    <w:p>
      <w:pPr>
        <w:ind w:left="1760" w:hanging="146"/>
        <w:spacing w:after="0"/>
        <w:tabs>
          <w:tab w:leader="none" w:pos="1760" w:val="left"/>
        </w:tabs>
        <w:numPr>
          <w:ilvl w:val="0"/>
          <w:numId w:val="20"/>
        </w:numPr>
        <w:rPr>
          <w:rFonts w:ascii="Arial" w:cs="Arial" w:eastAsia="Arial" w:hAnsi="Arial"/>
          <w:sz w:val="16"/>
          <w:szCs w:val="16"/>
          <w:color w:val="CB233C"/>
        </w:rPr>
      </w:pPr>
      <w:r>
        <w:rPr>
          <w:rFonts w:ascii="Arial" w:cs="Arial" w:eastAsia="Arial" w:hAnsi="Arial"/>
          <w:sz w:val="16"/>
          <w:szCs w:val="16"/>
          <w:color w:val="auto"/>
        </w:rPr>
        <w:t>Non-Executive Chairman of the Board of CenterPoint Energy, Inc. from 2002 to 2013</w:t>
      </w:r>
    </w:p>
    <w:p>
      <w:pPr>
        <w:spacing w:after="0" w:line="5" w:lineRule="exact"/>
        <w:rPr>
          <w:rFonts w:ascii="Arial" w:cs="Arial" w:eastAsia="Arial" w:hAnsi="Arial"/>
          <w:sz w:val="16"/>
          <w:szCs w:val="16"/>
          <w:color w:val="CB233C"/>
        </w:rPr>
      </w:pPr>
    </w:p>
    <w:p>
      <w:pPr>
        <w:ind w:left="1760" w:hanging="146"/>
        <w:spacing w:after="0"/>
        <w:tabs>
          <w:tab w:leader="none" w:pos="1760" w:val="left"/>
        </w:tabs>
        <w:numPr>
          <w:ilvl w:val="0"/>
          <w:numId w:val="20"/>
        </w:numPr>
        <w:rPr>
          <w:rFonts w:ascii="Arial" w:cs="Arial" w:eastAsia="Arial" w:hAnsi="Arial"/>
          <w:sz w:val="16"/>
          <w:szCs w:val="16"/>
          <w:color w:val="CB233C"/>
        </w:rPr>
      </w:pPr>
      <w:r>
        <w:rPr>
          <w:rFonts w:ascii="Arial" w:cs="Arial" w:eastAsia="Arial" w:hAnsi="Arial"/>
          <w:sz w:val="16"/>
          <w:szCs w:val="16"/>
          <w:color w:val="auto"/>
        </w:rPr>
        <w:t>Founder of Instrument Products, Inc, a Houston-based company specializing in manufacturing oil field equipment</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20" w:type="dxa"/>
            <w:vAlign w:val="bottom"/>
          </w:tcPr>
          <w:p>
            <w:pPr>
              <w:ind w:left="60"/>
              <w:spacing w:after="0"/>
              <w:rPr>
                <w:sz w:val="20"/>
                <w:szCs w:val="20"/>
                <w:color w:val="auto"/>
              </w:rPr>
            </w:pPr>
            <w:r>
              <w:rPr>
                <w:rFonts w:ascii="Arial" w:cs="Arial" w:eastAsia="Arial" w:hAnsi="Arial"/>
                <w:sz w:val="16"/>
                <w:szCs w:val="16"/>
                <w:b w:val="1"/>
                <w:bCs w:val="1"/>
                <w:color w:val="CB233C"/>
              </w:rPr>
              <w:t>Skills and Expertise</w:t>
            </w:r>
            <w:r>
              <w:rPr>
                <w:rFonts w:ascii="Arial" w:cs="Arial" w:eastAsia="Arial" w:hAnsi="Arial"/>
                <w:sz w:val="16"/>
                <w:szCs w:val="16"/>
                <w:color w:val="CB233C"/>
              </w:rPr>
              <w:t>:</w:t>
            </w:r>
          </w:p>
        </w:tc>
        <w:tc>
          <w:tcPr>
            <w:tcW w:w="3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gridSpan w:val="2"/>
            <w:vMerge w:val="restart"/>
          </w:tcPr>
          <w:p>
            <w:pPr>
              <w:spacing w:after="0"/>
              <w:rPr>
                <w:sz w:val="20"/>
                <w:szCs w:val="20"/>
                <w:color w:val="auto"/>
              </w:rPr>
            </w:pPr>
            <w:r>
              <w:rPr>
                <w:rFonts w:ascii="Arial" w:cs="Arial" w:eastAsia="Arial" w:hAnsi="Arial"/>
                <w:sz w:val="16"/>
                <w:szCs w:val="16"/>
                <w:color w:val="FFFFFF"/>
              </w:rPr>
              <w:t>Age 71</w:t>
            </w:r>
          </w:p>
        </w:tc>
        <w:tc>
          <w:tcPr>
            <w:tcW w:w="9680" w:type="dxa"/>
            <w:vAlign w:val="bottom"/>
            <w:gridSpan w:val="3"/>
          </w:tcPr>
          <w:p>
            <w:pPr>
              <w:ind w:left="60"/>
              <w:spacing w:after="0"/>
              <w:rPr>
                <w:sz w:val="20"/>
                <w:szCs w:val="20"/>
                <w:color w:val="auto"/>
              </w:rPr>
            </w:pPr>
            <w:r>
              <w:rPr>
                <w:rFonts w:ascii="Arial" w:cs="Arial" w:eastAsia="Arial" w:hAnsi="Arial"/>
                <w:sz w:val="16"/>
                <w:szCs w:val="16"/>
                <w:color w:val="auto"/>
              </w:rPr>
              <w:t>The Board determined that Mr. Carroll should be nominated for election as a Director because of his public company board</w:t>
            </w:r>
          </w:p>
        </w:tc>
        <w:tc>
          <w:tcPr>
            <w:tcW w:w="0" w:type="dxa"/>
            <w:vAlign w:val="bottom"/>
          </w:tcPr>
          <w:p>
            <w:pPr>
              <w:spacing w:after="0"/>
              <w:rPr>
                <w:sz w:val="1"/>
                <w:szCs w:val="1"/>
                <w:color w:val="auto"/>
              </w:rPr>
            </w:pPr>
          </w:p>
        </w:tc>
      </w:tr>
      <w:tr>
        <w:trPr>
          <w:trHeight w:val="120"/>
        </w:trPr>
        <w:tc>
          <w:tcPr>
            <w:tcW w:w="1500" w:type="dxa"/>
            <w:vAlign w:val="bottom"/>
            <w:gridSpan w:val="2"/>
            <w:vMerge w:val="continue"/>
          </w:tcPr>
          <w:p>
            <w:pPr>
              <w:spacing w:after="0"/>
              <w:rPr>
                <w:sz w:val="10"/>
                <w:szCs w:val="10"/>
                <w:color w:val="auto"/>
              </w:rPr>
            </w:pPr>
          </w:p>
        </w:tc>
        <w:tc>
          <w:tcPr>
            <w:tcW w:w="9680" w:type="dxa"/>
            <w:vAlign w:val="bottom"/>
            <w:gridSpan w:val="3"/>
            <w:vMerge w:val="restart"/>
          </w:tcPr>
          <w:p>
            <w:pPr>
              <w:ind w:left="60"/>
              <w:spacing w:after="0"/>
              <w:rPr>
                <w:sz w:val="20"/>
                <w:szCs w:val="20"/>
                <w:color w:val="auto"/>
              </w:rPr>
            </w:pPr>
            <w:r>
              <w:rPr>
                <w:rFonts w:ascii="Arial" w:cs="Arial" w:eastAsia="Arial" w:hAnsi="Arial"/>
                <w:sz w:val="16"/>
                <w:szCs w:val="16"/>
                <w:color w:val="auto"/>
              </w:rPr>
              <w:t>experience, corporate governance expertise, and deep knowledge of the oil and gas services industry. Mr. Carroll brings widely-</w:t>
            </w:r>
          </w:p>
        </w:tc>
        <w:tc>
          <w:tcPr>
            <w:tcW w:w="0" w:type="dxa"/>
            <w:vAlign w:val="bottom"/>
          </w:tcPr>
          <w:p>
            <w:pPr>
              <w:spacing w:after="0"/>
              <w:rPr>
                <w:sz w:val="1"/>
                <w:szCs w:val="1"/>
                <w:color w:val="auto"/>
              </w:rPr>
            </w:pPr>
          </w:p>
        </w:tc>
      </w:tr>
      <w:tr>
        <w:trPr>
          <w:trHeight w:val="69"/>
        </w:trPr>
        <w:tc>
          <w:tcPr>
            <w:tcW w:w="1500" w:type="dxa"/>
            <w:vAlign w:val="bottom"/>
            <w:gridSpan w:val="2"/>
            <w:vMerge w:val="restart"/>
          </w:tcPr>
          <w:p>
            <w:pPr>
              <w:spacing w:after="0"/>
              <w:rPr>
                <w:sz w:val="20"/>
                <w:szCs w:val="20"/>
                <w:color w:val="auto"/>
              </w:rPr>
            </w:pPr>
            <w:r>
              <w:rPr>
                <w:rFonts w:ascii="Arial" w:cs="Arial" w:eastAsia="Arial" w:hAnsi="Arial"/>
                <w:sz w:val="16"/>
                <w:szCs w:val="16"/>
                <w:color w:val="FFFFFF"/>
              </w:rPr>
              <w:t>Director</w:t>
            </w:r>
          </w:p>
        </w:tc>
        <w:tc>
          <w:tcPr>
            <w:tcW w:w="96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500" w:type="dxa"/>
            <w:vAlign w:val="bottom"/>
            <w:gridSpan w:val="2"/>
            <w:vMerge w:val="continue"/>
          </w:tcPr>
          <w:p>
            <w:pPr>
              <w:spacing w:after="0"/>
              <w:rPr>
                <w:sz w:val="14"/>
                <w:szCs w:val="14"/>
                <w:color w:val="auto"/>
              </w:rPr>
            </w:pPr>
          </w:p>
        </w:tc>
        <w:tc>
          <w:tcPr>
            <w:tcW w:w="9680" w:type="dxa"/>
            <w:vAlign w:val="bottom"/>
            <w:gridSpan w:val="3"/>
          </w:tcPr>
          <w:p>
            <w:pPr>
              <w:ind w:left="60"/>
              <w:spacing w:after="0" w:line="163" w:lineRule="exact"/>
              <w:rPr>
                <w:sz w:val="20"/>
                <w:szCs w:val="20"/>
                <w:color w:val="auto"/>
              </w:rPr>
            </w:pPr>
            <w:r>
              <w:rPr>
                <w:rFonts w:ascii="Arial" w:cs="Arial" w:eastAsia="Arial" w:hAnsi="Arial"/>
                <w:sz w:val="16"/>
                <w:szCs w:val="16"/>
                <w:color w:val="auto"/>
              </w:rPr>
              <w:t>regarded public company board expertise across a variety of industries with a particular focus in the power and energy industries.</w:t>
            </w:r>
          </w:p>
        </w:tc>
        <w:tc>
          <w:tcPr>
            <w:tcW w:w="0" w:type="dxa"/>
            <w:vAlign w:val="bottom"/>
          </w:tcPr>
          <w:p>
            <w:pPr>
              <w:spacing w:after="0"/>
              <w:rPr>
                <w:sz w:val="1"/>
                <w:szCs w:val="1"/>
                <w:color w:val="auto"/>
              </w:rPr>
            </w:pPr>
          </w:p>
        </w:tc>
      </w:tr>
      <w:tr>
        <w:trPr>
          <w:trHeight w:val="94"/>
        </w:trPr>
        <w:tc>
          <w:tcPr>
            <w:tcW w:w="1500" w:type="dxa"/>
            <w:vAlign w:val="bottom"/>
            <w:gridSpan w:val="2"/>
            <w:vMerge w:val="restart"/>
          </w:tcPr>
          <w:p>
            <w:pPr>
              <w:spacing w:after="0"/>
              <w:rPr>
                <w:sz w:val="20"/>
                <w:szCs w:val="20"/>
                <w:color w:val="auto"/>
              </w:rPr>
            </w:pPr>
            <w:r>
              <w:rPr>
                <w:rFonts w:ascii="Arial" w:cs="Arial" w:eastAsia="Arial" w:hAnsi="Arial"/>
                <w:sz w:val="16"/>
                <w:szCs w:val="16"/>
                <w:color w:val="FFFFFF"/>
              </w:rPr>
              <w:t xml:space="preserve">since: </w:t>
            </w:r>
            <w:r>
              <w:rPr>
                <w:rFonts w:ascii="Arial" w:cs="Arial" w:eastAsia="Arial" w:hAnsi="Arial"/>
                <w:sz w:val="16"/>
                <w:szCs w:val="16"/>
                <w:b w:val="1"/>
                <w:bCs w:val="1"/>
                <w:color w:val="FFFFFF"/>
              </w:rPr>
              <w:t>2006</w:t>
            </w:r>
          </w:p>
        </w:tc>
        <w:tc>
          <w:tcPr>
            <w:tcW w:w="4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500" w:type="dxa"/>
            <w:vAlign w:val="bottom"/>
            <w:gridSpan w:val="2"/>
            <w:vMerge w:val="continue"/>
          </w:tcPr>
          <w:p>
            <w:pPr>
              <w:spacing w:after="0"/>
              <w:rPr>
                <w:sz w:val="9"/>
                <w:szCs w:val="9"/>
                <w:color w:val="auto"/>
              </w:rPr>
            </w:pPr>
          </w:p>
        </w:tc>
        <w:tc>
          <w:tcPr>
            <w:tcW w:w="4620" w:type="dxa"/>
            <w:vAlign w:val="bottom"/>
            <w:vMerge w:val="restart"/>
          </w:tcPr>
          <w:p>
            <w:pPr>
              <w:ind w:left="60"/>
              <w:spacing w:after="0"/>
              <w:rPr>
                <w:sz w:val="20"/>
                <w:szCs w:val="20"/>
                <w:color w:val="auto"/>
              </w:rPr>
            </w:pPr>
            <w:r>
              <w:rPr>
                <w:rFonts w:ascii="Arial" w:cs="Arial" w:eastAsia="Arial" w:hAnsi="Arial"/>
                <w:sz w:val="16"/>
                <w:szCs w:val="16"/>
                <w:b w:val="1"/>
                <w:bCs w:val="1"/>
                <w:color w:val="CB233C"/>
              </w:rPr>
              <w:t>Other Company Directorships:</w:t>
            </w:r>
          </w:p>
        </w:tc>
        <w:tc>
          <w:tcPr>
            <w:tcW w:w="50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CB233C"/>
              </w:rPr>
              <w:t>Former Directorships in the Past 5 Years:</w:t>
            </w:r>
          </w:p>
        </w:tc>
        <w:tc>
          <w:tcPr>
            <w:tcW w:w="0" w:type="dxa"/>
            <w:vAlign w:val="bottom"/>
          </w:tcPr>
          <w:p>
            <w:pPr>
              <w:spacing w:after="0"/>
              <w:rPr>
                <w:sz w:val="1"/>
                <w:szCs w:val="1"/>
                <w:color w:val="auto"/>
              </w:rPr>
            </w:pPr>
          </w:p>
        </w:tc>
      </w:tr>
      <w:tr>
        <w:trPr>
          <w:trHeight w:val="114"/>
        </w:trPr>
        <w:tc>
          <w:tcPr>
            <w:tcW w:w="1500" w:type="dxa"/>
            <w:vAlign w:val="bottom"/>
            <w:gridSpan w:val="2"/>
            <w:vMerge w:val="restart"/>
          </w:tcPr>
          <w:p>
            <w:pPr>
              <w:spacing w:after="0"/>
              <w:rPr>
                <w:sz w:val="20"/>
                <w:szCs w:val="20"/>
                <w:color w:val="auto"/>
              </w:rPr>
            </w:pPr>
            <w:r>
              <w:rPr>
                <w:rFonts w:ascii="Arial" w:cs="Arial" w:eastAsia="Arial" w:hAnsi="Arial"/>
                <w:sz w:val="16"/>
                <w:szCs w:val="16"/>
                <w:b w:val="1"/>
                <w:bCs w:val="1"/>
                <w:color w:val="FFFFFF"/>
              </w:rPr>
              <w:t>INDEPENDENT</w:t>
            </w:r>
          </w:p>
        </w:tc>
        <w:tc>
          <w:tcPr>
            <w:tcW w:w="4620" w:type="dxa"/>
            <w:vAlign w:val="bottom"/>
            <w:vMerge w:val="continue"/>
          </w:tcPr>
          <w:p>
            <w:pPr>
              <w:spacing w:after="0"/>
              <w:rPr>
                <w:sz w:val="9"/>
                <w:szCs w:val="9"/>
                <w:color w:val="auto"/>
              </w:rPr>
            </w:pPr>
          </w:p>
        </w:tc>
        <w:tc>
          <w:tcPr>
            <w:tcW w:w="5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00" w:type="dxa"/>
            <w:vAlign w:val="bottom"/>
            <w:gridSpan w:val="2"/>
            <w:vMerge w:val="continue"/>
          </w:tcPr>
          <w:p>
            <w:pPr>
              <w:spacing w:after="0"/>
              <w:rPr>
                <w:sz w:val="12"/>
                <w:szCs w:val="12"/>
                <w:color w:val="auto"/>
              </w:rPr>
            </w:pPr>
          </w:p>
        </w:tc>
        <w:tc>
          <w:tcPr>
            <w:tcW w:w="4620" w:type="dxa"/>
            <w:vAlign w:val="bottom"/>
            <w:vMerge w:val="restart"/>
          </w:tcPr>
          <w:p>
            <w:pPr>
              <w:ind w:left="60"/>
              <w:spacing w:after="0"/>
              <w:rPr>
                <w:sz w:val="20"/>
                <w:szCs w:val="20"/>
                <w:color w:val="auto"/>
              </w:rPr>
            </w:pPr>
            <w:r>
              <w:rPr>
                <w:rFonts w:ascii="Arial" w:cs="Arial" w:eastAsia="Arial" w:hAnsi="Arial"/>
                <w:sz w:val="16"/>
                <w:szCs w:val="16"/>
                <w:color w:val="CB233C"/>
              </w:rPr>
              <w:t xml:space="preserve">• </w:t>
            </w:r>
            <w:r>
              <w:rPr>
                <w:rFonts w:ascii="Arial" w:cs="Arial" w:eastAsia="Arial" w:hAnsi="Arial"/>
                <w:sz w:val="16"/>
                <w:szCs w:val="16"/>
                <w:color w:val="000000"/>
              </w:rPr>
              <w:t>Chairman of the Board of Health Care Service Corporation</w:t>
            </w:r>
          </w:p>
        </w:tc>
        <w:tc>
          <w:tcPr>
            <w:tcW w:w="320" w:type="dxa"/>
            <w:vAlign w:val="bottom"/>
            <w:vMerge w:val="restart"/>
          </w:tcPr>
          <w:p>
            <w:pPr>
              <w:ind w:left="220"/>
              <w:spacing w:after="0"/>
              <w:rPr>
                <w:sz w:val="20"/>
                <w:szCs w:val="20"/>
                <w:color w:val="auto"/>
              </w:rPr>
            </w:pPr>
            <w:r>
              <w:rPr>
                <w:rFonts w:ascii="Arial" w:cs="Arial" w:eastAsia="Arial" w:hAnsi="Arial"/>
                <w:sz w:val="16"/>
                <w:szCs w:val="16"/>
                <w:color w:val="CB233C"/>
              </w:rPr>
              <w:t>•</w:t>
            </w:r>
          </w:p>
        </w:tc>
        <w:tc>
          <w:tcPr>
            <w:tcW w:w="4740" w:type="dxa"/>
            <w:vAlign w:val="bottom"/>
            <w:vMerge w:val="restart"/>
          </w:tcPr>
          <w:p>
            <w:pPr>
              <w:ind w:left="40"/>
              <w:spacing w:after="0"/>
              <w:rPr>
                <w:sz w:val="20"/>
                <w:szCs w:val="20"/>
                <w:color w:val="auto"/>
              </w:rPr>
            </w:pPr>
            <w:r>
              <w:rPr>
                <w:rFonts w:ascii="Arial" w:cs="Arial" w:eastAsia="Arial" w:hAnsi="Arial"/>
                <w:sz w:val="16"/>
                <w:szCs w:val="16"/>
                <w:color w:val="auto"/>
              </w:rPr>
              <w:t>LyondellBasell Industries (2010-2016)</w:t>
            </w:r>
          </w:p>
        </w:tc>
        <w:tc>
          <w:tcPr>
            <w:tcW w:w="0" w:type="dxa"/>
            <w:vAlign w:val="bottom"/>
          </w:tcPr>
          <w:p>
            <w:pPr>
              <w:spacing w:after="0"/>
              <w:rPr>
                <w:sz w:val="1"/>
                <w:szCs w:val="1"/>
                <w:color w:val="auto"/>
              </w:rPr>
            </w:pPr>
          </w:p>
        </w:tc>
      </w:tr>
      <w:tr>
        <w:trPr>
          <w:trHeight w:val="47"/>
        </w:trPr>
        <w:tc>
          <w:tcPr>
            <w:tcW w:w="1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2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4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20" w:type="dxa"/>
            <w:vAlign w:val="bottom"/>
          </w:tcPr>
          <w:p>
            <w:pPr>
              <w:ind w:left="200"/>
              <w:spacing w:after="0"/>
              <w:rPr>
                <w:sz w:val="20"/>
                <w:szCs w:val="20"/>
                <w:color w:val="auto"/>
              </w:rPr>
            </w:pPr>
            <w:r>
              <w:rPr>
                <w:rFonts w:ascii="Arial" w:cs="Arial" w:eastAsia="Arial" w:hAnsi="Arial"/>
                <w:sz w:val="16"/>
                <w:szCs w:val="16"/>
                <w:color w:val="auto"/>
              </w:rPr>
              <w:t>(since 2002)</w:t>
            </w:r>
          </w:p>
        </w:tc>
        <w:tc>
          <w:tcPr>
            <w:tcW w:w="320" w:type="dxa"/>
            <w:vAlign w:val="bottom"/>
          </w:tcPr>
          <w:p>
            <w:pPr>
              <w:ind w:left="220"/>
              <w:spacing w:after="0"/>
              <w:rPr>
                <w:sz w:val="20"/>
                <w:szCs w:val="20"/>
                <w:color w:val="auto"/>
              </w:rPr>
            </w:pPr>
            <w:r>
              <w:rPr>
                <w:rFonts w:ascii="Arial" w:cs="Arial" w:eastAsia="Arial" w:hAnsi="Arial"/>
                <w:sz w:val="16"/>
                <w:szCs w:val="16"/>
                <w:color w:val="CB233C"/>
              </w:rPr>
              <w:t>•</w:t>
            </w:r>
          </w:p>
        </w:tc>
        <w:tc>
          <w:tcPr>
            <w:tcW w:w="4740" w:type="dxa"/>
            <w:vAlign w:val="bottom"/>
          </w:tcPr>
          <w:p>
            <w:pPr>
              <w:ind w:left="40"/>
              <w:spacing w:after="0"/>
              <w:rPr>
                <w:sz w:val="20"/>
                <w:szCs w:val="20"/>
                <w:color w:val="auto"/>
              </w:rPr>
            </w:pPr>
            <w:r>
              <w:rPr>
                <w:rFonts w:ascii="Arial" w:cs="Arial" w:eastAsia="Arial" w:hAnsi="Arial"/>
                <w:sz w:val="16"/>
                <w:szCs w:val="16"/>
                <w:color w:val="auto"/>
              </w:rPr>
              <w:t>Western Gas Holdings, LLC, the general partner of Western Gas</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740" w:type="dxa"/>
            <w:vAlign w:val="bottom"/>
          </w:tcPr>
          <w:p>
            <w:pPr>
              <w:ind w:left="40"/>
              <w:spacing w:after="0"/>
              <w:rPr>
                <w:sz w:val="20"/>
                <w:szCs w:val="20"/>
                <w:color w:val="auto"/>
              </w:rPr>
            </w:pPr>
            <w:r>
              <w:rPr>
                <w:rFonts w:ascii="Arial" w:cs="Arial" w:eastAsia="Arial" w:hAnsi="Arial"/>
                <w:sz w:val="16"/>
                <w:szCs w:val="16"/>
                <w:color w:val="auto"/>
              </w:rPr>
              <w:t>Partners, L.P. (2008-2019)</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320" w:type="dxa"/>
            <w:vAlign w:val="bottom"/>
          </w:tcPr>
          <w:p>
            <w:pPr>
              <w:ind w:left="220"/>
              <w:spacing w:after="0"/>
              <w:rPr>
                <w:sz w:val="20"/>
                <w:szCs w:val="20"/>
                <w:color w:val="auto"/>
              </w:rPr>
            </w:pPr>
            <w:r>
              <w:rPr>
                <w:rFonts w:ascii="Arial" w:cs="Arial" w:eastAsia="Arial" w:hAnsi="Arial"/>
                <w:sz w:val="16"/>
                <w:szCs w:val="16"/>
                <w:color w:val="CB233C"/>
              </w:rPr>
              <w:t>•</w:t>
            </w:r>
          </w:p>
        </w:tc>
        <w:tc>
          <w:tcPr>
            <w:tcW w:w="4740" w:type="dxa"/>
            <w:vAlign w:val="bottom"/>
          </w:tcPr>
          <w:p>
            <w:pPr>
              <w:ind w:left="40"/>
              <w:spacing w:after="0"/>
              <w:rPr>
                <w:sz w:val="20"/>
                <w:szCs w:val="20"/>
                <w:color w:val="auto"/>
              </w:rPr>
            </w:pPr>
            <w:r>
              <w:rPr>
                <w:rFonts w:ascii="Arial" w:cs="Arial" w:eastAsia="Arial" w:hAnsi="Arial"/>
                <w:sz w:val="16"/>
                <w:szCs w:val="16"/>
                <w:color w:val="auto"/>
              </w:rPr>
              <w:t>Western Midstream Partners, LP (February 2019-August 2019)</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20" w:type="dxa"/>
            <w:vAlign w:val="bottom"/>
          </w:tcPr>
          <w:p>
            <w:pPr>
              <w:ind w:left="220"/>
              <w:spacing w:after="0"/>
              <w:rPr>
                <w:sz w:val="20"/>
                <w:szCs w:val="20"/>
                <w:color w:val="auto"/>
              </w:rPr>
            </w:pPr>
            <w:r>
              <w:rPr>
                <w:rFonts w:ascii="Arial" w:cs="Arial" w:eastAsia="Arial" w:hAnsi="Arial"/>
                <w:sz w:val="16"/>
                <w:szCs w:val="16"/>
                <w:color w:val="CB233C"/>
              </w:rPr>
              <w:t>•</w:t>
            </w:r>
          </w:p>
        </w:tc>
        <w:tc>
          <w:tcPr>
            <w:tcW w:w="4740" w:type="dxa"/>
            <w:vAlign w:val="bottom"/>
          </w:tcPr>
          <w:p>
            <w:pPr>
              <w:ind w:left="40"/>
              <w:spacing w:after="0"/>
              <w:rPr>
                <w:sz w:val="20"/>
                <w:szCs w:val="20"/>
                <w:color w:val="auto"/>
              </w:rPr>
            </w:pPr>
            <w:r>
              <w:rPr>
                <w:rFonts w:ascii="Arial" w:cs="Arial" w:eastAsia="Arial" w:hAnsi="Arial"/>
                <w:sz w:val="16"/>
                <w:szCs w:val="16"/>
                <w:color w:val="auto"/>
              </w:rPr>
              <w:t>CenterPoint Energy, Inc. (1992-2021)</w:t>
            </w:r>
          </w:p>
        </w:tc>
        <w:tc>
          <w:tcPr>
            <w:tcW w:w="0" w:type="dxa"/>
            <w:vAlign w:val="bottom"/>
          </w:tcPr>
          <w:p>
            <w:pPr>
              <w:spacing w:after="0"/>
              <w:rPr>
                <w:sz w:val="1"/>
                <w:szCs w:val="1"/>
                <w:color w:val="auto"/>
              </w:rPr>
            </w:pPr>
          </w:p>
        </w:tc>
      </w:tr>
      <w:tr>
        <w:trPr>
          <w:trHeight w:val="42"/>
        </w:trPr>
        <w:tc>
          <w:tcPr>
            <w:tcW w:w="1300" w:type="dxa"/>
            <w:vAlign w:val="bottom"/>
          </w:tcPr>
          <w:p>
            <w:pPr>
              <w:spacing w:after="0"/>
              <w:rPr>
                <w:sz w:val="3"/>
                <w:szCs w:val="3"/>
                <w:color w:val="auto"/>
              </w:rPr>
            </w:pPr>
          </w:p>
        </w:tc>
        <w:tc>
          <w:tcPr>
            <w:tcW w:w="200" w:type="dxa"/>
            <w:vAlign w:val="bottom"/>
            <w:tcBorders>
              <w:bottom w:val="single" w:sz="8" w:color="CB233C"/>
            </w:tcBorders>
          </w:tcPr>
          <w:p>
            <w:pPr>
              <w:spacing w:after="0"/>
              <w:rPr>
                <w:sz w:val="3"/>
                <w:szCs w:val="3"/>
                <w:color w:val="auto"/>
              </w:rPr>
            </w:pPr>
          </w:p>
        </w:tc>
        <w:tc>
          <w:tcPr>
            <w:tcW w:w="4620" w:type="dxa"/>
            <w:vAlign w:val="bottom"/>
            <w:tcBorders>
              <w:bottom w:val="single" w:sz="8" w:color="CB233C"/>
            </w:tcBorders>
          </w:tcPr>
          <w:p>
            <w:pPr>
              <w:spacing w:after="0"/>
              <w:rPr>
                <w:sz w:val="3"/>
                <w:szCs w:val="3"/>
                <w:color w:val="auto"/>
              </w:rPr>
            </w:pPr>
          </w:p>
        </w:tc>
        <w:tc>
          <w:tcPr>
            <w:tcW w:w="320" w:type="dxa"/>
            <w:vAlign w:val="bottom"/>
            <w:tcBorders>
              <w:bottom w:val="single" w:sz="8" w:color="CB233C"/>
            </w:tcBorders>
          </w:tcPr>
          <w:p>
            <w:pPr>
              <w:spacing w:after="0"/>
              <w:rPr>
                <w:sz w:val="3"/>
                <w:szCs w:val="3"/>
                <w:color w:val="auto"/>
              </w:rPr>
            </w:pPr>
          </w:p>
        </w:tc>
        <w:tc>
          <w:tcPr>
            <w:tcW w:w="4740" w:type="dxa"/>
            <w:vAlign w:val="bottom"/>
            <w:tcBorders>
              <w:bottom w:val="single" w:sz="8" w:color="CB233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 M.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2048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204851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6"/>
          <w:szCs w:val="16"/>
          <w:color w:val="FFFFFF"/>
        </w:rPr>
        <w:t>Age 57</w:t>
      </w:r>
    </w:p>
    <w:p>
      <w:pPr>
        <w:spacing w:after="0" w:line="73" w:lineRule="exact"/>
        <w:rPr>
          <w:sz w:val="20"/>
          <w:szCs w:val="20"/>
          <w:color w:val="auto"/>
        </w:rPr>
      </w:pPr>
    </w:p>
    <w:p>
      <w:pPr>
        <w:ind w:left="60" w:right="320"/>
        <w:spacing w:after="0" w:line="290" w:lineRule="auto"/>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2022</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INDEPENDENT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CB233C"/>
        </w:rPr>
        <w:t>Professional Experience:</w:t>
      </w:r>
    </w:p>
    <w:p>
      <w:pPr>
        <w:spacing w:after="0" w:line="21" w:lineRule="exact"/>
        <w:rPr>
          <w:sz w:val="20"/>
          <w:szCs w:val="20"/>
          <w:color w:val="auto"/>
        </w:rPr>
      </w:pPr>
    </w:p>
    <w:p>
      <w:pPr>
        <w:ind w:left="146" w:right="420" w:hanging="146"/>
        <w:spacing w:after="0" w:line="246" w:lineRule="auto"/>
        <w:tabs>
          <w:tab w:leader="none" w:pos="139" w:val="left"/>
        </w:tabs>
        <w:numPr>
          <w:ilvl w:val="0"/>
          <w:numId w:val="21"/>
        </w:numPr>
        <w:rPr>
          <w:rFonts w:ascii="Arial" w:cs="Arial" w:eastAsia="Arial" w:hAnsi="Arial"/>
          <w:sz w:val="16"/>
          <w:szCs w:val="16"/>
          <w:color w:val="CB233C"/>
        </w:rPr>
      </w:pPr>
      <w:r>
        <w:rPr>
          <w:rFonts w:ascii="Arial" w:cs="Arial" w:eastAsia="Arial" w:hAnsi="Arial"/>
          <w:sz w:val="16"/>
          <w:szCs w:val="16"/>
          <w:color w:val="auto"/>
        </w:rPr>
        <w:t>Managing Partner of MCM Houston Properties, LLC (a real estate fund that invests in single family residential properties) since 2012</w:t>
      </w:r>
    </w:p>
    <w:p>
      <w:pPr>
        <w:ind w:left="146" w:right="340" w:hanging="146"/>
        <w:spacing w:after="0" w:line="246" w:lineRule="auto"/>
        <w:tabs>
          <w:tab w:leader="none" w:pos="139" w:val="left"/>
        </w:tabs>
        <w:numPr>
          <w:ilvl w:val="0"/>
          <w:numId w:val="21"/>
        </w:numPr>
        <w:rPr>
          <w:rFonts w:ascii="Arial" w:cs="Arial" w:eastAsia="Arial" w:hAnsi="Arial"/>
          <w:sz w:val="16"/>
          <w:szCs w:val="16"/>
          <w:color w:val="CB233C"/>
        </w:rPr>
      </w:pPr>
      <w:r>
        <w:rPr>
          <w:rFonts w:ascii="Arial" w:cs="Arial" w:eastAsia="Arial" w:hAnsi="Arial"/>
          <w:sz w:val="16"/>
          <w:szCs w:val="16"/>
          <w:color w:val="auto"/>
        </w:rPr>
        <w:t>Chief Executive Officer of BTS Team, Inc. (an information technology and consulting firm, specializing in network, programming, database, and desktop support services) since 1997</w:t>
      </w:r>
    </w:p>
    <w:p>
      <w:pPr>
        <w:ind w:left="146" w:right="360" w:hanging="146"/>
        <w:spacing w:after="0" w:line="246" w:lineRule="auto"/>
        <w:tabs>
          <w:tab w:leader="none" w:pos="139" w:val="left"/>
        </w:tabs>
        <w:numPr>
          <w:ilvl w:val="0"/>
          <w:numId w:val="21"/>
        </w:numPr>
        <w:rPr>
          <w:rFonts w:ascii="Arial" w:cs="Arial" w:eastAsia="Arial" w:hAnsi="Arial"/>
          <w:sz w:val="16"/>
          <w:szCs w:val="16"/>
          <w:color w:val="CB233C"/>
        </w:rPr>
      </w:pPr>
      <w:r>
        <w:rPr>
          <w:rFonts w:ascii="Arial" w:cs="Arial" w:eastAsia="Arial" w:hAnsi="Arial"/>
          <w:sz w:val="16"/>
          <w:szCs w:val="16"/>
          <w:color w:val="auto"/>
        </w:rPr>
        <w:t>Chief Executive Officer of BestAssets, Inc. (a private company providing real estate portfolio management and related services) from 2000 to 2010</w:t>
      </w:r>
    </w:p>
    <w:p>
      <w:pPr>
        <w:ind w:left="146" w:hanging="146"/>
        <w:spacing w:after="0"/>
        <w:tabs>
          <w:tab w:leader="none" w:pos="146" w:val="left"/>
        </w:tabs>
        <w:numPr>
          <w:ilvl w:val="0"/>
          <w:numId w:val="21"/>
        </w:numPr>
        <w:rPr>
          <w:rFonts w:ascii="Arial" w:cs="Arial" w:eastAsia="Arial" w:hAnsi="Arial"/>
          <w:sz w:val="16"/>
          <w:szCs w:val="16"/>
          <w:color w:val="CB233C"/>
        </w:rPr>
      </w:pPr>
      <w:r>
        <w:rPr>
          <w:rFonts w:ascii="Arial" w:cs="Arial" w:eastAsia="Arial" w:hAnsi="Arial"/>
          <w:sz w:val="16"/>
          <w:szCs w:val="16"/>
          <w:color w:val="auto"/>
        </w:rPr>
        <w:t>Founding Chairman of the Executive Board for C-STEM Robotics from 2002 to 2018; currently Chairman Emeritus</w:t>
      </w:r>
    </w:p>
    <w:p>
      <w:pPr>
        <w:spacing w:after="0" w:line="11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CB233C"/>
        </w:rPr>
        <w:t>Skills and Expertise:</w:t>
      </w:r>
    </w:p>
    <w:p>
      <w:pPr>
        <w:spacing w:after="0" w:line="21" w:lineRule="exact"/>
        <w:rPr>
          <w:sz w:val="20"/>
          <w:szCs w:val="20"/>
          <w:color w:val="auto"/>
        </w:rPr>
      </w:pPr>
    </w:p>
    <w:p>
      <w:pPr>
        <w:ind w:left="6" w:right="180"/>
        <w:spacing w:after="0" w:line="252" w:lineRule="auto"/>
        <w:rPr>
          <w:sz w:val="20"/>
          <w:szCs w:val="20"/>
          <w:color w:val="auto"/>
        </w:rPr>
      </w:pPr>
      <w:r>
        <w:rPr>
          <w:rFonts w:ascii="Arial" w:cs="Arial" w:eastAsia="Arial" w:hAnsi="Arial"/>
          <w:sz w:val="16"/>
          <w:szCs w:val="16"/>
          <w:color w:val="auto"/>
        </w:rPr>
        <w:t>The Board determined that Mr. Cummings should be nominated for election as a Director because of his technical expertise, extensive leadership in information technology solutions, presence in the government sector, and deep entrepreneurship credentials needed for innovation in an evolving energy economy. In addition, Mr. Cummings brings valuable expertise in business strategy, capital markets, and mergers and acquisitions.</w:t>
      </w:r>
    </w:p>
    <w:p>
      <w:pPr>
        <w:spacing w:after="0" w:line="89" w:lineRule="exact"/>
        <w:rPr>
          <w:sz w:val="20"/>
          <w:szCs w:val="20"/>
          <w:color w:val="auto"/>
        </w:rPr>
      </w:pPr>
    </w:p>
    <w:p>
      <w:pPr>
        <w:sectPr>
          <w:pgSz w:w="11900" w:h="16838" w:orient="portrait"/>
          <w:cols w:equalWidth="0" w:num="2">
            <w:col w:w="1220" w:space="394"/>
            <w:col w:w="9626"/>
          </w:cols>
          <w:pgMar w:left="320" w:top="238"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1360" w:type="dxa"/>
            <w:vAlign w:val="bottom"/>
          </w:tcPr>
          <w:p>
            <w:pPr>
              <w:spacing w:after="0"/>
              <w:rPr>
                <w:sz w:val="17"/>
                <w:szCs w:val="17"/>
                <w:color w:val="auto"/>
              </w:rPr>
            </w:pPr>
          </w:p>
        </w:tc>
        <w:tc>
          <w:tcPr>
            <w:tcW w:w="4060" w:type="dxa"/>
            <w:vAlign w:val="bottom"/>
            <w:gridSpan w:val="2"/>
          </w:tcPr>
          <w:p>
            <w:pPr>
              <w:ind w:left="260"/>
              <w:spacing w:after="0"/>
              <w:rPr>
                <w:sz w:val="20"/>
                <w:szCs w:val="20"/>
                <w:color w:val="auto"/>
              </w:rPr>
            </w:pPr>
            <w:r>
              <w:rPr>
                <w:rFonts w:ascii="Arial" w:cs="Arial" w:eastAsia="Arial" w:hAnsi="Arial"/>
                <w:sz w:val="16"/>
                <w:szCs w:val="16"/>
                <w:b w:val="1"/>
                <w:bCs w:val="1"/>
                <w:color w:val="CB233C"/>
              </w:rPr>
              <w:t>Other Company Directorships:</w:t>
            </w:r>
          </w:p>
        </w:tc>
        <w:tc>
          <w:tcPr>
            <w:tcW w:w="5820" w:type="dxa"/>
            <w:vAlign w:val="bottom"/>
            <w:gridSpan w:val="2"/>
          </w:tcPr>
          <w:p>
            <w:pPr>
              <w:ind w:left="980"/>
              <w:spacing w:after="0"/>
              <w:rPr>
                <w:sz w:val="20"/>
                <w:szCs w:val="20"/>
                <w:color w:val="auto"/>
              </w:rPr>
            </w:pPr>
            <w:r>
              <w:rPr>
                <w:rFonts w:ascii="Arial" w:cs="Arial" w:eastAsia="Arial" w:hAnsi="Arial"/>
                <w:sz w:val="16"/>
                <w:szCs w:val="16"/>
                <w:b w:val="1"/>
                <w:bCs w:val="1"/>
                <w:color w:val="CB233C"/>
              </w:rPr>
              <w:t>Former Directorships in the Past 5 Years:</w:t>
            </w: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4060" w:type="dxa"/>
            <w:vAlign w:val="bottom"/>
            <w:gridSpan w:val="2"/>
          </w:tcPr>
          <w:p>
            <w:pPr>
              <w:ind w:left="260"/>
              <w:spacing w:after="0"/>
              <w:rPr>
                <w:sz w:val="20"/>
                <w:szCs w:val="20"/>
                <w:color w:val="auto"/>
              </w:rPr>
            </w:pPr>
            <w:r>
              <w:rPr>
                <w:rFonts w:ascii="Arial" w:cs="Arial" w:eastAsia="Arial" w:hAnsi="Arial"/>
                <w:sz w:val="16"/>
                <w:szCs w:val="16"/>
                <w:color w:val="CB233C"/>
              </w:rPr>
              <w:t xml:space="preserve">• </w:t>
            </w:r>
            <w:r>
              <w:rPr>
                <w:rFonts w:ascii="Arial" w:cs="Arial" w:eastAsia="Arial" w:hAnsi="Arial"/>
                <w:sz w:val="16"/>
                <w:szCs w:val="16"/>
                <w:color w:val="000000"/>
              </w:rPr>
              <w:t>CenterPoint Energy, Inc. (since 2020)</w:t>
            </w:r>
          </w:p>
        </w:tc>
        <w:tc>
          <w:tcPr>
            <w:tcW w:w="5820" w:type="dxa"/>
            <w:vAlign w:val="bottom"/>
            <w:gridSpan w:val="2"/>
          </w:tcPr>
          <w:p>
            <w:pPr>
              <w:ind w:left="980"/>
              <w:spacing w:after="0"/>
              <w:rPr>
                <w:sz w:val="20"/>
                <w:szCs w:val="20"/>
                <w:color w:val="auto"/>
              </w:rPr>
            </w:pPr>
            <w:r>
              <w:rPr>
                <w:rFonts w:ascii="Arial" w:cs="Arial" w:eastAsia="Arial" w:hAnsi="Arial"/>
                <w:sz w:val="16"/>
                <w:szCs w:val="16"/>
                <w:color w:val="CB233C"/>
              </w:rPr>
              <w:t xml:space="preserve">• </w:t>
            </w:r>
            <w:r>
              <w:rPr>
                <w:rFonts w:ascii="Arial" w:cs="Arial" w:eastAsia="Arial" w:hAnsi="Arial"/>
                <w:sz w:val="16"/>
                <w:szCs w:val="16"/>
                <w:color w:val="000000"/>
              </w:rPr>
              <w:t>None</w:t>
            </w:r>
          </w:p>
        </w:tc>
        <w:tc>
          <w:tcPr>
            <w:tcW w:w="0" w:type="dxa"/>
            <w:vAlign w:val="bottom"/>
          </w:tcPr>
          <w:p>
            <w:pPr>
              <w:spacing w:after="0"/>
              <w:rPr>
                <w:sz w:val="1"/>
                <w:szCs w:val="1"/>
                <w:color w:val="auto"/>
              </w:rPr>
            </w:pPr>
          </w:p>
        </w:tc>
      </w:tr>
      <w:tr>
        <w:trPr>
          <w:trHeight w:val="43"/>
        </w:trPr>
        <w:tc>
          <w:tcPr>
            <w:tcW w:w="1360" w:type="dxa"/>
            <w:vAlign w:val="bottom"/>
          </w:tcPr>
          <w:p>
            <w:pPr>
              <w:spacing w:after="0"/>
              <w:rPr>
                <w:sz w:val="3"/>
                <w:szCs w:val="3"/>
                <w:color w:val="auto"/>
              </w:rPr>
            </w:pPr>
          </w:p>
        </w:tc>
        <w:tc>
          <w:tcPr>
            <w:tcW w:w="380" w:type="dxa"/>
            <w:vAlign w:val="bottom"/>
            <w:tcBorders>
              <w:bottom w:val="single" w:sz="8" w:color="CB233C"/>
            </w:tcBorders>
          </w:tcPr>
          <w:p>
            <w:pPr>
              <w:spacing w:after="0"/>
              <w:rPr>
                <w:sz w:val="3"/>
                <w:szCs w:val="3"/>
                <w:color w:val="auto"/>
              </w:rPr>
            </w:pPr>
          </w:p>
        </w:tc>
        <w:tc>
          <w:tcPr>
            <w:tcW w:w="3680" w:type="dxa"/>
            <w:vAlign w:val="bottom"/>
            <w:tcBorders>
              <w:bottom w:val="single" w:sz="8" w:color="CB233C"/>
            </w:tcBorders>
          </w:tcPr>
          <w:p>
            <w:pPr>
              <w:spacing w:after="0"/>
              <w:rPr>
                <w:sz w:val="3"/>
                <w:szCs w:val="3"/>
                <w:color w:val="auto"/>
              </w:rPr>
            </w:pPr>
          </w:p>
        </w:tc>
        <w:tc>
          <w:tcPr>
            <w:tcW w:w="2220" w:type="dxa"/>
            <w:vAlign w:val="bottom"/>
            <w:tcBorders>
              <w:bottom w:val="single" w:sz="8" w:color="CB233C"/>
            </w:tcBorders>
          </w:tcPr>
          <w:p>
            <w:pPr>
              <w:spacing w:after="0"/>
              <w:rPr>
                <w:sz w:val="3"/>
                <w:szCs w:val="3"/>
                <w:color w:val="auto"/>
              </w:rPr>
            </w:pPr>
          </w:p>
        </w:tc>
        <w:tc>
          <w:tcPr>
            <w:tcW w:w="3600" w:type="dxa"/>
            <w:vAlign w:val="bottom"/>
            <w:tcBorders>
              <w:bottom w:val="single" w:sz="8" w:color="CB233C"/>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740" w:type="dxa"/>
            <w:vAlign w:val="bottom"/>
            <w:gridSpan w:val="2"/>
            <w:vMerge w:val="restart"/>
          </w:tcPr>
          <w:p>
            <w:pPr>
              <w:spacing w:after="0"/>
              <w:rPr>
                <w:sz w:val="20"/>
                <w:szCs w:val="20"/>
                <w:color w:val="auto"/>
              </w:rPr>
            </w:pPr>
            <w:r>
              <w:rPr>
                <w:rFonts w:ascii="Arial" w:cs="Arial" w:eastAsia="Arial" w:hAnsi="Arial"/>
                <w:sz w:val="16"/>
                <w:szCs w:val="16"/>
                <w:b w:val="1"/>
                <w:bCs w:val="1"/>
                <w:color w:val="CB233C"/>
              </w:rPr>
              <w:t>www.halliburton.com</w:t>
            </w:r>
          </w:p>
        </w:tc>
        <w:tc>
          <w:tcPr>
            <w:tcW w:w="36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3600" w:type="dxa"/>
            <w:vAlign w:val="bottom"/>
            <w:vMerge w:val="restart"/>
          </w:tcPr>
          <w:p>
            <w:pPr>
              <w:ind w:left="100"/>
              <w:spacing w:after="0"/>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   18</w:t>
            </w:r>
          </w:p>
        </w:tc>
        <w:tc>
          <w:tcPr>
            <w:tcW w:w="0" w:type="dxa"/>
            <w:vAlign w:val="bottom"/>
          </w:tcPr>
          <w:p>
            <w:pPr>
              <w:spacing w:after="0"/>
              <w:rPr>
                <w:sz w:val="1"/>
                <w:szCs w:val="1"/>
                <w:color w:val="auto"/>
              </w:rPr>
            </w:pPr>
          </w:p>
        </w:tc>
      </w:tr>
      <w:tr>
        <w:trPr>
          <w:trHeight w:val="94"/>
        </w:trPr>
        <w:tc>
          <w:tcPr>
            <w:tcW w:w="1740" w:type="dxa"/>
            <w:vAlign w:val="bottom"/>
            <w:gridSpan w:val="2"/>
            <w:vMerge w:val="continue"/>
          </w:tcPr>
          <w:p>
            <w:pPr>
              <w:spacing w:after="0"/>
              <w:rPr>
                <w:sz w:val="8"/>
                <w:szCs w:val="8"/>
                <w:color w:val="auto"/>
              </w:rPr>
            </w:pPr>
          </w:p>
        </w:tc>
        <w:tc>
          <w:tcPr>
            <w:tcW w:w="36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1360" w:type="dxa"/>
            <w:vAlign w:val="bottom"/>
            <w:tcBorders>
              <w:bottom w:val="single" w:sz="8" w:color="C0C0C0"/>
            </w:tcBorders>
          </w:tcPr>
          <w:p>
            <w:pPr>
              <w:spacing w:after="0"/>
              <w:rPr>
                <w:sz w:val="23"/>
                <w:szCs w:val="23"/>
                <w:color w:val="auto"/>
              </w:rPr>
            </w:pPr>
          </w:p>
        </w:tc>
        <w:tc>
          <w:tcPr>
            <w:tcW w:w="380" w:type="dxa"/>
            <w:vAlign w:val="bottom"/>
            <w:tcBorders>
              <w:bottom w:val="single" w:sz="8" w:color="C0C0C0"/>
            </w:tcBorders>
          </w:tcPr>
          <w:p>
            <w:pPr>
              <w:spacing w:after="0"/>
              <w:rPr>
                <w:sz w:val="23"/>
                <w:szCs w:val="23"/>
                <w:color w:val="auto"/>
              </w:rPr>
            </w:pPr>
          </w:p>
        </w:tc>
        <w:tc>
          <w:tcPr>
            <w:tcW w:w="3680" w:type="dxa"/>
            <w:vAlign w:val="bottom"/>
            <w:tcBorders>
              <w:bottom w:val="single" w:sz="8" w:color="C0C0C0"/>
            </w:tcBorders>
          </w:tcPr>
          <w:p>
            <w:pPr>
              <w:spacing w:after="0"/>
              <w:rPr>
                <w:sz w:val="23"/>
                <w:szCs w:val="23"/>
                <w:color w:val="auto"/>
              </w:rPr>
            </w:pPr>
          </w:p>
        </w:tc>
        <w:tc>
          <w:tcPr>
            <w:tcW w:w="2220" w:type="dxa"/>
            <w:vAlign w:val="bottom"/>
            <w:tcBorders>
              <w:bottom w:val="single" w:sz="8" w:color="C0C0C0"/>
            </w:tcBorders>
          </w:tcPr>
          <w:p>
            <w:pPr>
              <w:spacing w:after="0"/>
              <w:rPr>
                <w:sz w:val="23"/>
                <w:szCs w:val="23"/>
                <w:color w:val="auto"/>
              </w:rPr>
            </w:pPr>
          </w:p>
        </w:tc>
        <w:tc>
          <w:tcPr>
            <w:tcW w:w="360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type w:val="continuous"/>
        </w:sectPr>
      </w:pPr>
    </w:p>
    <w:bookmarkStart w:id="23" w:name="page24"/>
    <w:bookmarkEnd w:id="2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MURRY S.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19373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93738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16"/>
          <w:szCs w:val="16"/>
          <w:color w:val="FFFFFF"/>
        </w:rPr>
        <w:t>Age 69</w:t>
      </w:r>
    </w:p>
    <w:p>
      <w:pPr>
        <w:spacing w:after="0" w:line="73" w:lineRule="exact"/>
        <w:rPr>
          <w:sz w:val="20"/>
          <w:szCs w:val="20"/>
          <w:color w:val="auto"/>
        </w:rPr>
      </w:pPr>
    </w:p>
    <w:p>
      <w:pPr>
        <w:ind w:left="60" w:right="320"/>
        <w:spacing w:after="0" w:line="290" w:lineRule="auto"/>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2012</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INDEPENDENT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CB233C"/>
        </w:rPr>
        <w:t>Professional Experience:</w:t>
      </w:r>
    </w:p>
    <w:p>
      <w:pPr>
        <w:spacing w:after="0" w:line="21" w:lineRule="exact"/>
        <w:rPr>
          <w:sz w:val="20"/>
          <w:szCs w:val="20"/>
          <w:color w:val="auto"/>
        </w:rPr>
      </w:pPr>
    </w:p>
    <w:p>
      <w:pPr>
        <w:ind w:left="146" w:right="620" w:hanging="146"/>
        <w:spacing w:after="0" w:line="246" w:lineRule="auto"/>
        <w:tabs>
          <w:tab w:leader="none" w:pos="139" w:val="left"/>
        </w:tabs>
        <w:numPr>
          <w:ilvl w:val="0"/>
          <w:numId w:val="22"/>
        </w:numPr>
        <w:rPr>
          <w:rFonts w:ascii="Arial" w:cs="Arial" w:eastAsia="Arial" w:hAnsi="Arial"/>
          <w:sz w:val="16"/>
          <w:szCs w:val="16"/>
          <w:color w:val="CB233C"/>
        </w:rPr>
      </w:pPr>
      <w:r>
        <w:rPr>
          <w:rFonts w:ascii="Arial" w:cs="Arial" w:eastAsia="Arial" w:hAnsi="Arial"/>
          <w:sz w:val="16"/>
          <w:szCs w:val="16"/>
          <w:color w:val="auto"/>
        </w:rPr>
        <w:t>Executive Chairman of the Board of EQT Corporation (a leading producer of unconventional natural gas) from 2010 until his retirement in 2011</w:t>
      </w:r>
    </w:p>
    <w:p>
      <w:pPr>
        <w:ind w:left="146" w:hanging="146"/>
        <w:spacing w:after="0"/>
        <w:tabs>
          <w:tab w:leader="none" w:pos="146" w:val="left"/>
        </w:tabs>
        <w:numPr>
          <w:ilvl w:val="0"/>
          <w:numId w:val="22"/>
        </w:numPr>
        <w:rPr>
          <w:rFonts w:ascii="Arial" w:cs="Arial" w:eastAsia="Arial" w:hAnsi="Arial"/>
          <w:sz w:val="16"/>
          <w:szCs w:val="16"/>
          <w:color w:val="CB233C"/>
        </w:rPr>
      </w:pPr>
      <w:r>
        <w:rPr>
          <w:rFonts w:ascii="Arial" w:cs="Arial" w:eastAsia="Arial" w:hAnsi="Arial"/>
          <w:sz w:val="16"/>
          <w:szCs w:val="16"/>
          <w:color w:val="auto"/>
        </w:rPr>
        <w:t>Chairman and Chief Executive Officer of EQT Corporation from 2000 to 2010</w:t>
      </w:r>
    </w:p>
    <w:p>
      <w:pPr>
        <w:spacing w:after="0" w:line="5" w:lineRule="exact"/>
        <w:rPr>
          <w:rFonts w:ascii="Arial" w:cs="Arial" w:eastAsia="Arial" w:hAnsi="Arial"/>
          <w:sz w:val="16"/>
          <w:szCs w:val="16"/>
          <w:color w:val="CB233C"/>
        </w:rPr>
      </w:pPr>
    </w:p>
    <w:p>
      <w:pPr>
        <w:ind w:left="146" w:hanging="146"/>
        <w:spacing w:after="0"/>
        <w:tabs>
          <w:tab w:leader="none" w:pos="146" w:val="left"/>
        </w:tabs>
        <w:numPr>
          <w:ilvl w:val="0"/>
          <w:numId w:val="22"/>
        </w:numPr>
        <w:rPr>
          <w:rFonts w:ascii="Arial" w:cs="Arial" w:eastAsia="Arial" w:hAnsi="Arial"/>
          <w:sz w:val="16"/>
          <w:szCs w:val="16"/>
          <w:color w:val="CB233C"/>
        </w:rPr>
      </w:pPr>
      <w:r>
        <w:rPr>
          <w:rFonts w:ascii="Arial" w:cs="Arial" w:eastAsia="Arial" w:hAnsi="Arial"/>
          <w:sz w:val="16"/>
          <w:szCs w:val="16"/>
          <w:color w:val="auto"/>
        </w:rPr>
        <w:t>Chief Executive Officer and President of EQT Corporation from 1998 to 2007</w:t>
      </w:r>
    </w:p>
    <w:p>
      <w:pPr>
        <w:spacing w:after="0" w:line="5" w:lineRule="exact"/>
        <w:rPr>
          <w:rFonts w:ascii="Arial" w:cs="Arial" w:eastAsia="Arial" w:hAnsi="Arial"/>
          <w:sz w:val="16"/>
          <w:szCs w:val="16"/>
          <w:color w:val="CB233C"/>
        </w:rPr>
      </w:pPr>
    </w:p>
    <w:p>
      <w:pPr>
        <w:ind w:left="146" w:hanging="146"/>
        <w:spacing w:after="0"/>
        <w:tabs>
          <w:tab w:leader="none" w:pos="146" w:val="left"/>
        </w:tabs>
        <w:numPr>
          <w:ilvl w:val="0"/>
          <w:numId w:val="22"/>
        </w:numPr>
        <w:rPr>
          <w:rFonts w:ascii="Arial" w:cs="Arial" w:eastAsia="Arial" w:hAnsi="Arial"/>
          <w:sz w:val="16"/>
          <w:szCs w:val="16"/>
          <w:color w:val="CB233C"/>
        </w:rPr>
      </w:pPr>
      <w:r>
        <w:rPr>
          <w:rFonts w:ascii="Arial" w:cs="Arial" w:eastAsia="Arial" w:hAnsi="Arial"/>
          <w:sz w:val="16"/>
          <w:szCs w:val="16"/>
          <w:color w:val="auto"/>
        </w:rPr>
        <w:t>CEO of Coral Energy (now Shell Trading North America) from 1995 to 1998</w:t>
      </w:r>
    </w:p>
    <w:p>
      <w:pPr>
        <w:spacing w:after="0" w:line="11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CB233C"/>
        </w:rPr>
        <w:t>Skills and Expertise:</w:t>
      </w:r>
    </w:p>
    <w:p>
      <w:pPr>
        <w:spacing w:after="0" w:line="21" w:lineRule="exact"/>
        <w:rPr>
          <w:sz w:val="20"/>
          <w:szCs w:val="20"/>
          <w:color w:val="auto"/>
        </w:rPr>
      </w:pPr>
    </w:p>
    <w:p>
      <w:pPr>
        <w:ind w:left="6" w:right="200"/>
        <w:spacing w:after="0" w:line="252" w:lineRule="auto"/>
        <w:rPr>
          <w:sz w:val="20"/>
          <w:szCs w:val="20"/>
          <w:color w:val="auto"/>
        </w:rPr>
      </w:pPr>
      <w:r>
        <w:rPr>
          <w:rFonts w:ascii="Arial" w:cs="Arial" w:eastAsia="Arial" w:hAnsi="Arial"/>
          <w:sz w:val="16"/>
          <w:szCs w:val="16"/>
          <w:color w:val="auto"/>
        </w:rPr>
        <w:t>The Board determined that Mr. Gerber should be nominated for election as a Director because of his executive leadership skills and extensive business experience in the energy industry and domestic unconventional oil and natural gas basins. Mr. Gerber’s public company board experience spans two decades and multiple sectors, giving him important insights and perspectives on commodity markets and financial markets.</w:t>
      </w:r>
    </w:p>
    <w:p>
      <w:pPr>
        <w:spacing w:after="0" w:line="88" w:lineRule="exact"/>
        <w:rPr>
          <w:sz w:val="20"/>
          <w:szCs w:val="20"/>
          <w:color w:val="auto"/>
        </w:rPr>
      </w:pPr>
    </w:p>
    <w:p>
      <w:pPr>
        <w:sectPr>
          <w:pgSz w:w="11900" w:h="16838" w:orient="portrait"/>
          <w:cols w:equalWidth="0" w:num="2">
            <w:col w:w="1220" w:space="394"/>
            <w:col w:w="9626"/>
          </w:cols>
          <w:pgMar w:left="320" w:top="238" w:right="339" w:bottom="1440" w:gutter="0" w:footer="0" w:header="0"/>
          <w:type w:val="continuous"/>
        </w:sectPr>
      </w:pPr>
    </w:p>
    <w:p>
      <w:pPr>
        <w:jc w:val="right"/>
        <w:ind w:right="1660"/>
        <w:spacing w:after="0"/>
        <w:tabs>
          <w:tab w:leader="none" w:pos="3160" w:val="left"/>
        </w:tabs>
        <w:rPr>
          <w:sz w:val="20"/>
          <w:szCs w:val="20"/>
          <w:color w:val="auto"/>
        </w:rPr>
      </w:pPr>
      <w:r>
        <w:rPr>
          <w:rFonts w:ascii="Arial" w:cs="Arial" w:eastAsia="Arial" w:hAnsi="Arial"/>
          <w:sz w:val="16"/>
          <w:szCs w:val="16"/>
          <w:b w:val="1"/>
          <w:bCs w:val="1"/>
          <w:color w:val="CB233C"/>
        </w:rPr>
        <w:t>Other Company Directorships:</w:t>
      </w:r>
      <w:r>
        <w:rPr>
          <w:sz w:val="20"/>
          <w:szCs w:val="20"/>
          <w:color w:val="auto"/>
        </w:rPr>
        <w:tab/>
      </w:r>
      <w:r>
        <w:rPr>
          <w:rFonts w:ascii="Arial" w:cs="Arial" w:eastAsia="Arial" w:hAnsi="Arial"/>
          <w:sz w:val="16"/>
          <w:szCs w:val="16"/>
          <w:b w:val="1"/>
          <w:bCs w:val="1"/>
          <w:color w:val="CB233C"/>
        </w:rPr>
        <w:t>Former Directorships in the Past 5 Years:</w:t>
      </w:r>
    </w:p>
    <w:p>
      <w:pPr>
        <w:spacing w:after="0" w:line="21" w:lineRule="exact"/>
        <w:rPr>
          <w:sz w:val="20"/>
          <w:szCs w:val="20"/>
          <w:color w:val="auto"/>
        </w:rPr>
      </w:pPr>
    </w:p>
    <w:p>
      <w:pPr>
        <w:ind w:left="1620"/>
        <w:spacing w:after="0"/>
        <w:tabs>
          <w:tab w:leader="none" w:pos="6380" w:val="left"/>
        </w:tabs>
        <w:rPr>
          <w:sz w:val="20"/>
          <w:szCs w:val="20"/>
          <w:color w:val="auto"/>
        </w:rPr>
      </w:pPr>
      <w:r>
        <w:rPr>
          <w:rFonts w:ascii="Arial" w:cs="Arial" w:eastAsia="Arial" w:hAnsi="Arial"/>
          <w:sz w:val="16"/>
          <w:szCs w:val="16"/>
          <w:color w:val="CB233C"/>
        </w:rPr>
        <w:t xml:space="preserve">• </w:t>
      </w:r>
      <w:r>
        <w:rPr>
          <w:rFonts w:ascii="Arial" w:cs="Arial" w:eastAsia="Arial" w:hAnsi="Arial"/>
          <w:sz w:val="16"/>
          <w:szCs w:val="16"/>
          <w:color w:val="000000"/>
        </w:rPr>
        <w:t>BlackRock, Inc. (since 2000)</w:t>
      </w:r>
      <w:r>
        <w:rPr>
          <w:sz w:val="20"/>
          <w:szCs w:val="20"/>
          <w:color w:val="auto"/>
        </w:rPr>
        <w:tab/>
      </w:r>
      <w:r>
        <w:rPr>
          <w:rFonts w:ascii="Arial" w:cs="Arial" w:eastAsia="Arial" w:hAnsi="Arial"/>
          <w:sz w:val="16"/>
          <w:szCs w:val="16"/>
          <w:color w:val="CB233C"/>
        </w:rPr>
        <w:t xml:space="preserve">• </w:t>
      </w:r>
      <w:r>
        <w:rPr>
          <w:rFonts w:ascii="Arial" w:cs="Arial" w:eastAsia="Arial" w:hAnsi="Arial"/>
          <w:sz w:val="16"/>
          <w:szCs w:val="16"/>
          <w:color w:val="000000"/>
        </w:rPr>
        <w:t>None</w:t>
      </w:r>
    </w:p>
    <w:p>
      <w:pPr>
        <w:spacing w:after="0" w:line="15" w:lineRule="exact"/>
        <w:rPr>
          <w:sz w:val="20"/>
          <w:szCs w:val="20"/>
          <w:color w:val="auto"/>
        </w:rPr>
      </w:pPr>
    </w:p>
    <w:p>
      <w:pPr>
        <w:ind w:left="1760" w:hanging="146"/>
        <w:spacing w:after="0"/>
        <w:tabs>
          <w:tab w:leader="none" w:pos="1760" w:val="left"/>
        </w:tabs>
        <w:numPr>
          <w:ilvl w:val="0"/>
          <w:numId w:val="23"/>
        </w:numPr>
        <w:rPr>
          <w:rFonts w:ascii="Arial" w:cs="Arial" w:eastAsia="Arial" w:hAnsi="Arial"/>
          <w:sz w:val="16"/>
          <w:szCs w:val="16"/>
          <w:color w:val="CB233C"/>
        </w:rPr>
      </w:pPr>
      <w:r>
        <w:rPr>
          <w:rFonts w:ascii="Arial" w:cs="Arial" w:eastAsia="Arial" w:hAnsi="Arial"/>
          <w:sz w:val="16"/>
          <w:szCs w:val="16"/>
          <w:color w:val="auto"/>
        </w:rPr>
        <w:t>United States Steel Corporation (since 2012)</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A. MALONE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23056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2305685"/>
                    </a:xfrm>
                    <a:prstGeom prst="rect">
                      <a:avLst/>
                    </a:prstGeom>
                    <a:noFill/>
                  </pic:spPr>
                </pic:pic>
              </a:graphicData>
            </a:graphic>
          </wp:anchor>
        </w:drawing>
      </w:r>
    </w:p>
    <w:p>
      <w:pPr>
        <w:spacing w:after="0" w:line="102"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CB233C"/>
        </w:rPr>
        <w:t>Professional Experience:</w:t>
      </w:r>
    </w:p>
    <w:p>
      <w:pPr>
        <w:sectPr>
          <w:pgSz w:w="11900" w:h="16838" w:orient="portrait"/>
          <w:cols w:equalWidth="0" w:num="1">
            <w:col w:w="1124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0"/>
        <w:spacing w:after="0"/>
        <w:rPr>
          <w:sz w:val="20"/>
          <w:szCs w:val="20"/>
          <w:color w:val="auto"/>
        </w:rPr>
      </w:pPr>
      <w:r>
        <w:rPr>
          <w:rFonts w:ascii="Arial" w:cs="Arial" w:eastAsia="Arial" w:hAnsi="Arial"/>
          <w:sz w:val="16"/>
          <w:szCs w:val="16"/>
          <w:color w:val="FFFFFF"/>
        </w:rPr>
        <w:t>Age 70</w:t>
      </w:r>
    </w:p>
    <w:p>
      <w:pPr>
        <w:spacing w:after="0" w:line="73" w:lineRule="exact"/>
        <w:rPr>
          <w:sz w:val="20"/>
          <w:szCs w:val="20"/>
          <w:color w:val="auto"/>
        </w:rPr>
      </w:pPr>
    </w:p>
    <w:p>
      <w:pPr>
        <w:ind w:left="60" w:right="320"/>
        <w:spacing w:after="0" w:line="290" w:lineRule="auto"/>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2009</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INDEPENDENT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46" w:right="140" w:hanging="146"/>
        <w:spacing w:after="0" w:line="246" w:lineRule="auto"/>
        <w:tabs>
          <w:tab w:leader="none" w:pos="139" w:val="left"/>
        </w:tabs>
        <w:numPr>
          <w:ilvl w:val="0"/>
          <w:numId w:val="24"/>
        </w:numPr>
        <w:rPr>
          <w:rFonts w:ascii="Arial" w:cs="Arial" w:eastAsia="Arial" w:hAnsi="Arial"/>
          <w:sz w:val="16"/>
          <w:szCs w:val="16"/>
          <w:color w:val="CB233C"/>
        </w:rPr>
      </w:pPr>
      <w:r>
        <w:rPr>
          <w:rFonts w:ascii="Arial" w:cs="Arial" w:eastAsia="Arial" w:hAnsi="Arial"/>
          <w:sz w:val="16"/>
          <w:szCs w:val="16"/>
          <w:color w:val="auto"/>
        </w:rPr>
        <w:t>Executive Chairman, President and Chief Executive Officer of First Sonora Bancshares, Inc. (a private bank holding company) and The First National Bank of Sonora, Texas (a community bank owned by First Sonora Bancshares, Inc.) since 2014</w:t>
      </w:r>
    </w:p>
    <w:p>
      <w:pPr>
        <w:ind w:left="146" w:right="580" w:hanging="146"/>
        <w:spacing w:after="0" w:line="246" w:lineRule="auto"/>
        <w:tabs>
          <w:tab w:leader="none" w:pos="139" w:val="left"/>
        </w:tabs>
        <w:numPr>
          <w:ilvl w:val="0"/>
          <w:numId w:val="24"/>
        </w:numPr>
        <w:rPr>
          <w:rFonts w:ascii="Arial" w:cs="Arial" w:eastAsia="Arial" w:hAnsi="Arial"/>
          <w:sz w:val="16"/>
          <w:szCs w:val="16"/>
          <w:color w:val="CB233C"/>
        </w:rPr>
      </w:pPr>
      <w:r>
        <w:rPr>
          <w:rFonts w:ascii="Arial" w:cs="Arial" w:eastAsia="Arial" w:hAnsi="Arial"/>
          <w:sz w:val="16"/>
          <w:szCs w:val="16"/>
          <w:color w:val="auto"/>
        </w:rPr>
        <w:t>Executive Vice President of BP p.l.c., and Chairman of the Board and President, BP America Inc. (one of the nation’s largest producers of oil and natural gas) from 2006 to 2009</w:t>
      </w:r>
    </w:p>
    <w:p>
      <w:pPr>
        <w:ind w:left="146" w:hanging="146"/>
        <w:spacing w:after="0"/>
        <w:tabs>
          <w:tab w:leader="none" w:pos="146" w:val="left"/>
        </w:tabs>
        <w:numPr>
          <w:ilvl w:val="0"/>
          <w:numId w:val="24"/>
        </w:numPr>
        <w:rPr>
          <w:rFonts w:ascii="Arial" w:cs="Arial" w:eastAsia="Arial" w:hAnsi="Arial"/>
          <w:sz w:val="16"/>
          <w:szCs w:val="16"/>
          <w:color w:val="CB233C"/>
        </w:rPr>
      </w:pPr>
      <w:r>
        <w:rPr>
          <w:rFonts w:ascii="Arial" w:cs="Arial" w:eastAsia="Arial" w:hAnsi="Arial"/>
          <w:sz w:val="16"/>
          <w:szCs w:val="16"/>
          <w:color w:val="auto"/>
        </w:rPr>
        <w:t>Chief Executive, BP Shipping Ltd from 2002 to 2006</w:t>
      </w:r>
    </w:p>
    <w:p>
      <w:pPr>
        <w:spacing w:after="0" w:line="11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CB233C"/>
        </w:rPr>
        <w:t>Skills and Expertise:</w:t>
      </w:r>
    </w:p>
    <w:p>
      <w:pPr>
        <w:spacing w:after="0" w:line="21" w:lineRule="exact"/>
        <w:rPr>
          <w:sz w:val="20"/>
          <w:szCs w:val="20"/>
          <w:color w:val="auto"/>
        </w:rPr>
      </w:pPr>
    </w:p>
    <w:p>
      <w:pPr>
        <w:ind w:left="6" w:right="260"/>
        <w:spacing w:after="0" w:line="256" w:lineRule="auto"/>
        <w:rPr>
          <w:sz w:val="20"/>
          <w:szCs w:val="20"/>
          <w:color w:val="auto"/>
        </w:rPr>
      </w:pPr>
      <w:r>
        <w:rPr>
          <w:rFonts w:ascii="Arial" w:cs="Arial" w:eastAsia="Arial" w:hAnsi="Arial"/>
          <w:sz w:val="16"/>
          <w:szCs w:val="16"/>
          <w:color w:val="auto"/>
        </w:rPr>
        <w:t>The Board determined that Mr. Malone should be nominated for election as a Director because of his energy and natural resources industry expertise and executive leadership experience, including crisis management, safety, and performance. Additionally, Mr. Malone’s capital markets expertise is an important input into the Board’s discussions of finance and capital allocation decisions.</w:t>
      </w:r>
    </w:p>
    <w:p>
      <w:pPr>
        <w:spacing w:after="0" w:line="84" w:lineRule="exact"/>
        <w:rPr>
          <w:sz w:val="20"/>
          <w:szCs w:val="20"/>
          <w:color w:val="auto"/>
        </w:rPr>
      </w:pPr>
    </w:p>
    <w:p>
      <w:pPr>
        <w:ind w:left="6"/>
        <w:spacing w:after="0"/>
        <w:tabs>
          <w:tab w:leader="none" w:pos="4765" w:val="left"/>
        </w:tabs>
        <w:rPr>
          <w:sz w:val="20"/>
          <w:szCs w:val="20"/>
          <w:color w:val="auto"/>
        </w:rPr>
      </w:pPr>
      <w:r>
        <w:rPr>
          <w:rFonts w:ascii="Arial" w:cs="Arial" w:eastAsia="Arial" w:hAnsi="Arial"/>
          <w:sz w:val="16"/>
          <w:szCs w:val="16"/>
          <w:b w:val="1"/>
          <w:bCs w:val="1"/>
          <w:color w:val="CB233C"/>
        </w:rPr>
        <w:t>Other Company Directorships:</w:t>
      </w:r>
      <w:r>
        <w:rPr>
          <w:sz w:val="20"/>
          <w:szCs w:val="20"/>
          <w:color w:val="auto"/>
        </w:rPr>
        <w:tab/>
      </w:r>
      <w:r>
        <w:rPr>
          <w:rFonts w:ascii="Arial" w:cs="Arial" w:eastAsia="Arial" w:hAnsi="Arial"/>
          <w:sz w:val="16"/>
          <w:szCs w:val="16"/>
          <w:b w:val="1"/>
          <w:bCs w:val="1"/>
          <w:color w:val="CB233C"/>
        </w:rPr>
        <w:t>Former Directorships in the Past 5 Years:</w:t>
      </w:r>
    </w:p>
    <w:p>
      <w:pPr>
        <w:spacing w:after="0" w:line="21" w:lineRule="exact"/>
        <w:rPr>
          <w:sz w:val="20"/>
          <w:szCs w:val="20"/>
          <w:color w:val="auto"/>
        </w:rPr>
      </w:pPr>
    </w:p>
    <w:p>
      <w:pPr>
        <w:ind w:left="6"/>
        <w:spacing w:after="0"/>
        <w:tabs>
          <w:tab w:leader="none" w:pos="4765" w:val="left"/>
        </w:tabs>
        <w:rPr>
          <w:sz w:val="20"/>
          <w:szCs w:val="20"/>
          <w:color w:val="auto"/>
        </w:rPr>
      </w:pPr>
      <w:r>
        <w:rPr>
          <w:rFonts w:ascii="Arial" w:cs="Arial" w:eastAsia="Arial" w:hAnsi="Arial"/>
          <w:sz w:val="16"/>
          <w:szCs w:val="16"/>
          <w:color w:val="CB233C"/>
        </w:rPr>
        <w:t xml:space="preserve">• </w:t>
      </w:r>
      <w:r>
        <w:rPr>
          <w:rFonts w:ascii="Arial" w:cs="Arial" w:eastAsia="Arial" w:hAnsi="Arial"/>
          <w:sz w:val="16"/>
          <w:szCs w:val="16"/>
          <w:color w:val="000000"/>
        </w:rPr>
        <w:t>Non-Executive Chairman of the Board of Peabody Energy</w:t>
      </w:r>
      <w:r>
        <w:rPr>
          <w:sz w:val="20"/>
          <w:szCs w:val="20"/>
          <w:color w:val="auto"/>
        </w:rPr>
        <w:tab/>
      </w:r>
      <w:r>
        <w:rPr>
          <w:rFonts w:ascii="Arial" w:cs="Arial" w:eastAsia="Arial" w:hAnsi="Arial"/>
          <w:sz w:val="16"/>
          <w:szCs w:val="16"/>
          <w:color w:val="CB233C"/>
        </w:rPr>
        <w:t xml:space="preserve">• </w:t>
      </w:r>
      <w:r>
        <w:rPr>
          <w:rFonts w:ascii="Arial" w:cs="Arial" w:eastAsia="Arial" w:hAnsi="Arial"/>
          <w:sz w:val="16"/>
          <w:szCs w:val="16"/>
          <w:color w:val="000000"/>
        </w:rPr>
        <w:t>None</w:t>
      </w:r>
    </w:p>
    <w:p>
      <w:pPr>
        <w:spacing w:after="0" w:line="5" w:lineRule="exact"/>
        <w:rPr>
          <w:sz w:val="20"/>
          <w:szCs w:val="20"/>
          <w:color w:val="auto"/>
        </w:rPr>
      </w:pPr>
    </w:p>
    <w:p>
      <w:pPr>
        <w:ind w:left="146"/>
        <w:spacing w:after="0"/>
        <w:rPr>
          <w:sz w:val="20"/>
          <w:szCs w:val="20"/>
          <w:color w:val="auto"/>
        </w:rPr>
      </w:pPr>
      <w:r>
        <w:rPr>
          <w:rFonts w:ascii="Arial" w:cs="Arial" w:eastAsia="Arial" w:hAnsi="Arial"/>
          <w:sz w:val="16"/>
          <w:szCs w:val="16"/>
          <w:color w:val="auto"/>
        </w:rPr>
        <w:t>Corporation (since 2016) following the Company’s emergence</w:t>
      </w:r>
    </w:p>
    <w:p>
      <w:pPr>
        <w:spacing w:after="0" w:line="5" w:lineRule="exact"/>
        <w:rPr>
          <w:sz w:val="20"/>
          <w:szCs w:val="20"/>
          <w:color w:val="auto"/>
        </w:rPr>
      </w:pPr>
    </w:p>
    <w:p>
      <w:pPr>
        <w:ind w:left="146"/>
        <w:spacing w:after="0"/>
        <w:rPr>
          <w:sz w:val="20"/>
          <w:szCs w:val="20"/>
          <w:color w:val="auto"/>
        </w:rPr>
      </w:pPr>
      <w:r>
        <w:rPr>
          <w:rFonts w:ascii="Arial" w:cs="Arial" w:eastAsia="Arial" w:hAnsi="Arial"/>
          <w:sz w:val="16"/>
          <w:szCs w:val="16"/>
          <w:color w:val="auto"/>
        </w:rPr>
        <w:t>from bankruptcy and Director (since 2009)</w:t>
      </w:r>
    </w:p>
    <w:p>
      <w:pPr>
        <w:spacing w:after="0" w:line="5" w:lineRule="exact"/>
        <w:rPr>
          <w:sz w:val="20"/>
          <w:szCs w:val="20"/>
          <w:color w:val="auto"/>
        </w:rPr>
      </w:pPr>
    </w:p>
    <w:p>
      <w:pPr>
        <w:ind w:left="6"/>
        <w:spacing w:after="0"/>
        <w:rPr>
          <w:sz w:val="20"/>
          <w:szCs w:val="20"/>
          <w:color w:val="auto"/>
        </w:rPr>
      </w:pPr>
      <w:r>
        <w:rPr>
          <w:rFonts w:ascii="Arial" w:cs="Arial" w:eastAsia="Arial" w:hAnsi="Arial"/>
          <w:sz w:val="16"/>
          <w:szCs w:val="16"/>
          <w:color w:val="CB233C"/>
        </w:rPr>
        <w:t xml:space="preserve">• </w:t>
      </w:r>
      <w:r>
        <w:rPr>
          <w:rFonts w:ascii="Arial" w:cs="Arial" w:eastAsia="Arial" w:hAnsi="Arial"/>
          <w:sz w:val="16"/>
          <w:szCs w:val="16"/>
          <w:color w:val="000000"/>
        </w:rPr>
        <w:t>Teledyne Technologies Incorporated (since 2015)</w:t>
      </w:r>
    </w:p>
    <w:p>
      <w:pPr>
        <w:spacing w:after="0" w:line="5" w:lineRule="exact"/>
        <w:rPr>
          <w:sz w:val="20"/>
          <w:szCs w:val="20"/>
          <w:color w:val="auto"/>
        </w:rPr>
      </w:pPr>
    </w:p>
    <w:p>
      <w:pPr>
        <w:ind w:left="6"/>
        <w:spacing w:after="0"/>
        <w:rPr>
          <w:sz w:val="20"/>
          <w:szCs w:val="20"/>
          <w:color w:val="auto"/>
        </w:rPr>
      </w:pPr>
      <w:r>
        <w:rPr>
          <w:rFonts w:ascii="Arial" w:cs="Arial" w:eastAsia="Arial" w:hAnsi="Arial"/>
          <w:sz w:val="16"/>
          <w:szCs w:val="16"/>
          <w:color w:val="CB233C"/>
        </w:rPr>
        <w:t xml:space="preserve">• </w:t>
      </w:r>
      <w:r>
        <w:rPr>
          <w:rFonts w:ascii="Arial" w:cs="Arial" w:eastAsia="Arial" w:hAnsi="Arial"/>
          <w:sz w:val="16"/>
          <w:szCs w:val="16"/>
          <w:color w:val="000000"/>
        </w:rPr>
        <w:t>BP Midstream Partners GP LLC, the general partner of BP</w:t>
      </w:r>
    </w:p>
    <w:p>
      <w:pPr>
        <w:spacing w:after="0" w:line="2" w:lineRule="exact"/>
        <w:rPr>
          <w:sz w:val="20"/>
          <w:szCs w:val="20"/>
          <w:color w:val="auto"/>
        </w:rPr>
      </w:pPr>
    </w:p>
    <w:p>
      <w:pPr>
        <w:ind w:left="146"/>
        <w:spacing w:after="0"/>
        <w:rPr>
          <w:sz w:val="20"/>
          <w:szCs w:val="20"/>
          <w:color w:val="auto"/>
        </w:rPr>
      </w:pPr>
      <w:r>
        <w:rPr>
          <w:rFonts w:ascii="Arial" w:cs="Arial" w:eastAsia="Arial" w:hAnsi="Arial"/>
          <w:sz w:val="16"/>
          <w:szCs w:val="16"/>
          <w:color w:val="auto"/>
        </w:rPr>
        <w:t>Midstream (since 2017)</w:t>
      </w:r>
      <w:r>
        <w:rPr>
          <w:rFonts w:ascii="Arial" w:cs="Arial" w:eastAsia="Arial" w:hAnsi="Arial"/>
          <w:sz w:val="26"/>
          <w:szCs w:val="26"/>
          <w:color w:val="auto"/>
          <w:vertAlign w:val="superscript"/>
        </w:rPr>
        <w:t>(1)</w:t>
      </w:r>
    </w:p>
    <w:p>
      <w:pPr>
        <w:spacing w:after="0" w:line="3" w:lineRule="exact"/>
        <w:rPr>
          <w:sz w:val="20"/>
          <w:szCs w:val="20"/>
          <w:color w:val="auto"/>
        </w:rPr>
      </w:pPr>
    </w:p>
    <w:p>
      <w:pPr>
        <w:sectPr>
          <w:pgSz w:w="11900" w:h="16838" w:orient="portrait"/>
          <w:cols w:equalWidth="0" w:num="2">
            <w:col w:w="1220" w:space="394"/>
            <w:col w:w="9626"/>
          </w:cols>
          <w:pgMar w:left="320" w:top="238" w:right="339" w:bottom="1440" w:gutter="0" w:footer="0" w:header="0"/>
          <w:type w:val="continuous"/>
        </w:sectPr>
      </w:pPr>
    </w:p>
    <w:p>
      <w:pPr>
        <w:ind w:left="340" w:right="260" w:hanging="332"/>
        <w:spacing w:after="0" w:line="264" w:lineRule="auto"/>
        <w:tabs>
          <w:tab w:leader="none" w:pos="34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On December 20, 2021, BP p.l.c. and it affiliates announced an agreement with BP Midstream Partners LP (BPMP) to acquire all outstanding common units of BPMP, which transaction is anticipated to close in the second quarter of 2022, at which time Mr. Malone will resign his position as a director of BP Midstream Partners GP LLC.</w:t>
      </w:r>
    </w:p>
    <w:p>
      <w:pPr>
        <w:spacing w:after="0" w:line="14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886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24" w:name="page25"/>
    <w:bookmarkEnd w:id="2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A.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9545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954530"/>
                    </a:xfrm>
                    <a:prstGeom prst="rect">
                      <a:avLst/>
                    </a:prstGeom>
                    <a:noFill/>
                  </pic:spPr>
                </pic:pic>
              </a:graphicData>
            </a:graphic>
          </wp:anchor>
        </w:drawing>
      </w:r>
    </w:p>
    <w:p>
      <w:pPr>
        <w:spacing w:after="0" w:line="102"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CB233C"/>
        </w:rPr>
        <w:t>Professional Experience:</w:t>
      </w:r>
    </w:p>
    <w:p>
      <w:pPr>
        <w:spacing w:after="0" w:line="21" w:lineRule="exact"/>
        <w:rPr>
          <w:sz w:val="20"/>
          <w:szCs w:val="20"/>
          <w:color w:val="auto"/>
        </w:rPr>
      </w:pPr>
    </w:p>
    <w:p>
      <w:pPr>
        <w:ind w:left="1760" w:hanging="146"/>
        <w:spacing w:after="0"/>
        <w:tabs>
          <w:tab w:leader="none" w:pos="1760" w:val="left"/>
        </w:tabs>
        <w:numPr>
          <w:ilvl w:val="0"/>
          <w:numId w:val="26"/>
        </w:numPr>
        <w:rPr>
          <w:rFonts w:ascii="Arial" w:cs="Arial" w:eastAsia="Arial" w:hAnsi="Arial"/>
          <w:sz w:val="16"/>
          <w:szCs w:val="16"/>
          <w:color w:val="CB233C"/>
        </w:rPr>
      </w:pPr>
      <w:r>
        <w:rPr>
          <w:rFonts w:ascii="Arial" w:cs="Arial" w:eastAsia="Arial" w:hAnsi="Arial"/>
          <w:sz w:val="16"/>
          <w:szCs w:val="16"/>
          <w:color w:val="auto"/>
        </w:rPr>
        <w:t>Chairman of the Board, President and Chief Executive Officer of Halliburton since 2019</w:t>
      </w:r>
    </w:p>
    <w:p>
      <w:pPr>
        <w:spacing w:after="0" w:line="5" w:lineRule="exact"/>
        <w:rPr>
          <w:rFonts w:ascii="Arial" w:cs="Arial" w:eastAsia="Arial" w:hAnsi="Arial"/>
          <w:sz w:val="16"/>
          <w:szCs w:val="16"/>
          <w:color w:val="CB233C"/>
        </w:rPr>
      </w:pPr>
    </w:p>
    <w:p>
      <w:pPr>
        <w:ind w:left="1760" w:hanging="146"/>
        <w:spacing w:after="0"/>
        <w:tabs>
          <w:tab w:leader="none" w:pos="1760" w:val="left"/>
        </w:tabs>
        <w:numPr>
          <w:ilvl w:val="0"/>
          <w:numId w:val="26"/>
        </w:numPr>
        <w:rPr>
          <w:rFonts w:ascii="Arial" w:cs="Arial" w:eastAsia="Arial" w:hAnsi="Arial"/>
          <w:sz w:val="16"/>
          <w:szCs w:val="16"/>
          <w:color w:val="CB233C"/>
        </w:rPr>
      </w:pPr>
      <w:r>
        <w:rPr>
          <w:rFonts w:ascii="Arial" w:cs="Arial" w:eastAsia="Arial" w:hAnsi="Arial"/>
          <w:sz w:val="16"/>
          <w:szCs w:val="16"/>
          <w:color w:val="auto"/>
        </w:rPr>
        <w:t>Member of the Board of Directors, President and Chief Executive Officer of Halliburton from 2017 to 2018</w:t>
      </w:r>
    </w:p>
    <w:p>
      <w:pPr>
        <w:spacing w:after="0" w:line="5" w:lineRule="exact"/>
        <w:rPr>
          <w:rFonts w:ascii="Arial" w:cs="Arial" w:eastAsia="Arial" w:hAnsi="Arial"/>
          <w:sz w:val="16"/>
          <w:szCs w:val="16"/>
          <w:color w:val="CB233C"/>
        </w:rPr>
      </w:pPr>
    </w:p>
    <w:p>
      <w:pPr>
        <w:ind w:left="1760" w:hanging="146"/>
        <w:spacing w:after="0"/>
        <w:tabs>
          <w:tab w:leader="none" w:pos="1760" w:val="left"/>
        </w:tabs>
        <w:numPr>
          <w:ilvl w:val="0"/>
          <w:numId w:val="26"/>
        </w:numPr>
        <w:rPr>
          <w:rFonts w:ascii="Arial" w:cs="Arial" w:eastAsia="Arial" w:hAnsi="Arial"/>
          <w:sz w:val="16"/>
          <w:szCs w:val="16"/>
          <w:color w:val="CB233C"/>
        </w:rPr>
      </w:pPr>
      <w:r>
        <w:rPr>
          <w:rFonts w:ascii="Arial" w:cs="Arial" w:eastAsia="Arial" w:hAnsi="Arial"/>
          <w:sz w:val="16"/>
          <w:szCs w:val="16"/>
          <w:color w:val="auto"/>
        </w:rPr>
        <w:t>Member of the Board of Directors and President of Halliburton from 2014 to 2017</w:t>
      </w:r>
    </w:p>
    <w:p>
      <w:pPr>
        <w:spacing w:after="0" w:line="5" w:lineRule="exact"/>
        <w:rPr>
          <w:rFonts w:ascii="Arial" w:cs="Arial" w:eastAsia="Arial" w:hAnsi="Arial"/>
          <w:sz w:val="16"/>
          <w:szCs w:val="16"/>
          <w:color w:val="CB233C"/>
        </w:rPr>
      </w:pPr>
    </w:p>
    <w:p>
      <w:pPr>
        <w:ind w:left="1760" w:hanging="146"/>
        <w:spacing w:after="0"/>
        <w:tabs>
          <w:tab w:leader="none" w:pos="1760" w:val="left"/>
        </w:tabs>
        <w:numPr>
          <w:ilvl w:val="0"/>
          <w:numId w:val="26"/>
        </w:numPr>
        <w:rPr>
          <w:rFonts w:ascii="Arial" w:cs="Arial" w:eastAsia="Arial" w:hAnsi="Arial"/>
          <w:sz w:val="16"/>
          <w:szCs w:val="16"/>
          <w:color w:val="CB233C"/>
        </w:rPr>
      </w:pPr>
      <w:r>
        <w:rPr>
          <w:rFonts w:ascii="Arial" w:cs="Arial" w:eastAsia="Arial" w:hAnsi="Arial"/>
          <w:sz w:val="16"/>
          <w:szCs w:val="16"/>
          <w:color w:val="auto"/>
        </w:rPr>
        <w:t>President and Chief Health, Safety and Environment Officer from 2014 to 2017</w:t>
      </w:r>
    </w:p>
    <w:p>
      <w:pPr>
        <w:spacing w:after="0" w:line="5" w:lineRule="exact"/>
        <w:rPr>
          <w:rFonts w:ascii="Arial" w:cs="Arial" w:eastAsia="Arial" w:hAnsi="Arial"/>
          <w:sz w:val="16"/>
          <w:szCs w:val="16"/>
          <w:color w:val="CB233C"/>
        </w:rPr>
      </w:pPr>
    </w:p>
    <w:p>
      <w:pPr>
        <w:ind w:left="1760" w:right="220" w:hanging="146"/>
        <w:spacing w:after="0" w:line="253" w:lineRule="auto"/>
        <w:tabs>
          <w:tab w:leader="none" w:pos="1754" w:val="left"/>
        </w:tabs>
        <w:numPr>
          <w:ilvl w:val="0"/>
          <w:numId w:val="26"/>
        </w:numPr>
        <w:rPr>
          <w:rFonts w:ascii="Arial" w:cs="Arial" w:eastAsia="Arial" w:hAnsi="Arial"/>
          <w:sz w:val="16"/>
          <w:szCs w:val="16"/>
          <w:color w:val="CB233C"/>
        </w:rPr>
      </w:pPr>
      <w:r>
        <w:rPr>
          <w:rFonts w:ascii="Arial" w:cs="Arial" w:eastAsia="Arial" w:hAnsi="Arial"/>
          <w:sz w:val="16"/>
          <w:szCs w:val="16"/>
          <w:color w:val="auto"/>
        </w:rPr>
        <w:t>Various regional global leadership positions with Halliburton including in the United Arab Emirates, Indonesia, Venezuela, Angola, and the Gulf of Mexico</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FFFFFF"/>
        </w:rPr>
        <w:t>Age 58</w:t>
      </w:r>
    </w:p>
    <w:p>
      <w:pPr>
        <w:sectPr>
          <w:pgSz w:w="11900" w:h="16838" w:orient="portrait"/>
          <w:cols w:equalWidth="0" w:num="1">
            <w:col w:w="11240"/>
          </w:cols>
          <w:pgMar w:left="320" w:top="238" w:right="339" w:bottom="1440" w:gutter="0" w:footer="0" w:header="0"/>
        </w:sectPr>
      </w:pPr>
    </w:p>
    <w:p>
      <w:pPr>
        <w:spacing w:after="0" w:line="73" w:lineRule="exact"/>
        <w:rPr>
          <w:sz w:val="20"/>
          <w:szCs w:val="20"/>
          <w:color w:val="auto"/>
        </w:rPr>
      </w:pPr>
    </w:p>
    <w:p>
      <w:pPr>
        <w:ind w:left="60" w:right="80"/>
        <w:spacing w:after="0" w:line="290" w:lineRule="auto"/>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2014</w:t>
      </w:r>
    </w:p>
    <w:p>
      <w:pPr>
        <w:spacing w:after="0" w:line="1" w:lineRule="exact"/>
        <w:rPr>
          <w:sz w:val="20"/>
          <w:szCs w:val="20"/>
          <w:color w:val="auto"/>
        </w:rPr>
      </w:pPr>
    </w:p>
    <w:p>
      <w:pPr>
        <w:jc w:val="both"/>
        <w:ind w:left="60"/>
        <w:spacing w:after="0" w:line="259" w:lineRule="auto"/>
        <w:rPr>
          <w:sz w:val="20"/>
          <w:szCs w:val="20"/>
          <w:color w:val="auto"/>
        </w:rPr>
      </w:pPr>
      <w:r>
        <w:rPr>
          <w:rFonts w:ascii="Arial" w:cs="Arial" w:eastAsia="Arial" w:hAnsi="Arial"/>
          <w:sz w:val="16"/>
          <w:szCs w:val="16"/>
          <w:b w:val="1"/>
          <w:bCs w:val="1"/>
          <w:color w:val="FFFFFF"/>
        </w:rPr>
        <w:t>CHAIRMAN, PRESIDENT AND CHIEF EXECUTIVE OFFICER</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CB233C"/>
        </w:rPr>
        <w:t>Skills and Expertise:</w:t>
      </w:r>
    </w:p>
    <w:p>
      <w:pPr>
        <w:spacing w:after="0" w:line="9" w:lineRule="exact"/>
        <w:rPr>
          <w:sz w:val="20"/>
          <w:szCs w:val="20"/>
          <w:color w:val="auto"/>
        </w:rPr>
      </w:pPr>
    </w:p>
    <w:p>
      <w:pPr>
        <w:ind w:left="260" w:right="660"/>
        <w:spacing w:after="0" w:line="256" w:lineRule="auto"/>
        <w:rPr>
          <w:sz w:val="20"/>
          <w:szCs w:val="20"/>
          <w:color w:val="auto"/>
        </w:rPr>
      </w:pPr>
      <w:r>
        <w:rPr>
          <w:rFonts w:ascii="Arial" w:cs="Arial" w:eastAsia="Arial" w:hAnsi="Arial"/>
          <w:sz w:val="16"/>
          <w:szCs w:val="16"/>
          <w:color w:val="auto"/>
        </w:rPr>
        <w:t>The Board determined that Mr. Miller should be nominated for election as a Director because of his energy industry expertise, executive and business development experience, and in-depth knowledge of Halliburton’s strategy, risks, health, safety and environment protocols, human capital management programs, and global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ind w:left="260"/>
              <w:spacing w:after="0"/>
              <w:rPr>
                <w:sz w:val="20"/>
                <w:szCs w:val="20"/>
                <w:color w:val="auto"/>
              </w:rPr>
            </w:pPr>
            <w:r>
              <w:rPr>
                <w:rFonts w:ascii="Arial" w:cs="Arial" w:eastAsia="Arial" w:hAnsi="Arial"/>
                <w:sz w:val="16"/>
                <w:szCs w:val="16"/>
                <w:b w:val="1"/>
                <w:bCs w:val="1"/>
                <w:color w:val="CB233C"/>
              </w:rPr>
              <w:t>Other Company Directorships:</w:t>
            </w:r>
          </w:p>
        </w:tc>
        <w:tc>
          <w:tcPr>
            <w:tcW w:w="6060" w:type="dxa"/>
            <w:vAlign w:val="bottom"/>
          </w:tcPr>
          <w:p>
            <w:pPr>
              <w:ind w:left="1220"/>
              <w:spacing w:after="0"/>
              <w:rPr>
                <w:sz w:val="20"/>
                <w:szCs w:val="20"/>
                <w:color w:val="auto"/>
              </w:rPr>
            </w:pPr>
            <w:r>
              <w:rPr>
                <w:rFonts w:ascii="Arial" w:cs="Arial" w:eastAsia="Arial" w:hAnsi="Arial"/>
                <w:sz w:val="16"/>
                <w:szCs w:val="16"/>
                <w:b w:val="1"/>
                <w:bCs w:val="1"/>
                <w:color w:val="CB233C"/>
              </w:rPr>
              <w:t>Former Directorships in the Past 5 Years:</w:t>
            </w:r>
          </w:p>
        </w:tc>
      </w:tr>
      <w:tr>
        <w:trPr>
          <w:trHeight w:val="215"/>
        </w:trPr>
        <w:tc>
          <w:tcPr>
            <w:tcW w:w="3820" w:type="dxa"/>
            <w:vAlign w:val="bottom"/>
          </w:tcPr>
          <w:p>
            <w:pPr>
              <w:ind w:left="260"/>
              <w:spacing w:after="0"/>
              <w:rPr>
                <w:sz w:val="20"/>
                <w:szCs w:val="20"/>
                <w:color w:val="auto"/>
              </w:rPr>
            </w:pPr>
            <w:r>
              <w:rPr>
                <w:rFonts w:ascii="Arial" w:cs="Arial" w:eastAsia="Arial" w:hAnsi="Arial"/>
                <w:sz w:val="16"/>
                <w:szCs w:val="16"/>
                <w:color w:val="CB233C"/>
              </w:rPr>
              <w:t xml:space="preserve">• </w:t>
            </w:r>
            <w:r>
              <w:rPr>
                <w:rFonts w:ascii="Arial" w:cs="Arial" w:eastAsia="Arial" w:hAnsi="Arial"/>
                <w:sz w:val="16"/>
                <w:szCs w:val="16"/>
                <w:color w:val="000000"/>
              </w:rPr>
              <w:t>None</w:t>
            </w:r>
          </w:p>
        </w:tc>
        <w:tc>
          <w:tcPr>
            <w:tcW w:w="6060" w:type="dxa"/>
            <w:vAlign w:val="bottom"/>
          </w:tcPr>
          <w:p>
            <w:pPr>
              <w:ind w:left="1220"/>
              <w:spacing w:after="0"/>
              <w:rPr>
                <w:sz w:val="20"/>
                <w:szCs w:val="20"/>
                <w:color w:val="auto"/>
              </w:rPr>
            </w:pPr>
            <w:r>
              <w:rPr>
                <w:rFonts w:ascii="Arial" w:cs="Arial" w:eastAsia="Arial" w:hAnsi="Arial"/>
                <w:sz w:val="16"/>
                <w:szCs w:val="16"/>
                <w:color w:val="CB233C"/>
              </w:rPr>
              <w:t xml:space="preserve">• </w:t>
            </w:r>
            <w:r>
              <w:rPr>
                <w:rFonts w:ascii="Arial" w:cs="Arial" w:eastAsia="Arial" w:hAnsi="Arial"/>
                <w:sz w:val="16"/>
                <w:szCs w:val="16"/>
                <w:color w:val="000000"/>
              </w:rPr>
              <w:t>Atwood Oceanics, Inc. (2013-2017)</w:t>
            </w:r>
          </w:p>
        </w:tc>
      </w:tr>
      <w:tr>
        <w:trPr>
          <w:trHeight w:val="83"/>
        </w:trPr>
        <w:tc>
          <w:tcPr>
            <w:tcW w:w="3820" w:type="dxa"/>
            <w:vAlign w:val="bottom"/>
            <w:tcBorders>
              <w:bottom w:val="single" w:sz="8" w:color="CB233C"/>
            </w:tcBorders>
          </w:tcPr>
          <w:p>
            <w:pPr>
              <w:spacing w:after="0"/>
              <w:rPr>
                <w:sz w:val="7"/>
                <w:szCs w:val="7"/>
                <w:color w:val="auto"/>
              </w:rPr>
            </w:pPr>
          </w:p>
        </w:tc>
        <w:tc>
          <w:tcPr>
            <w:tcW w:w="6060" w:type="dxa"/>
            <w:vAlign w:val="bottom"/>
            <w:tcBorders>
              <w:bottom w:val="single" w:sz="8" w:color="CB233C"/>
            </w:tcBorders>
          </w:tcPr>
          <w:p>
            <w:pPr>
              <w:spacing w:after="0"/>
              <w:rPr>
                <w:sz w:val="7"/>
                <w:szCs w:val="7"/>
                <w:color w:val="auto"/>
              </w:rPr>
            </w:pPr>
          </w:p>
        </w:tc>
      </w:tr>
    </w:tbl>
    <w:p>
      <w:pPr>
        <w:spacing w:after="0" w:line="183" w:lineRule="exact"/>
        <w:rPr>
          <w:sz w:val="20"/>
          <w:szCs w:val="20"/>
          <w:color w:val="auto"/>
        </w:rPr>
      </w:pPr>
    </w:p>
    <w:p>
      <w:pPr>
        <w:sectPr>
          <w:pgSz w:w="11900" w:h="16838" w:orient="portrait"/>
          <w:cols w:equalWidth="0" w:num="2">
            <w:col w:w="980" w:space="380"/>
            <w:col w:w="9880"/>
          </w:cols>
          <w:pgMar w:left="320" w:top="238"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BHAVESH V. (BOB)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2177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217741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16"/>
          <w:szCs w:val="16"/>
          <w:color w:val="FFFFFF"/>
        </w:rPr>
        <w:t>Age 55</w:t>
      </w:r>
    </w:p>
    <w:p>
      <w:pPr>
        <w:spacing w:after="0" w:line="73" w:lineRule="exact"/>
        <w:rPr>
          <w:sz w:val="20"/>
          <w:szCs w:val="20"/>
          <w:color w:val="auto"/>
        </w:rPr>
      </w:pPr>
    </w:p>
    <w:p>
      <w:pPr>
        <w:ind w:left="60" w:right="320"/>
        <w:spacing w:after="0" w:line="290" w:lineRule="auto"/>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2021</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INDEPENDENT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CB233C"/>
        </w:rPr>
        <w:t>Professional Experience:</w:t>
      </w:r>
    </w:p>
    <w:p>
      <w:pPr>
        <w:spacing w:after="0" w:line="21" w:lineRule="exact"/>
        <w:rPr>
          <w:sz w:val="20"/>
          <w:szCs w:val="20"/>
          <w:color w:val="auto"/>
        </w:rPr>
      </w:pPr>
    </w:p>
    <w:p>
      <w:pPr>
        <w:ind w:left="146" w:hanging="146"/>
        <w:spacing w:after="0"/>
        <w:tabs>
          <w:tab w:leader="none" w:pos="146" w:val="left"/>
        </w:tabs>
        <w:numPr>
          <w:ilvl w:val="0"/>
          <w:numId w:val="27"/>
        </w:numPr>
        <w:rPr>
          <w:rFonts w:ascii="Arial" w:cs="Arial" w:eastAsia="Arial" w:hAnsi="Arial"/>
          <w:sz w:val="16"/>
          <w:szCs w:val="16"/>
          <w:color w:val="CB233C"/>
        </w:rPr>
      </w:pPr>
      <w:r>
        <w:rPr>
          <w:rFonts w:ascii="Arial" w:cs="Arial" w:eastAsia="Arial" w:hAnsi="Arial"/>
          <w:sz w:val="16"/>
          <w:szCs w:val="16"/>
          <w:color w:val="auto"/>
        </w:rPr>
        <w:t>Chief Executive Officer of W. R. Grace (a global leader in specialty chemicals and materials) since 2022</w:t>
      </w:r>
    </w:p>
    <w:p>
      <w:pPr>
        <w:spacing w:after="0" w:line="5" w:lineRule="exact"/>
        <w:rPr>
          <w:rFonts w:ascii="Arial" w:cs="Arial" w:eastAsia="Arial" w:hAnsi="Arial"/>
          <w:sz w:val="16"/>
          <w:szCs w:val="16"/>
          <w:color w:val="CB233C"/>
        </w:rPr>
      </w:pPr>
    </w:p>
    <w:p>
      <w:pPr>
        <w:ind w:left="146" w:hanging="146"/>
        <w:spacing w:after="0"/>
        <w:tabs>
          <w:tab w:leader="none" w:pos="146" w:val="left"/>
        </w:tabs>
        <w:numPr>
          <w:ilvl w:val="0"/>
          <w:numId w:val="27"/>
        </w:numPr>
        <w:rPr>
          <w:rFonts w:ascii="Arial" w:cs="Arial" w:eastAsia="Arial" w:hAnsi="Arial"/>
          <w:sz w:val="16"/>
          <w:szCs w:val="16"/>
          <w:color w:val="CB233C"/>
        </w:rPr>
      </w:pPr>
      <w:r>
        <w:rPr>
          <w:rFonts w:ascii="Arial" w:cs="Arial" w:eastAsia="Arial" w:hAnsi="Arial"/>
          <w:sz w:val="16"/>
          <w:szCs w:val="16"/>
          <w:color w:val="auto"/>
        </w:rPr>
        <w:t>Chief Executive Officer of LyondellBasell Industries from 2015 to 2021</w:t>
      </w:r>
    </w:p>
    <w:p>
      <w:pPr>
        <w:spacing w:after="0" w:line="5" w:lineRule="exact"/>
        <w:rPr>
          <w:rFonts w:ascii="Arial" w:cs="Arial" w:eastAsia="Arial" w:hAnsi="Arial"/>
          <w:sz w:val="16"/>
          <w:szCs w:val="16"/>
          <w:color w:val="CB233C"/>
        </w:rPr>
      </w:pPr>
    </w:p>
    <w:p>
      <w:pPr>
        <w:ind w:left="146" w:right="600" w:hanging="146"/>
        <w:spacing w:after="0" w:line="246" w:lineRule="auto"/>
        <w:tabs>
          <w:tab w:leader="none" w:pos="139" w:val="left"/>
        </w:tabs>
        <w:numPr>
          <w:ilvl w:val="0"/>
          <w:numId w:val="27"/>
        </w:numPr>
        <w:rPr>
          <w:rFonts w:ascii="Arial" w:cs="Arial" w:eastAsia="Arial" w:hAnsi="Arial"/>
          <w:sz w:val="16"/>
          <w:szCs w:val="16"/>
          <w:color w:val="CB233C"/>
        </w:rPr>
      </w:pPr>
      <w:r>
        <w:rPr>
          <w:rFonts w:ascii="Arial" w:cs="Arial" w:eastAsia="Arial" w:hAnsi="Arial"/>
          <w:sz w:val="16"/>
          <w:szCs w:val="16"/>
          <w:color w:val="auto"/>
        </w:rPr>
        <w:t>Senior Vice President, Olefins and Polyolefins-Americas and Executive Vice President Olefins and Polyolefins Europe, Asia, International &amp; Technology of LyondellBasell from 2010 to 2015</w:t>
      </w:r>
    </w:p>
    <w:p>
      <w:pPr>
        <w:ind w:left="146" w:right="160" w:hanging="146"/>
        <w:spacing w:after="0" w:line="265" w:lineRule="auto"/>
        <w:tabs>
          <w:tab w:leader="none" w:pos="139" w:val="left"/>
        </w:tabs>
        <w:numPr>
          <w:ilvl w:val="0"/>
          <w:numId w:val="27"/>
        </w:numPr>
        <w:rPr>
          <w:rFonts w:ascii="Arial" w:cs="Arial" w:eastAsia="Arial" w:hAnsi="Arial"/>
          <w:sz w:val="16"/>
          <w:szCs w:val="16"/>
          <w:color w:val="CB233C"/>
        </w:rPr>
      </w:pPr>
      <w:r>
        <w:rPr>
          <w:rFonts w:ascii="Arial" w:cs="Arial" w:eastAsia="Arial" w:hAnsi="Arial"/>
          <w:sz w:val="16"/>
          <w:szCs w:val="16"/>
          <w:color w:val="auto"/>
        </w:rPr>
        <w:t>General Manager and other roles including process engineering, product development, and corporate planning at Chevron Phillips Chemical Company from 1990 to 2010</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CB233C"/>
        </w:rPr>
        <w:t>Skills and Expertise:</w:t>
      </w:r>
    </w:p>
    <w:p>
      <w:pPr>
        <w:spacing w:after="0" w:line="21" w:lineRule="exact"/>
        <w:rPr>
          <w:sz w:val="20"/>
          <w:szCs w:val="20"/>
          <w:color w:val="auto"/>
        </w:rPr>
      </w:pPr>
    </w:p>
    <w:p>
      <w:pPr>
        <w:ind w:left="6" w:right="400"/>
        <w:spacing w:after="0" w:line="251" w:lineRule="auto"/>
        <w:rPr>
          <w:sz w:val="20"/>
          <w:szCs w:val="20"/>
          <w:color w:val="auto"/>
        </w:rPr>
      </w:pPr>
      <w:r>
        <w:rPr>
          <w:rFonts w:ascii="Arial" w:cs="Arial" w:eastAsia="Arial" w:hAnsi="Arial"/>
          <w:sz w:val="16"/>
          <w:szCs w:val="16"/>
          <w:color w:val="auto"/>
        </w:rPr>
        <w:t>The Board determined that Mr. Patel should be nominated for election as a Director because of his chemical industry experience, global executive leadership skills, public company board experience, and emissions reduction and safety expertise. Mr. Patel’s experience in global commodity markets adds insight into the Board’s discussions of international operations, strategy, and risk. Additionally, Mr. Patel’s experience overseeing LyondellBasell’s emissions reduction strategy provides important context for our Board’s oversight of Halliburton’s ESG strategy.</w:t>
      </w:r>
    </w:p>
    <w:p>
      <w:pPr>
        <w:spacing w:after="0" w:line="88" w:lineRule="exact"/>
        <w:rPr>
          <w:sz w:val="20"/>
          <w:szCs w:val="20"/>
          <w:color w:val="auto"/>
        </w:rPr>
      </w:pPr>
    </w:p>
    <w:p>
      <w:pPr>
        <w:sectPr>
          <w:pgSz w:w="11900" w:h="16838" w:orient="portrait"/>
          <w:cols w:equalWidth="0" w:num="2">
            <w:col w:w="1220" w:space="394"/>
            <w:col w:w="9626"/>
          </w:cols>
          <w:pgMar w:left="320" w:top="238" w:right="339" w:bottom="1440" w:gutter="0" w:footer="0" w:header="0"/>
          <w:type w:val="continuous"/>
        </w:sectPr>
      </w:pPr>
    </w:p>
    <w:tbl>
      <w:tblPr>
        <w:tblLayout w:type="fixed"/>
        <w:tblInd w:w="1360" w:type="dxa"/>
        <w:tblCellMar>
          <w:top w:w="0" w:type="dxa"/>
          <w:left w:w="0" w:type="dxa"/>
          <w:bottom w:w="0" w:type="dxa"/>
          <w:right w:w="0" w:type="dxa"/>
        </w:tblCellMar>
      </w:tblPr>
      <w:tr>
        <w:trPr>
          <w:trHeight w:val="189"/>
        </w:trPr>
        <w:tc>
          <w:tcPr>
            <w:tcW w:w="3820" w:type="dxa"/>
            <w:vAlign w:val="bottom"/>
          </w:tcPr>
          <w:p>
            <w:pPr>
              <w:ind w:left="260"/>
              <w:spacing w:after="0"/>
              <w:rPr>
                <w:sz w:val="20"/>
                <w:szCs w:val="20"/>
                <w:color w:val="auto"/>
              </w:rPr>
            </w:pPr>
            <w:r>
              <w:rPr>
                <w:rFonts w:ascii="Arial" w:cs="Arial" w:eastAsia="Arial" w:hAnsi="Arial"/>
                <w:sz w:val="16"/>
                <w:szCs w:val="16"/>
                <w:b w:val="1"/>
                <w:bCs w:val="1"/>
                <w:color w:val="CB233C"/>
              </w:rPr>
              <w:t>Other Company Directorships:</w:t>
            </w:r>
          </w:p>
        </w:tc>
        <w:tc>
          <w:tcPr>
            <w:tcW w:w="6060" w:type="dxa"/>
            <w:vAlign w:val="bottom"/>
            <w:gridSpan w:val="2"/>
          </w:tcPr>
          <w:p>
            <w:pPr>
              <w:ind w:left="1220"/>
              <w:spacing w:after="0"/>
              <w:rPr>
                <w:sz w:val="20"/>
                <w:szCs w:val="20"/>
                <w:color w:val="auto"/>
              </w:rPr>
            </w:pPr>
            <w:r>
              <w:rPr>
                <w:rFonts w:ascii="Arial" w:cs="Arial" w:eastAsia="Arial" w:hAnsi="Arial"/>
                <w:sz w:val="16"/>
                <w:szCs w:val="16"/>
                <w:b w:val="1"/>
                <w:bCs w:val="1"/>
                <w:color w:val="CB233C"/>
              </w:rPr>
              <w:t>Former Directorships in the Past 5 Years:</w:t>
            </w:r>
          </w:p>
        </w:tc>
      </w:tr>
      <w:tr>
        <w:trPr>
          <w:trHeight w:val="203"/>
        </w:trPr>
        <w:tc>
          <w:tcPr>
            <w:tcW w:w="3820" w:type="dxa"/>
            <w:vAlign w:val="bottom"/>
          </w:tcPr>
          <w:p>
            <w:pPr>
              <w:ind w:left="260"/>
              <w:spacing w:after="0"/>
              <w:rPr>
                <w:sz w:val="20"/>
                <w:szCs w:val="20"/>
                <w:color w:val="auto"/>
              </w:rPr>
            </w:pPr>
            <w:r>
              <w:rPr>
                <w:rFonts w:ascii="Arial" w:cs="Arial" w:eastAsia="Arial" w:hAnsi="Arial"/>
                <w:sz w:val="16"/>
                <w:szCs w:val="16"/>
                <w:color w:val="CB233C"/>
              </w:rPr>
              <w:t xml:space="preserve">• </w:t>
            </w:r>
            <w:r>
              <w:rPr>
                <w:rFonts w:ascii="Arial" w:cs="Arial" w:eastAsia="Arial" w:hAnsi="Arial"/>
                <w:sz w:val="16"/>
                <w:szCs w:val="16"/>
                <w:color w:val="000000"/>
              </w:rPr>
              <w:t>None</w:t>
            </w:r>
          </w:p>
        </w:tc>
        <w:tc>
          <w:tcPr>
            <w:tcW w:w="1320" w:type="dxa"/>
            <w:vAlign w:val="bottom"/>
          </w:tcPr>
          <w:p>
            <w:pPr>
              <w:ind w:left="1220"/>
              <w:spacing w:after="0"/>
              <w:rPr>
                <w:sz w:val="20"/>
                <w:szCs w:val="20"/>
                <w:color w:val="auto"/>
              </w:rPr>
            </w:pPr>
            <w:r>
              <w:rPr>
                <w:rFonts w:ascii="Arial" w:cs="Arial" w:eastAsia="Arial" w:hAnsi="Arial"/>
                <w:sz w:val="16"/>
                <w:szCs w:val="16"/>
                <w:color w:val="CB233C"/>
              </w:rPr>
              <w:t>•</w:t>
            </w:r>
          </w:p>
        </w:tc>
        <w:tc>
          <w:tcPr>
            <w:tcW w:w="4740" w:type="dxa"/>
            <w:vAlign w:val="bottom"/>
          </w:tcPr>
          <w:p>
            <w:pPr>
              <w:ind w:left="60"/>
              <w:spacing w:after="0"/>
              <w:rPr>
                <w:sz w:val="20"/>
                <w:szCs w:val="20"/>
                <w:color w:val="auto"/>
              </w:rPr>
            </w:pPr>
            <w:r>
              <w:rPr>
                <w:rFonts w:ascii="Arial" w:cs="Arial" w:eastAsia="Arial" w:hAnsi="Arial"/>
                <w:sz w:val="16"/>
                <w:szCs w:val="16"/>
                <w:color w:val="auto"/>
              </w:rPr>
              <w:t>Union Pacific Corporation (2017-2021)</w:t>
            </w:r>
          </w:p>
        </w:tc>
      </w:tr>
      <w:tr>
        <w:trPr>
          <w:trHeight w:val="215"/>
        </w:trPr>
        <w:tc>
          <w:tcPr>
            <w:tcW w:w="3820" w:type="dxa"/>
            <w:vAlign w:val="bottom"/>
          </w:tcPr>
          <w:p>
            <w:pPr>
              <w:spacing w:after="0"/>
              <w:rPr>
                <w:sz w:val="18"/>
                <w:szCs w:val="18"/>
                <w:color w:val="auto"/>
              </w:rPr>
            </w:pPr>
          </w:p>
        </w:tc>
        <w:tc>
          <w:tcPr>
            <w:tcW w:w="1320" w:type="dxa"/>
            <w:vAlign w:val="bottom"/>
          </w:tcPr>
          <w:p>
            <w:pPr>
              <w:ind w:left="1220"/>
              <w:spacing w:after="0"/>
              <w:rPr>
                <w:sz w:val="20"/>
                <w:szCs w:val="20"/>
                <w:color w:val="auto"/>
              </w:rPr>
            </w:pPr>
            <w:r>
              <w:rPr>
                <w:rFonts w:ascii="Arial" w:cs="Arial" w:eastAsia="Arial" w:hAnsi="Arial"/>
                <w:sz w:val="16"/>
                <w:szCs w:val="16"/>
                <w:color w:val="CB233C"/>
              </w:rPr>
              <w:t>•</w:t>
            </w:r>
          </w:p>
        </w:tc>
        <w:tc>
          <w:tcPr>
            <w:tcW w:w="4740" w:type="dxa"/>
            <w:vAlign w:val="bottom"/>
          </w:tcPr>
          <w:p>
            <w:pPr>
              <w:ind w:left="60"/>
              <w:spacing w:after="0"/>
              <w:rPr>
                <w:sz w:val="20"/>
                <w:szCs w:val="20"/>
                <w:color w:val="auto"/>
              </w:rPr>
            </w:pPr>
            <w:r>
              <w:rPr>
                <w:rFonts w:ascii="Arial" w:cs="Arial" w:eastAsia="Arial" w:hAnsi="Arial"/>
                <w:sz w:val="16"/>
                <w:szCs w:val="16"/>
                <w:color w:val="auto"/>
              </w:rPr>
              <w:t>LyondellBasell Industries (2018-2021)</w:t>
            </w:r>
          </w:p>
        </w:tc>
      </w:tr>
      <w:tr>
        <w:trPr>
          <w:trHeight w:val="56"/>
        </w:trPr>
        <w:tc>
          <w:tcPr>
            <w:tcW w:w="3820" w:type="dxa"/>
            <w:vAlign w:val="bottom"/>
            <w:tcBorders>
              <w:bottom w:val="single" w:sz="8" w:color="CB233C"/>
            </w:tcBorders>
          </w:tcPr>
          <w:p>
            <w:pPr>
              <w:spacing w:after="0"/>
              <w:rPr>
                <w:sz w:val="4"/>
                <w:szCs w:val="4"/>
                <w:color w:val="auto"/>
              </w:rPr>
            </w:pPr>
          </w:p>
        </w:tc>
        <w:tc>
          <w:tcPr>
            <w:tcW w:w="1320" w:type="dxa"/>
            <w:vAlign w:val="bottom"/>
            <w:tcBorders>
              <w:bottom w:val="single" w:sz="8" w:color="CB233C"/>
            </w:tcBorders>
          </w:tcPr>
          <w:p>
            <w:pPr>
              <w:spacing w:after="0"/>
              <w:rPr>
                <w:sz w:val="4"/>
                <w:szCs w:val="4"/>
                <w:color w:val="auto"/>
              </w:rPr>
            </w:pPr>
          </w:p>
        </w:tc>
        <w:tc>
          <w:tcPr>
            <w:tcW w:w="4740" w:type="dxa"/>
            <w:vAlign w:val="bottom"/>
            <w:tcBorders>
              <w:bottom w:val="single" w:sz="8" w:color="CB233C"/>
            </w:tcBorders>
          </w:tcPr>
          <w:p>
            <w:pPr>
              <w:spacing w:after="0"/>
              <w:rPr>
                <w:sz w:val="4"/>
                <w:szCs w:val="4"/>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TOBI M. EDWARDS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2048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204851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6"/>
          <w:szCs w:val="16"/>
          <w:color w:val="FFFFFF"/>
        </w:rPr>
        <w:t>Age 46</w:t>
      </w:r>
    </w:p>
    <w:p>
      <w:pPr>
        <w:spacing w:after="0" w:line="73" w:lineRule="exact"/>
        <w:rPr>
          <w:sz w:val="20"/>
          <w:szCs w:val="20"/>
          <w:color w:val="auto"/>
        </w:rPr>
      </w:pPr>
    </w:p>
    <w:p>
      <w:pPr>
        <w:ind w:left="60" w:right="320"/>
        <w:spacing w:after="0" w:line="290" w:lineRule="auto"/>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2022</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INDEPENDENT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CB233C"/>
        </w:rPr>
        <w:t>Professional Experience:</w:t>
      </w:r>
    </w:p>
    <w:p>
      <w:pPr>
        <w:spacing w:after="0" w:line="21" w:lineRule="exact"/>
        <w:rPr>
          <w:sz w:val="20"/>
          <w:szCs w:val="20"/>
          <w:color w:val="auto"/>
        </w:rPr>
      </w:pPr>
    </w:p>
    <w:p>
      <w:pPr>
        <w:ind w:left="400" w:right="80" w:hanging="146"/>
        <w:spacing w:after="0" w:line="246" w:lineRule="auto"/>
        <w:tabs>
          <w:tab w:leader="none" w:pos="394" w:val="left"/>
        </w:tabs>
        <w:numPr>
          <w:ilvl w:val="0"/>
          <w:numId w:val="28"/>
        </w:numPr>
        <w:rPr>
          <w:rFonts w:ascii="Arial" w:cs="Arial" w:eastAsia="Arial" w:hAnsi="Arial"/>
          <w:sz w:val="16"/>
          <w:szCs w:val="16"/>
          <w:color w:val="CB233C"/>
        </w:rPr>
      </w:pPr>
      <w:r>
        <w:rPr>
          <w:rFonts w:ascii="Arial" w:cs="Arial" w:eastAsia="Arial" w:hAnsi="Arial"/>
          <w:sz w:val="16"/>
          <w:szCs w:val="16"/>
          <w:color w:val="auto"/>
        </w:rPr>
        <w:t>Senior Vice President, Global Privacy, Government Affairs, and Chief Regulatory Attorney of Cognizant Technology Solutions (one of the world’s leading professional services companies) since 2021 and member of the Board of Directors of Cognizant Foundation, which leads Cognizant’s corporate social responsibility efforts</w:t>
      </w:r>
    </w:p>
    <w:p>
      <w:pPr>
        <w:spacing w:after="0" w:line="1" w:lineRule="exact"/>
        <w:rPr>
          <w:rFonts w:ascii="Arial" w:cs="Arial" w:eastAsia="Arial" w:hAnsi="Arial"/>
          <w:sz w:val="16"/>
          <w:szCs w:val="16"/>
          <w:color w:val="CB233C"/>
        </w:rPr>
      </w:pPr>
    </w:p>
    <w:p>
      <w:pPr>
        <w:ind w:left="400" w:hanging="146"/>
        <w:spacing w:after="0"/>
        <w:tabs>
          <w:tab w:leader="none" w:pos="400" w:val="left"/>
        </w:tabs>
        <w:numPr>
          <w:ilvl w:val="0"/>
          <w:numId w:val="28"/>
        </w:numPr>
        <w:rPr>
          <w:rFonts w:ascii="Arial" w:cs="Arial" w:eastAsia="Arial" w:hAnsi="Arial"/>
          <w:sz w:val="16"/>
          <w:szCs w:val="16"/>
          <w:color w:val="CB233C"/>
        </w:rPr>
      </w:pPr>
      <w:r>
        <w:rPr>
          <w:rFonts w:ascii="Arial" w:cs="Arial" w:eastAsia="Arial" w:hAnsi="Arial"/>
          <w:sz w:val="16"/>
          <w:szCs w:val="16"/>
          <w:color w:val="auto"/>
        </w:rPr>
        <w:t>Vice President, Government Affairs and Legal of Cognizant from 2020 to 2021</w:t>
      </w:r>
    </w:p>
    <w:p>
      <w:pPr>
        <w:spacing w:after="0" w:line="5" w:lineRule="exact"/>
        <w:rPr>
          <w:rFonts w:ascii="Arial" w:cs="Arial" w:eastAsia="Arial" w:hAnsi="Arial"/>
          <w:sz w:val="16"/>
          <w:szCs w:val="16"/>
          <w:color w:val="CB233C"/>
        </w:rPr>
      </w:pPr>
    </w:p>
    <w:p>
      <w:pPr>
        <w:ind w:left="400" w:hanging="146"/>
        <w:spacing w:after="0"/>
        <w:tabs>
          <w:tab w:leader="none" w:pos="400" w:val="left"/>
        </w:tabs>
        <w:numPr>
          <w:ilvl w:val="0"/>
          <w:numId w:val="28"/>
        </w:numPr>
        <w:rPr>
          <w:rFonts w:ascii="Arial" w:cs="Arial" w:eastAsia="Arial" w:hAnsi="Arial"/>
          <w:sz w:val="16"/>
          <w:szCs w:val="16"/>
          <w:color w:val="CB233C"/>
        </w:rPr>
      </w:pPr>
      <w:r>
        <w:rPr>
          <w:rFonts w:ascii="Arial" w:cs="Arial" w:eastAsia="Arial" w:hAnsi="Arial"/>
          <w:sz w:val="16"/>
          <w:szCs w:val="16"/>
          <w:color w:val="auto"/>
        </w:rPr>
        <w:t>Law Clerk to U.S. Supreme Court Associate Justice Neil M. Gorsuch from 2018 to 2019</w:t>
      </w:r>
    </w:p>
    <w:p>
      <w:pPr>
        <w:spacing w:after="0" w:line="5" w:lineRule="exact"/>
        <w:rPr>
          <w:rFonts w:ascii="Arial" w:cs="Arial" w:eastAsia="Arial" w:hAnsi="Arial"/>
          <w:sz w:val="16"/>
          <w:szCs w:val="16"/>
          <w:color w:val="CB233C"/>
        </w:rPr>
      </w:pPr>
    </w:p>
    <w:p>
      <w:pPr>
        <w:ind w:left="400" w:hanging="146"/>
        <w:spacing w:after="0"/>
        <w:tabs>
          <w:tab w:leader="none" w:pos="400" w:val="left"/>
        </w:tabs>
        <w:numPr>
          <w:ilvl w:val="0"/>
          <w:numId w:val="28"/>
        </w:numPr>
        <w:rPr>
          <w:rFonts w:ascii="Arial" w:cs="Arial" w:eastAsia="Arial" w:hAnsi="Arial"/>
          <w:sz w:val="16"/>
          <w:szCs w:val="16"/>
          <w:color w:val="CB233C"/>
        </w:rPr>
      </w:pPr>
      <w:r>
        <w:rPr>
          <w:rFonts w:ascii="Arial" w:cs="Arial" w:eastAsia="Arial" w:hAnsi="Arial"/>
          <w:sz w:val="16"/>
          <w:szCs w:val="16"/>
          <w:color w:val="auto"/>
        </w:rPr>
        <w:t>General Counsel and Board Secretary of the George W. Bush Foundation/Office of the Former President from 2009 to 2018</w:t>
      </w:r>
    </w:p>
    <w:p>
      <w:pPr>
        <w:spacing w:after="0" w:line="5" w:lineRule="exact"/>
        <w:rPr>
          <w:rFonts w:ascii="Arial" w:cs="Arial" w:eastAsia="Arial" w:hAnsi="Arial"/>
          <w:sz w:val="16"/>
          <w:szCs w:val="16"/>
          <w:color w:val="CB233C"/>
        </w:rPr>
      </w:pPr>
    </w:p>
    <w:p>
      <w:pPr>
        <w:ind w:left="400" w:hanging="146"/>
        <w:spacing w:after="0"/>
        <w:tabs>
          <w:tab w:leader="none" w:pos="400" w:val="left"/>
        </w:tabs>
        <w:numPr>
          <w:ilvl w:val="0"/>
          <w:numId w:val="28"/>
        </w:numPr>
        <w:rPr>
          <w:rFonts w:ascii="Arial" w:cs="Arial" w:eastAsia="Arial" w:hAnsi="Arial"/>
          <w:sz w:val="16"/>
          <w:szCs w:val="16"/>
          <w:color w:val="CB233C"/>
        </w:rPr>
      </w:pPr>
      <w:r>
        <w:rPr>
          <w:rFonts w:ascii="Arial" w:cs="Arial" w:eastAsia="Arial" w:hAnsi="Arial"/>
          <w:sz w:val="16"/>
          <w:szCs w:val="16"/>
          <w:color w:val="auto"/>
        </w:rPr>
        <w:t>Associate White House Counsel and Special Assistant to President George W. Bush from 2007 to 2008</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CB233C"/>
        </w:rPr>
        <w:t>Skills and Expertise:</w:t>
      </w:r>
    </w:p>
    <w:p>
      <w:pPr>
        <w:spacing w:after="0" w:line="21" w:lineRule="exact"/>
        <w:rPr>
          <w:sz w:val="20"/>
          <w:szCs w:val="20"/>
          <w:color w:val="auto"/>
        </w:rPr>
      </w:pPr>
    </w:p>
    <w:p>
      <w:pPr>
        <w:ind w:left="260" w:right="60"/>
        <w:spacing w:after="0" w:line="252" w:lineRule="auto"/>
        <w:rPr>
          <w:sz w:val="20"/>
          <w:szCs w:val="20"/>
          <w:color w:val="auto"/>
        </w:rPr>
      </w:pPr>
      <w:r>
        <w:rPr>
          <w:rFonts w:ascii="Arial" w:cs="Arial" w:eastAsia="Arial" w:hAnsi="Arial"/>
          <w:sz w:val="16"/>
          <w:szCs w:val="16"/>
          <w:color w:val="auto"/>
        </w:rPr>
        <w:t>The Board determined that Ms. Young should be nominated for election as a Director because of her extensive experience in policy making, compliance, governance, ESG, legal, and regulatory issues through service in the private and public sectors. Ms. Young also brings valuable knowledge in technology and digital including cybersecurity, data management, data privacy, and artificial intelligence, as well as in corporate social responsibility.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ind w:left="260"/>
              <w:spacing w:after="0"/>
              <w:rPr>
                <w:sz w:val="20"/>
                <w:szCs w:val="20"/>
                <w:color w:val="auto"/>
              </w:rPr>
            </w:pPr>
            <w:r>
              <w:rPr>
                <w:rFonts w:ascii="Arial" w:cs="Arial" w:eastAsia="Arial" w:hAnsi="Arial"/>
                <w:sz w:val="16"/>
                <w:szCs w:val="16"/>
                <w:b w:val="1"/>
                <w:bCs w:val="1"/>
                <w:color w:val="CB233C"/>
              </w:rPr>
              <w:t>Other Company Directorships:</w:t>
            </w:r>
          </w:p>
        </w:tc>
        <w:tc>
          <w:tcPr>
            <w:tcW w:w="6060" w:type="dxa"/>
            <w:vAlign w:val="bottom"/>
          </w:tcPr>
          <w:p>
            <w:pPr>
              <w:ind w:left="1220"/>
              <w:spacing w:after="0"/>
              <w:rPr>
                <w:sz w:val="20"/>
                <w:szCs w:val="20"/>
                <w:color w:val="auto"/>
              </w:rPr>
            </w:pPr>
            <w:r>
              <w:rPr>
                <w:rFonts w:ascii="Arial" w:cs="Arial" w:eastAsia="Arial" w:hAnsi="Arial"/>
                <w:sz w:val="16"/>
                <w:szCs w:val="16"/>
                <w:b w:val="1"/>
                <w:bCs w:val="1"/>
                <w:color w:val="CB233C"/>
              </w:rPr>
              <w:t>Former Directorships in the Past 5 Years:</w:t>
            </w:r>
          </w:p>
        </w:tc>
      </w:tr>
      <w:tr>
        <w:trPr>
          <w:trHeight w:val="215"/>
        </w:trPr>
        <w:tc>
          <w:tcPr>
            <w:tcW w:w="3820" w:type="dxa"/>
            <w:vAlign w:val="bottom"/>
          </w:tcPr>
          <w:p>
            <w:pPr>
              <w:ind w:left="260"/>
              <w:spacing w:after="0"/>
              <w:rPr>
                <w:sz w:val="20"/>
                <w:szCs w:val="20"/>
                <w:color w:val="auto"/>
              </w:rPr>
            </w:pPr>
            <w:r>
              <w:rPr>
                <w:rFonts w:ascii="Arial" w:cs="Arial" w:eastAsia="Arial" w:hAnsi="Arial"/>
                <w:sz w:val="16"/>
                <w:szCs w:val="16"/>
                <w:color w:val="CB233C"/>
              </w:rPr>
              <w:t xml:space="preserve">• </w:t>
            </w:r>
            <w:r>
              <w:rPr>
                <w:rFonts w:ascii="Arial" w:cs="Arial" w:eastAsia="Arial" w:hAnsi="Arial"/>
                <w:sz w:val="16"/>
                <w:szCs w:val="16"/>
                <w:color w:val="000000"/>
              </w:rPr>
              <w:t>None</w:t>
            </w:r>
          </w:p>
        </w:tc>
        <w:tc>
          <w:tcPr>
            <w:tcW w:w="6060" w:type="dxa"/>
            <w:vAlign w:val="bottom"/>
          </w:tcPr>
          <w:p>
            <w:pPr>
              <w:ind w:left="1220"/>
              <w:spacing w:after="0"/>
              <w:rPr>
                <w:sz w:val="20"/>
                <w:szCs w:val="20"/>
                <w:color w:val="auto"/>
              </w:rPr>
            </w:pPr>
            <w:r>
              <w:rPr>
                <w:rFonts w:ascii="Arial" w:cs="Arial" w:eastAsia="Arial" w:hAnsi="Arial"/>
                <w:sz w:val="16"/>
                <w:szCs w:val="16"/>
                <w:color w:val="CB233C"/>
              </w:rPr>
              <w:t xml:space="preserve">• </w:t>
            </w:r>
            <w:r>
              <w:rPr>
                <w:rFonts w:ascii="Arial" w:cs="Arial" w:eastAsia="Arial" w:hAnsi="Arial"/>
                <w:sz w:val="16"/>
                <w:szCs w:val="16"/>
                <w:color w:val="000000"/>
              </w:rPr>
              <w:t>None</w:t>
            </w:r>
          </w:p>
        </w:tc>
      </w:tr>
      <w:tr>
        <w:trPr>
          <w:trHeight w:val="56"/>
        </w:trPr>
        <w:tc>
          <w:tcPr>
            <w:tcW w:w="3820" w:type="dxa"/>
            <w:vAlign w:val="bottom"/>
            <w:tcBorders>
              <w:bottom w:val="single" w:sz="8" w:color="CB233C"/>
            </w:tcBorders>
          </w:tcPr>
          <w:p>
            <w:pPr>
              <w:spacing w:after="0"/>
              <w:rPr>
                <w:sz w:val="4"/>
                <w:szCs w:val="4"/>
                <w:color w:val="auto"/>
              </w:rPr>
            </w:pPr>
          </w:p>
        </w:tc>
        <w:tc>
          <w:tcPr>
            <w:tcW w:w="6060" w:type="dxa"/>
            <w:vAlign w:val="bottom"/>
            <w:tcBorders>
              <w:bottom w:val="single" w:sz="8" w:color="CB233C"/>
            </w:tcBorders>
          </w:tcPr>
          <w:p>
            <w:pPr>
              <w:spacing w:after="0"/>
              <w:rPr>
                <w:sz w:val="4"/>
                <w:szCs w:val="4"/>
                <w:color w:val="auto"/>
              </w:rPr>
            </w:pPr>
          </w:p>
        </w:tc>
      </w:tr>
    </w:tbl>
    <w:p>
      <w:pPr>
        <w:spacing w:after="0" w:line="175" w:lineRule="exact"/>
        <w:rPr>
          <w:sz w:val="20"/>
          <w:szCs w:val="20"/>
          <w:color w:val="auto"/>
        </w:rPr>
      </w:pPr>
    </w:p>
    <w:p>
      <w:pPr>
        <w:sectPr>
          <w:pgSz w:w="11900" w:h="16838" w:orient="portrait"/>
          <w:cols w:equalWidth="0" w:num="2">
            <w:col w:w="1220" w:space="140"/>
            <w:col w:w="9880"/>
          </w:cols>
          <w:pgMar w:left="320" w:top="238" w:right="339" w:bottom="1440" w:gutter="0" w:footer="0" w:header="0"/>
          <w:type w:val="continuous"/>
        </w:sect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25" w:name="page26"/>
    <w:bookmarkEnd w:id="2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CB233C"/>
        </w:rPr>
        <w:t xml:space="preserve">Directors’ </w:t>
      </w:r>
      <w:r>
        <w:rPr>
          <w:rFonts w:ascii="Arial" w:cs="Arial" w:eastAsia="Arial" w:hAnsi="Arial"/>
          <w:sz w:val="47"/>
          <w:szCs w:val="47"/>
          <w:b w:val="1"/>
          <w:bCs w:val="1"/>
          <w:color w:val="000000"/>
        </w:rPr>
        <w:t>Compensation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Directors’ Fees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All non-management Directors receive an annual retainer of $115,000, which remains unchanged since 2014. The Lead Independent Director receives an additional annual retainer of $30,000, and the chair of each Committee receives an additional annual retainer for serving as chair as follows: Audit - $25,000; Compensation - $20,000; Health, Safety and Environment - $15,000; and Nominating and Corporate Governance - $15,000. Non-management Directors are permitted to defer all or part of their fees under the Directors’ Deferred Compensation Plan.</w:t>
      </w:r>
    </w:p>
    <w:p>
      <w:pPr>
        <w:spacing w:after="0" w:line="256"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Directors’ Equity Awards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All non-management Directors receive an annual equity award with a value of approximately $185,000, which remains unchanged since 2014, consisting of restricted stock units (RSUs), each of which represents the right to receive a share of common stock at a future date. These annual awards are made in December. The actual number of RSUs is determined by dividing $185,000 by the average of the closing price of our common stock on the NYSE on each business day during the month of November. The value of the award may be more or less than $185,000 based on the methodology described above for determining the number of RSUs to be awarded and the closing price of our common stock on the NYSE on the date of the award. Non-management Directors are permitted to defer all of their RSUs under the Directors’ Deferred Compensation Plan.</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Additionally, when a non-management Director first joins the Board, he or she receives an equity award shortly thereafter of RSUs equal to a prorated value of the annual equity award of $185,000. The factor used to determine the prorated award is the number of whole months of service from the beginning of the month in which Board service begins to the following first of December divided by 12. The number of RSUs awarded is determined by dividing the prorated award amount by the average of the closing price of our common stock on the NYSE on each business day during the month immediately preceding the Director joining the Board.</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Directors may not sell, assign, otherwise transfer, or encumber restricted shares (which were previously granted to non-management Directors) or RSUs until the restrictions are removed. Beginning in 2020 and to align our practices with peer companies, restrictions on RSUs lapse entirely on the first anniversary of the grant date with the applicable underlying shares of common stock distributed to the non-management Director unless the Director elected to defer receipt of the shares under the Directors’ Deferred Compensation Plan. Restrictions on RSUs granted prior to 2020 lapse 25% a year over four years. If a non-management Director has a separation of service from the Board before completing the specified number of service years from the applicable award date, any unvested RSUs would be forfeited, unless the Board determines to accelerate vesting. Restrictions on restricted shares and RSUs lapse following termination of Board service only under specified circumstances, which include death or disability, retirement under the Director mandatory retirement policy, or early retirement after at least four years of service.</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During the restriction period, Directors have the right to (i) vote restricted shares, but not shares underlying RSUs, and (ii) receive dividends or dividend equivalents in cash on restricted shares and RSUs that have not been deferred. RSUs that have been deferred receive dividend equivalents under the Directors’ Deferred Compensation Plan.</w:t>
      </w: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Directors’ Deferred Compensation Plan</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Directors’ Deferred Compensation Plan is a nonqualified deferred compensation plan and participation is completely voluntary. Under the plan, non-management Directors are permitted to defer all or part of their retainer fees and all of the shares of common stock underlying their RSUs when they vest. If a non-management Director elects to defer retainer fees under the plan, then the Director may elect to have his or her deferred fees accumulate under an interest-bearing account or translate on a quarterly basis into Halliburton common stock equivalent units (SEUs) under a stock equivalents account. If a non-management Director elects to defer receipt of the shares of common stock underlying his or her RSUs when they vest, then those shares are retained as deferred RSUs under the plan. The interest-bearing account is credited daily with interest at the prime rate of Citibank, N.A. The SEUs and deferred RSUs are credited quarterly with dividend equivalents based on the same dividend rate as Halliburton common stock and those amounts are translated into additional SEUs or RSUs, respectively.</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886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After a Director’s retirement, distributions under the plan are made to the Director in a single distribution or in annual installments over a 5- or 10-year period as elected by the Director. Distributions under the interest-bearing account are made in cash, while distributions of SEUs under the stock equivalents account and deferred RSUs are made in shares of Halliburton common stock. Ms. Dicciani and Messrs. Al Khayyal, Bennett, Carroll, and Patel have deferred retainer fees under the plan. Dr. Banks, Mses. Dicciani and Hemingway Hall, and Messrs. Al Khayyal, Albrecht, Bennett, Carroll, and Patel have deferred RSUs under the plan.</w:t>
      </w:r>
    </w:p>
    <w:p>
      <w:pPr>
        <w:spacing w:after="0" w:line="258"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Directors’ Stock Ownership Requirements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have stock ownership requirements for all non-management Directors to further align their interests with our shareholders. As a result, all non-management Directors are required to own Halliburton common stock in an amount equal to or in excess of the greater of (i) the annual base retainer in effect on the date the non-management Director is first elected to the Board multiplied by five or (ii) $500,000. The Nominating and Corporate Governance Committee reviews the holdings of all non-management Directors, which include restricted shares, other Halliburton common stock, and RSUs owned by the Director, at each May meeting. Each non-management Director has five years to meet the requirements, measured from the date he or she is first elected to the Board. Each non-management Director currently meets the stock ownership requirements or is on track to do so within the requisite five-year period.</w:t>
      </w:r>
    </w:p>
    <w:p>
      <w:pPr>
        <w:spacing w:after="0" w:line="260"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Director Clawback Policy</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a clawback policy under which we will seek, in all appropriate cases, to recoup incentive compensation paid to, awarded to, or credited for the benefit of a Director, if and to the extent that:</w:t>
      </w:r>
    </w:p>
    <w:p>
      <w:pPr>
        <w:spacing w:after="0" w:line="129" w:lineRule="exact"/>
        <w:rPr>
          <w:sz w:val="20"/>
          <w:szCs w:val="20"/>
          <w:color w:val="auto"/>
        </w:rPr>
      </w:pPr>
    </w:p>
    <w:p>
      <w:pPr>
        <w:ind w:left="180" w:hanging="172"/>
        <w:spacing w:after="0" w:line="286" w:lineRule="auto"/>
        <w:tabs>
          <w:tab w:leader="none" w:pos="180" w:val="left"/>
        </w:tabs>
        <w:numPr>
          <w:ilvl w:val="0"/>
          <w:numId w:val="29"/>
        </w:numPr>
        <w:rPr>
          <w:rFonts w:ascii="Arial" w:cs="Arial" w:eastAsia="Arial" w:hAnsi="Arial"/>
          <w:sz w:val="16"/>
          <w:szCs w:val="16"/>
          <w:color w:val="CB233C"/>
        </w:rPr>
      </w:pPr>
      <w:r>
        <w:rPr>
          <w:rFonts w:ascii="Arial" w:cs="Arial" w:eastAsia="Arial" w:hAnsi="Arial"/>
          <w:sz w:val="16"/>
          <w:szCs w:val="16"/>
          <w:color w:val="auto"/>
        </w:rPr>
        <w:t>it is determined that, in connection with the performance of that Director’s duties, he or she breached his or her fiduciary duty by knowingly or recklessly engaging in a material violation of a U.S. federal or state law, or recklessly disregarded his or her duty to exercise reasonable oversight; or</w:t>
      </w:r>
    </w:p>
    <w:p>
      <w:pPr>
        <w:spacing w:after="0" w:line="34" w:lineRule="exact"/>
        <w:rPr>
          <w:rFonts w:ascii="Arial" w:cs="Arial" w:eastAsia="Arial" w:hAnsi="Arial"/>
          <w:sz w:val="16"/>
          <w:szCs w:val="16"/>
          <w:color w:val="CB233C"/>
        </w:rPr>
      </w:pPr>
    </w:p>
    <w:p>
      <w:pPr>
        <w:jc w:val="both"/>
        <w:ind w:left="180" w:hanging="172"/>
        <w:spacing w:after="0" w:line="259" w:lineRule="auto"/>
        <w:tabs>
          <w:tab w:leader="none" w:pos="180" w:val="left"/>
        </w:tabs>
        <w:numPr>
          <w:ilvl w:val="0"/>
          <w:numId w:val="29"/>
        </w:numPr>
        <w:rPr>
          <w:rFonts w:ascii="Arial" w:cs="Arial" w:eastAsia="Arial" w:hAnsi="Arial"/>
          <w:sz w:val="16"/>
          <w:szCs w:val="16"/>
          <w:color w:val="CB233C"/>
        </w:rPr>
      </w:pPr>
      <w:r>
        <w:rPr>
          <w:rFonts w:ascii="Arial" w:cs="Arial" w:eastAsia="Arial" w:hAnsi="Arial"/>
          <w:sz w:val="16"/>
          <w:szCs w:val="16"/>
          <w:color w:val="auto"/>
        </w:rPr>
        <w:t>the Director is named as a defendant in a law enforcement proceeding for having breached his or her fiduciary duty by knowingly or recklessly engaging in a material violation of a U.S. federal or state law, the Director disagrees with the allegations relating to the proceeding, and either (i) we initiate a review and determine that the alleged action is not indemnifiable or (ii) the Director does not prevail at trial, enters into a plea arrangement, agrees to the entry of a final administrative or judicial order imposing sanctions, or otherwise admits to the violation in a legal proceeding.</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disinterested members of the Board and the disinterested members of the Compensation Committee and the Nominating and Corporate Governance Committee may be involved in reviewing, considering, and making determinations regarding the Director’s alleged conduct, whether recoupment is appropriate or required, and the type and amount of incentive compensation to be recouped from the Director.</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policy also provides that, to the extent permitted by applicable law and not previously disclosed in a filing with the SEC, we will disclose in our proxy statement the circumstances of any recoupment arising under the policy or that there has not been any recoupment pursuant to the policy for the prior calendar year. There was no recoupment under the policy in 2021.</w:t>
      </w: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Matching Programs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further our support for charities, Directors may participate in the Halliburton Foundation’s matching gift programs for educational institutions, not-for-profit hospitals, and medical foundations. For each eligible contribution, the Halliburton Foundation makes a contribution of 2.25 times the amount contributed by the Director, subject to approval by its Trustees. The maximum aggregate of all contributions each calendar year by a Director eligible for matching is $50,000, resulting in a maximum aggregate amount contributed annually by the Halliburton Foundation in the form of matching gifts of $112,500 for any Director who participates in the programs. Neither the Halliburton Foundation nor we have made a charitable contribution, within the preceding three years, to any charitable organization in which a Director serves as an executive officer that exceeds in any single year the greater of $1 million or 2% of such charitable organization’s consolidated gross revenues.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Halliburton Political Action Committee, or HALPAC, allows Directors to donate to political candidates and participate in the political process. We match the Directors’ donations to HALPAC dollar-for-dollar to a 501(c)(3) status nonprofit organization of the contributor’s choice.</w:t>
      </w:r>
    </w:p>
    <w:p>
      <w:pPr>
        <w:spacing w:after="0" w:line="129" w:lineRule="exact"/>
        <w:rPr>
          <w:sz w:val="20"/>
          <w:szCs w:val="20"/>
          <w:color w:val="auto"/>
        </w:r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2021 Director Compensation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58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 in Pension Value</w:t>
            </w:r>
          </w:p>
        </w:tc>
        <w:tc>
          <w:tcPr>
            <w:tcW w:w="16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2740" w:type="dxa"/>
            <w:vAlign w:val="bottom"/>
          </w:tcPr>
          <w:p>
            <w:pPr>
              <w:spacing w:after="0"/>
              <w:rPr>
                <w:sz w:val="16"/>
                <w:szCs w:val="16"/>
                <w:color w:val="auto"/>
              </w:rPr>
            </w:pPr>
          </w:p>
        </w:tc>
        <w:tc>
          <w:tcPr>
            <w:tcW w:w="2260" w:type="dxa"/>
            <w:vAlign w:val="bottom"/>
          </w:tcPr>
          <w:p>
            <w:pPr>
              <w:jc w:val="right"/>
              <w:ind w:right="199"/>
              <w:spacing w:after="0"/>
              <w:rPr>
                <w:sz w:val="20"/>
                <w:szCs w:val="20"/>
                <w:color w:val="auto"/>
              </w:rPr>
            </w:pPr>
            <w:r>
              <w:rPr>
                <w:rFonts w:ascii="Arial" w:cs="Arial" w:eastAsia="Arial" w:hAnsi="Arial"/>
                <w:sz w:val="16"/>
                <w:szCs w:val="16"/>
                <w:b w:val="1"/>
                <w:bCs w:val="1"/>
                <w:color w:val="auto"/>
              </w:rPr>
              <w:t>Fees Earned</w:t>
            </w:r>
          </w:p>
        </w:tc>
        <w:tc>
          <w:tcPr>
            <w:tcW w:w="1120" w:type="dxa"/>
            <w:vAlign w:val="bottom"/>
          </w:tcPr>
          <w:p>
            <w:pPr>
              <w:jc w:val="right"/>
              <w:ind w:right="199"/>
              <w:spacing w:after="0"/>
              <w:rPr>
                <w:sz w:val="20"/>
                <w:szCs w:val="20"/>
                <w:color w:val="auto"/>
              </w:rPr>
            </w:pPr>
            <w:r>
              <w:rPr>
                <w:rFonts w:ascii="Arial" w:cs="Arial" w:eastAsia="Arial" w:hAnsi="Arial"/>
                <w:sz w:val="16"/>
                <w:szCs w:val="16"/>
                <w:b w:val="1"/>
                <w:bCs w:val="1"/>
                <w:color w:val="auto"/>
              </w:rPr>
              <w:t>Stock</w:t>
            </w:r>
          </w:p>
        </w:tc>
        <w:tc>
          <w:tcPr>
            <w:tcW w:w="2580" w:type="dxa"/>
            <w:vAlign w:val="bottom"/>
          </w:tcPr>
          <w:p>
            <w:pPr>
              <w:jc w:val="right"/>
              <w:ind w:right="219"/>
              <w:spacing w:after="0"/>
              <w:rPr>
                <w:sz w:val="20"/>
                <w:szCs w:val="20"/>
                <w:color w:val="auto"/>
              </w:rPr>
            </w:pPr>
            <w:r>
              <w:rPr>
                <w:rFonts w:ascii="Arial" w:cs="Arial" w:eastAsia="Arial" w:hAnsi="Arial"/>
                <w:sz w:val="16"/>
                <w:szCs w:val="16"/>
                <w:b w:val="1"/>
                <w:bCs w:val="1"/>
                <w:color w:val="auto"/>
              </w:rPr>
              <w:t>and Nonqualified Deferred</w:t>
            </w:r>
          </w:p>
        </w:tc>
        <w:tc>
          <w:tcPr>
            <w:tcW w:w="1660" w:type="dxa"/>
            <w:vAlign w:val="bottom"/>
          </w:tcPr>
          <w:p>
            <w:pPr>
              <w:jc w:val="right"/>
              <w:ind w:right="219"/>
              <w:spacing w:after="0"/>
              <w:rPr>
                <w:sz w:val="20"/>
                <w:szCs w:val="20"/>
                <w:color w:val="auto"/>
              </w:rPr>
            </w:pPr>
            <w:r>
              <w:rPr>
                <w:rFonts w:ascii="Arial" w:cs="Arial" w:eastAsia="Arial" w:hAnsi="Arial"/>
                <w:sz w:val="16"/>
                <w:szCs w:val="16"/>
                <w:b w:val="1"/>
                <w:bCs w:val="1"/>
                <w:color w:val="auto"/>
              </w:rPr>
              <w:t>All Other</w:t>
            </w:r>
          </w:p>
        </w:tc>
        <w:tc>
          <w:tcPr>
            <w:tcW w:w="880" w:type="dxa"/>
            <w:vAlign w:val="bottom"/>
          </w:tcPr>
          <w:p>
            <w:pPr>
              <w:spacing w:after="0"/>
              <w:rPr>
                <w:sz w:val="16"/>
                <w:szCs w:val="16"/>
                <w:color w:val="auto"/>
              </w:rPr>
            </w:pPr>
          </w:p>
        </w:tc>
      </w:tr>
      <w:tr>
        <w:trPr>
          <w:trHeight w:val="189"/>
        </w:trPr>
        <w:tc>
          <w:tcPr>
            <w:tcW w:w="2740" w:type="dxa"/>
            <w:vAlign w:val="bottom"/>
          </w:tcPr>
          <w:p>
            <w:pPr>
              <w:spacing w:after="0"/>
              <w:rPr>
                <w:sz w:val="16"/>
                <w:szCs w:val="16"/>
                <w:color w:val="auto"/>
              </w:rPr>
            </w:pPr>
          </w:p>
        </w:tc>
        <w:tc>
          <w:tcPr>
            <w:tcW w:w="2260" w:type="dxa"/>
            <w:vAlign w:val="bottom"/>
          </w:tcPr>
          <w:p>
            <w:pPr>
              <w:jc w:val="right"/>
              <w:ind w:right="199"/>
              <w:spacing w:after="0"/>
              <w:rPr>
                <w:sz w:val="20"/>
                <w:szCs w:val="20"/>
                <w:color w:val="auto"/>
              </w:rPr>
            </w:pPr>
            <w:r>
              <w:rPr>
                <w:rFonts w:ascii="Arial" w:cs="Arial" w:eastAsia="Arial" w:hAnsi="Arial"/>
                <w:sz w:val="16"/>
                <w:szCs w:val="16"/>
                <w:b w:val="1"/>
                <w:bCs w:val="1"/>
                <w:color w:val="auto"/>
              </w:rPr>
              <w:t>or Paid in Cash</w:t>
            </w:r>
          </w:p>
        </w:tc>
        <w:tc>
          <w:tcPr>
            <w:tcW w:w="1120" w:type="dxa"/>
            <w:vAlign w:val="bottom"/>
          </w:tcPr>
          <w:p>
            <w:pPr>
              <w:jc w:val="right"/>
              <w:ind w:right="199"/>
              <w:spacing w:after="0"/>
              <w:rPr>
                <w:sz w:val="20"/>
                <w:szCs w:val="20"/>
                <w:color w:val="auto"/>
              </w:rPr>
            </w:pPr>
            <w:r>
              <w:rPr>
                <w:rFonts w:ascii="Arial" w:cs="Arial" w:eastAsia="Arial" w:hAnsi="Arial"/>
                <w:sz w:val="16"/>
                <w:szCs w:val="16"/>
                <w:b w:val="1"/>
                <w:bCs w:val="1"/>
                <w:color w:val="auto"/>
              </w:rPr>
              <w:t>Awards</w:t>
            </w:r>
          </w:p>
        </w:tc>
        <w:tc>
          <w:tcPr>
            <w:tcW w:w="2580" w:type="dxa"/>
            <w:vAlign w:val="bottom"/>
          </w:tcPr>
          <w:p>
            <w:pPr>
              <w:jc w:val="right"/>
              <w:ind w:right="219"/>
              <w:spacing w:after="0"/>
              <w:rPr>
                <w:sz w:val="20"/>
                <w:szCs w:val="20"/>
                <w:color w:val="auto"/>
              </w:rPr>
            </w:pPr>
            <w:r>
              <w:rPr>
                <w:rFonts w:ascii="Arial" w:cs="Arial" w:eastAsia="Arial" w:hAnsi="Arial"/>
                <w:sz w:val="16"/>
                <w:szCs w:val="16"/>
                <w:b w:val="1"/>
                <w:bCs w:val="1"/>
                <w:color w:val="auto"/>
              </w:rPr>
              <w:t>Compensation Earnings</w:t>
            </w:r>
          </w:p>
        </w:tc>
        <w:tc>
          <w:tcPr>
            <w:tcW w:w="1660" w:type="dxa"/>
            <w:vAlign w:val="bottom"/>
          </w:tcPr>
          <w:p>
            <w:pPr>
              <w:jc w:val="right"/>
              <w:ind w:right="219"/>
              <w:spacing w:after="0"/>
              <w:rPr>
                <w:sz w:val="20"/>
                <w:szCs w:val="20"/>
                <w:color w:val="auto"/>
              </w:rPr>
            </w:pPr>
            <w:r>
              <w:rPr>
                <w:rFonts w:ascii="Arial" w:cs="Arial" w:eastAsia="Arial" w:hAnsi="Arial"/>
                <w:sz w:val="16"/>
                <w:szCs w:val="16"/>
                <w:b w:val="1"/>
                <w:bCs w:val="1"/>
                <w:color w:val="auto"/>
              </w:rPr>
              <w:t>Compensation</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26"/>
        </w:trPr>
        <w:tc>
          <w:tcPr>
            <w:tcW w:w="2740" w:type="dxa"/>
            <w:vAlign w:val="bottom"/>
            <w:tcBorders>
              <w:bottom w:val="single" w:sz="8" w:color="CB233C"/>
            </w:tcBorders>
          </w:tcPr>
          <w:p>
            <w:pPr>
              <w:ind w:left="60"/>
              <w:spacing w:after="0"/>
              <w:rPr>
                <w:sz w:val="20"/>
                <w:szCs w:val="20"/>
                <w:color w:val="auto"/>
              </w:rPr>
            </w:pPr>
            <w:r>
              <w:rPr>
                <w:rFonts w:ascii="Arial" w:cs="Arial" w:eastAsia="Arial" w:hAnsi="Arial"/>
                <w:sz w:val="16"/>
                <w:szCs w:val="16"/>
                <w:b w:val="1"/>
                <w:bCs w:val="1"/>
                <w:color w:val="auto"/>
              </w:rPr>
              <w:t>Name</w:t>
            </w:r>
          </w:p>
        </w:tc>
        <w:tc>
          <w:tcPr>
            <w:tcW w:w="2260" w:type="dxa"/>
            <w:vAlign w:val="bottom"/>
            <w:tcBorders>
              <w:bottom w:val="single" w:sz="8" w:color="CB233C"/>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B233C"/>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2580" w:type="dxa"/>
            <w:vAlign w:val="bottom"/>
            <w:tcBorders>
              <w:bottom w:val="single" w:sz="8" w:color="CB233C"/>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CB233C"/>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50"/>
        </w:trPr>
        <w:tc>
          <w:tcPr>
            <w:tcW w:w="27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auto"/>
              </w:rPr>
              <w:t>Abdulaziz F. Al Khayyal</w:t>
            </w:r>
          </w:p>
        </w:tc>
        <w:tc>
          <w:tcPr>
            <w:tcW w:w="226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auto"/>
              </w:rPr>
              <w:t>115,000</w:t>
            </w:r>
          </w:p>
        </w:tc>
        <w:tc>
          <w:tcPr>
            <w:tcW w:w="112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auto"/>
              </w:rPr>
              <w:t>186,728</w:t>
            </w:r>
          </w:p>
        </w:tc>
        <w:tc>
          <w:tcPr>
            <w:tcW w:w="258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0</w:t>
            </w:r>
          </w:p>
        </w:tc>
        <w:tc>
          <w:tcPr>
            <w:tcW w:w="166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10,414</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312,142</w:t>
            </w:r>
          </w:p>
        </w:tc>
      </w:tr>
      <w:tr>
        <w:trPr>
          <w:trHeight w:val="250"/>
        </w:trPr>
        <w:tc>
          <w:tcPr>
            <w:tcW w:w="27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auto"/>
              </w:rPr>
              <w:t>William E. Albrecht</w:t>
            </w:r>
          </w:p>
        </w:tc>
        <w:tc>
          <w:tcPr>
            <w:tcW w:w="226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auto"/>
              </w:rPr>
              <w:t>124,231</w:t>
            </w:r>
          </w:p>
        </w:tc>
        <w:tc>
          <w:tcPr>
            <w:tcW w:w="112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auto"/>
              </w:rPr>
              <w:t>186,728</w:t>
            </w:r>
          </w:p>
        </w:tc>
        <w:tc>
          <w:tcPr>
            <w:tcW w:w="258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0</w:t>
            </w:r>
          </w:p>
        </w:tc>
        <w:tc>
          <w:tcPr>
            <w:tcW w:w="166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6,492</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317,451</w:t>
            </w:r>
          </w:p>
        </w:tc>
      </w:tr>
      <w:tr>
        <w:trPr>
          <w:trHeight w:val="250"/>
        </w:trPr>
        <w:tc>
          <w:tcPr>
            <w:tcW w:w="27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auto"/>
              </w:rPr>
              <w:t>M. Katherine Banks</w:t>
            </w:r>
          </w:p>
        </w:tc>
        <w:tc>
          <w:tcPr>
            <w:tcW w:w="226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auto"/>
              </w:rPr>
              <w:t>115,000</w:t>
            </w:r>
          </w:p>
        </w:tc>
        <w:tc>
          <w:tcPr>
            <w:tcW w:w="112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auto"/>
              </w:rPr>
              <w:t>186,728</w:t>
            </w:r>
          </w:p>
        </w:tc>
        <w:tc>
          <w:tcPr>
            <w:tcW w:w="258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0</w:t>
            </w:r>
          </w:p>
        </w:tc>
        <w:tc>
          <w:tcPr>
            <w:tcW w:w="166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45,341</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347,069</w:t>
            </w:r>
          </w:p>
        </w:tc>
      </w:tr>
      <w:tr>
        <w:trPr>
          <w:trHeight w:val="250"/>
        </w:trPr>
        <w:tc>
          <w:tcPr>
            <w:tcW w:w="27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auto"/>
              </w:rPr>
              <w:t>Alan M. Bennett</w:t>
            </w:r>
          </w:p>
        </w:tc>
        <w:tc>
          <w:tcPr>
            <w:tcW w:w="226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auto"/>
              </w:rPr>
              <w:t>140,000</w:t>
            </w:r>
          </w:p>
        </w:tc>
        <w:tc>
          <w:tcPr>
            <w:tcW w:w="112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auto"/>
              </w:rPr>
              <w:t>186,728</w:t>
            </w:r>
          </w:p>
        </w:tc>
        <w:tc>
          <w:tcPr>
            <w:tcW w:w="258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0</w:t>
            </w:r>
          </w:p>
        </w:tc>
        <w:tc>
          <w:tcPr>
            <w:tcW w:w="166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88,756</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415,484</w:t>
            </w:r>
          </w:p>
        </w:tc>
      </w:tr>
      <w:tr>
        <w:trPr>
          <w:trHeight w:val="250"/>
        </w:trPr>
        <w:tc>
          <w:tcPr>
            <w:tcW w:w="27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auto"/>
              </w:rPr>
              <w:t>Milton Carroll</w:t>
            </w:r>
          </w:p>
        </w:tc>
        <w:tc>
          <w:tcPr>
            <w:tcW w:w="226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auto"/>
              </w:rPr>
              <w:t>130,000</w:t>
            </w:r>
          </w:p>
        </w:tc>
        <w:tc>
          <w:tcPr>
            <w:tcW w:w="112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auto"/>
              </w:rPr>
              <w:t>186,728</w:t>
            </w:r>
          </w:p>
        </w:tc>
        <w:tc>
          <w:tcPr>
            <w:tcW w:w="258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0</w:t>
            </w:r>
          </w:p>
        </w:tc>
        <w:tc>
          <w:tcPr>
            <w:tcW w:w="166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22,899</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339,627</w:t>
            </w:r>
          </w:p>
        </w:tc>
      </w:tr>
      <w:tr>
        <w:trPr>
          <w:trHeight w:val="281"/>
        </w:trPr>
        <w:tc>
          <w:tcPr>
            <w:tcW w:w="2740" w:type="dxa"/>
            <w:vAlign w:val="bottom"/>
            <w:tcBorders>
              <w:bottom w:val="single" w:sz="8" w:color="A7A9AC"/>
            </w:tcBorders>
          </w:tcPr>
          <w:p>
            <w:pPr>
              <w:ind w:left="60"/>
              <w:spacing w:after="0" w:line="281" w:lineRule="exact"/>
              <w:rPr>
                <w:sz w:val="20"/>
                <w:szCs w:val="20"/>
                <w:color w:val="auto"/>
              </w:rPr>
            </w:pPr>
            <w:r>
              <w:rPr>
                <w:rFonts w:ascii="Arial" w:cs="Arial" w:eastAsia="Arial" w:hAnsi="Arial"/>
                <w:sz w:val="16"/>
                <w:szCs w:val="16"/>
                <w:b w:val="1"/>
                <w:bCs w:val="1"/>
                <w:color w:val="auto"/>
              </w:rPr>
              <w:t>Nance K. Dicciani</w:t>
            </w:r>
            <w:r>
              <w:rPr>
                <w:rFonts w:ascii="Arial" w:cs="Arial" w:eastAsia="Arial" w:hAnsi="Arial"/>
                <w:sz w:val="26"/>
                <w:szCs w:val="26"/>
                <w:b w:val="1"/>
                <w:bCs w:val="1"/>
                <w:color w:val="auto"/>
                <w:vertAlign w:val="superscript"/>
              </w:rPr>
              <w:t>(1)</w:t>
            </w:r>
          </w:p>
        </w:tc>
        <w:tc>
          <w:tcPr>
            <w:tcW w:w="226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auto"/>
              </w:rPr>
              <w:t>50,000</w:t>
            </w:r>
          </w:p>
        </w:tc>
        <w:tc>
          <w:tcPr>
            <w:tcW w:w="112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auto"/>
              </w:rPr>
              <w:t>0</w:t>
            </w:r>
          </w:p>
        </w:tc>
        <w:tc>
          <w:tcPr>
            <w:tcW w:w="258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0</w:t>
            </w:r>
          </w:p>
        </w:tc>
        <w:tc>
          <w:tcPr>
            <w:tcW w:w="166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121,174</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171,174</w:t>
            </w:r>
          </w:p>
        </w:tc>
      </w:tr>
      <w:tr>
        <w:trPr>
          <w:trHeight w:val="246"/>
        </w:trPr>
        <w:tc>
          <w:tcPr>
            <w:tcW w:w="27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auto"/>
              </w:rPr>
              <w:t>Murry S. Gerber</w:t>
            </w:r>
          </w:p>
        </w:tc>
        <w:tc>
          <w:tcPr>
            <w:tcW w:w="226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auto"/>
              </w:rPr>
              <w:t>135,000</w:t>
            </w:r>
          </w:p>
        </w:tc>
        <w:tc>
          <w:tcPr>
            <w:tcW w:w="112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auto"/>
              </w:rPr>
              <w:t>186,728</w:t>
            </w:r>
          </w:p>
        </w:tc>
        <w:tc>
          <w:tcPr>
            <w:tcW w:w="258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0</w:t>
            </w:r>
          </w:p>
        </w:tc>
        <w:tc>
          <w:tcPr>
            <w:tcW w:w="166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116,316</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438,044</w:t>
            </w:r>
          </w:p>
        </w:tc>
      </w:tr>
      <w:tr>
        <w:trPr>
          <w:trHeight w:val="250"/>
        </w:trPr>
        <w:tc>
          <w:tcPr>
            <w:tcW w:w="27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auto"/>
              </w:rPr>
              <w:t>Patricia Hemingway Hall</w:t>
            </w:r>
          </w:p>
        </w:tc>
        <w:tc>
          <w:tcPr>
            <w:tcW w:w="226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auto"/>
              </w:rPr>
              <w:t>115,000</w:t>
            </w:r>
          </w:p>
        </w:tc>
        <w:tc>
          <w:tcPr>
            <w:tcW w:w="112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auto"/>
              </w:rPr>
              <w:t>186,728</w:t>
            </w:r>
          </w:p>
        </w:tc>
        <w:tc>
          <w:tcPr>
            <w:tcW w:w="258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0</w:t>
            </w:r>
          </w:p>
        </w:tc>
        <w:tc>
          <w:tcPr>
            <w:tcW w:w="166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116,062</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417,790</w:t>
            </w:r>
          </w:p>
        </w:tc>
      </w:tr>
      <w:tr>
        <w:trPr>
          <w:trHeight w:val="250"/>
        </w:trPr>
        <w:tc>
          <w:tcPr>
            <w:tcW w:w="27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auto"/>
              </w:rPr>
              <w:t>Robert A. Malone</w:t>
            </w:r>
          </w:p>
        </w:tc>
        <w:tc>
          <w:tcPr>
            <w:tcW w:w="226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auto"/>
              </w:rPr>
              <w:t>145,000</w:t>
            </w:r>
          </w:p>
        </w:tc>
        <w:tc>
          <w:tcPr>
            <w:tcW w:w="112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auto"/>
              </w:rPr>
              <w:t>186,728</w:t>
            </w:r>
          </w:p>
        </w:tc>
        <w:tc>
          <w:tcPr>
            <w:tcW w:w="258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0</w:t>
            </w:r>
          </w:p>
        </w:tc>
        <w:tc>
          <w:tcPr>
            <w:tcW w:w="166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118,627</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450,355</w:t>
            </w:r>
          </w:p>
        </w:tc>
      </w:tr>
      <w:tr>
        <w:trPr>
          <w:trHeight w:val="281"/>
        </w:trPr>
        <w:tc>
          <w:tcPr>
            <w:tcW w:w="2740" w:type="dxa"/>
            <w:vAlign w:val="bottom"/>
            <w:tcBorders>
              <w:bottom w:val="single" w:sz="8" w:color="CB233C"/>
            </w:tcBorders>
          </w:tcPr>
          <w:p>
            <w:pPr>
              <w:ind w:left="60"/>
              <w:spacing w:after="0" w:line="281" w:lineRule="exact"/>
              <w:rPr>
                <w:sz w:val="20"/>
                <w:szCs w:val="20"/>
                <w:color w:val="auto"/>
              </w:rPr>
            </w:pPr>
            <w:r>
              <w:rPr>
                <w:rFonts w:ascii="Arial" w:cs="Arial" w:eastAsia="Arial" w:hAnsi="Arial"/>
                <w:sz w:val="16"/>
                <w:szCs w:val="16"/>
                <w:b w:val="1"/>
                <w:bCs w:val="1"/>
                <w:color w:val="auto"/>
              </w:rPr>
              <w:t>Bhavesh V. Patel</w:t>
            </w:r>
            <w:r>
              <w:rPr>
                <w:rFonts w:ascii="Arial" w:cs="Arial" w:eastAsia="Arial" w:hAnsi="Arial"/>
                <w:sz w:val="26"/>
                <w:szCs w:val="26"/>
                <w:b w:val="1"/>
                <w:bCs w:val="1"/>
                <w:color w:val="auto"/>
                <w:vertAlign w:val="superscript"/>
              </w:rPr>
              <w:t>(2)</w:t>
            </w:r>
          </w:p>
        </w:tc>
        <w:tc>
          <w:tcPr>
            <w:tcW w:w="2260" w:type="dxa"/>
            <w:vAlign w:val="bottom"/>
            <w:tcBorders>
              <w:bottom w:val="single" w:sz="8" w:color="CB233C"/>
            </w:tcBorders>
          </w:tcPr>
          <w:p>
            <w:pPr>
              <w:jc w:val="right"/>
              <w:ind w:right="159"/>
              <w:spacing w:after="0"/>
              <w:rPr>
                <w:sz w:val="20"/>
                <w:szCs w:val="20"/>
                <w:color w:val="auto"/>
              </w:rPr>
            </w:pPr>
            <w:r>
              <w:rPr>
                <w:rFonts w:ascii="Arial" w:cs="Arial" w:eastAsia="Arial" w:hAnsi="Arial"/>
                <w:sz w:val="16"/>
                <w:szCs w:val="16"/>
                <w:color w:val="auto"/>
              </w:rPr>
              <w:t>99,986</w:t>
            </w:r>
          </w:p>
        </w:tc>
        <w:tc>
          <w:tcPr>
            <w:tcW w:w="1120" w:type="dxa"/>
            <w:vAlign w:val="bottom"/>
            <w:tcBorders>
              <w:bottom w:val="single" w:sz="8" w:color="CB233C"/>
            </w:tcBorders>
          </w:tcPr>
          <w:p>
            <w:pPr>
              <w:jc w:val="right"/>
              <w:ind w:right="159"/>
              <w:spacing w:after="0"/>
              <w:rPr>
                <w:sz w:val="20"/>
                <w:szCs w:val="20"/>
                <w:color w:val="auto"/>
              </w:rPr>
            </w:pPr>
            <w:r>
              <w:rPr>
                <w:rFonts w:ascii="Arial" w:cs="Arial" w:eastAsia="Arial" w:hAnsi="Arial"/>
                <w:sz w:val="16"/>
                <w:szCs w:val="16"/>
                <w:color w:val="auto"/>
              </w:rPr>
              <w:t>367,187</w:t>
            </w:r>
          </w:p>
        </w:tc>
        <w:tc>
          <w:tcPr>
            <w:tcW w:w="2580" w:type="dxa"/>
            <w:vAlign w:val="bottom"/>
            <w:tcBorders>
              <w:bottom w:val="single" w:sz="8" w:color="CB233C"/>
            </w:tcBorders>
          </w:tcPr>
          <w:p>
            <w:pPr>
              <w:jc w:val="right"/>
              <w:ind w:right="179"/>
              <w:spacing w:after="0"/>
              <w:rPr>
                <w:sz w:val="20"/>
                <w:szCs w:val="20"/>
                <w:color w:val="auto"/>
              </w:rPr>
            </w:pPr>
            <w:r>
              <w:rPr>
                <w:rFonts w:ascii="Arial" w:cs="Arial" w:eastAsia="Arial" w:hAnsi="Arial"/>
                <w:sz w:val="16"/>
                <w:szCs w:val="16"/>
                <w:color w:val="auto"/>
              </w:rPr>
              <w:t>0</w:t>
            </w:r>
          </w:p>
        </w:tc>
        <w:tc>
          <w:tcPr>
            <w:tcW w:w="1660" w:type="dxa"/>
            <w:vAlign w:val="bottom"/>
            <w:tcBorders>
              <w:bottom w:val="single" w:sz="8" w:color="CB233C"/>
            </w:tcBorders>
          </w:tcPr>
          <w:p>
            <w:pPr>
              <w:jc w:val="right"/>
              <w:ind w:right="179"/>
              <w:spacing w:after="0"/>
              <w:rPr>
                <w:sz w:val="20"/>
                <w:szCs w:val="20"/>
                <w:color w:val="auto"/>
              </w:rPr>
            </w:pPr>
            <w:r>
              <w:rPr>
                <w:rFonts w:ascii="Arial" w:cs="Arial" w:eastAsia="Arial" w:hAnsi="Arial"/>
                <w:sz w:val="16"/>
                <w:szCs w:val="16"/>
                <w:color w:val="auto"/>
              </w:rPr>
              <w:t>114,318</w:t>
            </w:r>
          </w:p>
        </w:tc>
        <w:tc>
          <w:tcPr>
            <w:tcW w:w="88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581,491</w:t>
            </w:r>
          </w:p>
        </w:tc>
      </w:tr>
    </w:tbl>
    <w:p>
      <w:pPr>
        <w:spacing w:after="0" w:line="47"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Ms. Dicciani retired from the Board on May 19, 2021.</w:t>
      </w:r>
    </w:p>
    <w:p>
      <w:pPr>
        <w:spacing w:after="0" w:line="68" w:lineRule="exact"/>
        <w:rPr>
          <w:rFonts w:ascii="Arial" w:cs="Arial" w:eastAsia="Arial" w:hAnsi="Arial"/>
          <w:sz w:val="14"/>
          <w:szCs w:val="14"/>
          <w:i w:val="1"/>
          <w:iCs w:val="1"/>
          <w:color w:val="auto"/>
        </w:rPr>
      </w:pPr>
    </w:p>
    <w:p>
      <w:pPr>
        <w:ind w:left="340" w:hanging="332"/>
        <w:spacing w:after="0" w:line="282" w:lineRule="auto"/>
        <w:tabs>
          <w:tab w:leader="none" w:pos="34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Mr. Patel joined the Board on February 17, 2021. The Stock Awards for Mr. Patel involve a prorated award when he joined the Board and the grant in December received by all of the non-management Directors.</w:t>
      </w:r>
    </w:p>
    <w:p>
      <w:pPr>
        <w:spacing w:after="0" w:line="10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 xml:space="preserve">Fees Earned or Paid In Cash. </w:t>
      </w:r>
      <w:r>
        <w:rPr>
          <w:rFonts w:ascii="Arial" w:cs="Arial" w:eastAsia="Arial" w:hAnsi="Arial"/>
          <w:sz w:val="16"/>
          <w:szCs w:val="16"/>
          <w:color w:val="auto"/>
        </w:rPr>
        <w:t>The amounts in this column represent retainer fees earned in fiscal year 2021, but not necessarily paid in 2021. Refer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Directors’ Fees for information on annual retainer fees.</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Stock Awards. </w:t>
      </w:r>
      <w:r>
        <w:rPr>
          <w:rFonts w:ascii="Arial" w:cs="Arial" w:eastAsia="Arial" w:hAnsi="Arial"/>
          <w:sz w:val="16"/>
          <w:szCs w:val="16"/>
          <w:color w:val="auto"/>
        </w:rPr>
        <w:t>The amounts in the Stock Awards column reflect the grant date fair value of RSUs awarded in 2021. We calculate the fair value of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by multiplying the number of RSUs granted by the closing stock price as of the award’s grant date.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number of restricted shares, RSUs, and SEUs held at December 31, 2021, by non-management Directors 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860" w:type="dxa"/>
            <w:vAlign w:val="bottom"/>
            <w:tcBorders>
              <w:bottom w:val="single" w:sz="8" w:color="CB233C"/>
            </w:tcBorders>
          </w:tcPr>
          <w:p>
            <w:pPr>
              <w:ind w:left="60"/>
              <w:spacing w:after="0"/>
              <w:rPr>
                <w:sz w:val="20"/>
                <w:szCs w:val="20"/>
                <w:color w:val="auto"/>
              </w:rPr>
            </w:pPr>
            <w:r>
              <w:rPr>
                <w:rFonts w:ascii="Arial" w:cs="Arial" w:eastAsia="Arial" w:hAnsi="Arial"/>
                <w:sz w:val="16"/>
                <w:szCs w:val="16"/>
                <w:b w:val="1"/>
                <w:bCs w:val="1"/>
                <w:color w:val="auto"/>
              </w:rPr>
              <w:t>Name</w:t>
            </w:r>
          </w:p>
        </w:tc>
        <w:tc>
          <w:tcPr>
            <w:tcW w:w="4580" w:type="dxa"/>
            <w:vAlign w:val="bottom"/>
            <w:tcBorders>
              <w:bottom w:val="single" w:sz="8" w:color="CB233C"/>
            </w:tcBorders>
          </w:tcPr>
          <w:p>
            <w:pPr>
              <w:jc w:val="right"/>
              <w:ind w:right="179"/>
              <w:spacing w:after="0"/>
              <w:rPr>
                <w:sz w:val="20"/>
                <w:szCs w:val="20"/>
                <w:color w:val="auto"/>
              </w:rPr>
            </w:pPr>
            <w:r>
              <w:rPr>
                <w:rFonts w:ascii="Arial" w:cs="Arial" w:eastAsia="Arial" w:hAnsi="Arial"/>
                <w:sz w:val="16"/>
                <w:szCs w:val="16"/>
                <w:b w:val="1"/>
                <w:bCs w:val="1"/>
                <w:color w:val="auto"/>
              </w:rPr>
              <w:t>Restricted Shares</w:t>
            </w:r>
          </w:p>
        </w:tc>
        <w:tc>
          <w:tcPr>
            <w:tcW w:w="1040" w:type="dxa"/>
            <w:vAlign w:val="bottom"/>
            <w:tcBorders>
              <w:bottom w:val="single" w:sz="8" w:color="CB233C"/>
            </w:tcBorders>
          </w:tcPr>
          <w:p>
            <w:pPr>
              <w:jc w:val="right"/>
              <w:ind w:right="179"/>
              <w:spacing w:after="0"/>
              <w:rPr>
                <w:sz w:val="20"/>
                <w:szCs w:val="20"/>
                <w:color w:val="auto"/>
              </w:rPr>
            </w:pPr>
            <w:r>
              <w:rPr>
                <w:rFonts w:ascii="Arial" w:cs="Arial" w:eastAsia="Arial" w:hAnsi="Arial"/>
                <w:sz w:val="16"/>
                <w:szCs w:val="16"/>
                <w:b w:val="1"/>
                <w:bCs w:val="1"/>
                <w:color w:val="auto"/>
              </w:rPr>
              <w:t>RSUs</w:t>
            </w:r>
          </w:p>
        </w:tc>
        <w:tc>
          <w:tcPr>
            <w:tcW w:w="76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SEUs</w:t>
            </w:r>
          </w:p>
        </w:tc>
      </w:tr>
      <w:tr>
        <w:trPr>
          <w:trHeight w:val="250"/>
        </w:trPr>
        <w:tc>
          <w:tcPr>
            <w:tcW w:w="486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auto"/>
              </w:rPr>
              <w:t>Abdulaziz F. Al Khayyal</w:t>
            </w:r>
          </w:p>
        </w:tc>
        <w:tc>
          <w:tcPr>
            <w:tcW w:w="458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50,758</w:t>
            </w:r>
          </w:p>
        </w:tc>
        <w:tc>
          <w:tcPr>
            <w:tcW w:w="7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2,701</w:t>
            </w:r>
          </w:p>
        </w:tc>
      </w:tr>
      <w:tr>
        <w:trPr>
          <w:trHeight w:val="250"/>
        </w:trPr>
        <w:tc>
          <w:tcPr>
            <w:tcW w:w="486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auto"/>
              </w:rPr>
              <w:t>William E. Albrecht</w:t>
            </w:r>
          </w:p>
        </w:tc>
        <w:tc>
          <w:tcPr>
            <w:tcW w:w="458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43,238</w:t>
            </w:r>
          </w:p>
        </w:tc>
        <w:tc>
          <w:tcPr>
            <w:tcW w:w="7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0</w:t>
            </w:r>
          </w:p>
        </w:tc>
      </w:tr>
      <w:tr>
        <w:trPr>
          <w:trHeight w:val="250"/>
        </w:trPr>
        <w:tc>
          <w:tcPr>
            <w:tcW w:w="486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auto"/>
              </w:rPr>
              <w:t>M. Katherine Banks</w:t>
            </w:r>
          </w:p>
        </w:tc>
        <w:tc>
          <w:tcPr>
            <w:tcW w:w="458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13,387</w:t>
            </w:r>
          </w:p>
        </w:tc>
        <w:tc>
          <w:tcPr>
            <w:tcW w:w="7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0</w:t>
            </w:r>
          </w:p>
        </w:tc>
      </w:tr>
      <w:tr>
        <w:trPr>
          <w:trHeight w:val="250"/>
        </w:trPr>
        <w:tc>
          <w:tcPr>
            <w:tcW w:w="486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auto"/>
              </w:rPr>
              <w:t>Alan M. Bennett</w:t>
            </w:r>
          </w:p>
        </w:tc>
        <w:tc>
          <w:tcPr>
            <w:tcW w:w="458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25,236</w:t>
            </w:r>
          </w:p>
        </w:tc>
        <w:tc>
          <w:tcPr>
            <w:tcW w:w="104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61,471</w:t>
            </w:r>
          </w:p>
        </w:tc>
        <w:tc>
          <w:tcPr>
            <w:tcW w:w="7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320</w:t>
            </w:r>
          </w:p>
        </w:tc>
      </w:tr>
      <w:tr>
        <w:trPr>
          <w:trHeight w:val="250"/>
        </w:trPr>
        <w:tc>
          <w:tcPr>
            <w:tcW w:w="486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auto"/>
              </w:rPr>
              <w:t>Milton Carroll</w:t>
            </w:r>
          </w:p>
        </w:tc>
        <w:tc>
          <w:tcPr>
            <w:tcW w:w="458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20,271</w:t>
            </w:r>
          </w:p>
        </w:tc>
        <w:tc>
          <w:tcPr>
            <w:tcW w:w="104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61,471</w:t>
            </w:r>
          </w:p>
        </w:tc>
        <w:tc>
          <w:tcPr>
            <w:tcW w:w="7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6,277</w:t>
            </w:r>
          </w:p>
        </w:tc>
      </w:tr>
      <w:tr>
        <w:trPr>
          <w:trHeight w:val="250"/>
        </w:trPr>
        <w:tc>
          <w:tcPr>
            <w:tcW w:w="486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auto"/>
              </w:rPr>
              <w:t>Nance K. Dicciani</w:t>
            </w:r>
          </w:p>
        </w:tc>
        <w:tc>
          <w:tcPr>
            <w:tcW w:w="458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23,319</w:t>
            </w:r>
          </w:p>
        </w:tc>
        <w:tc>
          <w:tcPr>
            <w:tcW w:w="7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125</w:t>
            </w:r>
          </w:p>
        </w:tc>
      </w:tr>
      <w:tr>
        <w:trPr>
          <w:trHeight w:val="250"/>
        </w:trPr>
        <w:tc>
          <w:tcPr>
            <w:tcW w:w="486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auto"/>
              </w:rPr>
              <w:t>Murry S. Gerber</w:t>
            </w:r>
          </w:p>
        </w:tc>
        <w:tc>
          <w:tcPr>
            <w:tcW w:w="458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2,000</w:t>
            </w:r>
          </w:p>
        </w:tc>
        <w:tc>
          <w:tcPr>
            <w:tcW w:w="104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12,919</w:t>
            </w:r>
          </w:p>
        </w:tc>
        <w:tc>
          <w:tcPr>
            <w:tcW w:w="7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0</w:t>
            </w:r>
          </w:p>
        </w:tc>
      </w:tr>
      <w:tr>
        <w:trPr>
          <w:trHeight w:val="250"/>
        </w:trPr>
        <w:tc>
          <w:tcPr>
            <w:tcW w:w="486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auto"/>
              </w:rPr>
              <w:t>Patricia Hemingway Hall</w:t>
            </w:r>
          </w:p>
        </w:tc>
        <w:tc>
          <w:tcPr>
            <w:tcW w:w="458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25,837</w:t>
            </w:r>
          </w:p>
        </w:tc>
        <w:tc>
          <w:tcPr>
            <w:tcW w:w="7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0</w:t>
            </w:r>
          </w:p>
        </w:tc>
      </w:tr>
      <w:tr>
        <w:trPr>
          <w:trHeight w:val="250"/>
        </w:trPr>
        <w:tc>
          <w:tcPr>
            <w:tcW w:w="486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auto"/>
              </w:rPr>
              <w:t>Robert A. Malone</w:t>
            </w:r>
          </w:p>
        </w:tc>
        <w:tc>
          <w:tcPr>
            <w:tcW w:w="458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14,843</w:t>
            </w:r>
          </w:p>
        </w:tc>
        <w:tc>
          <w:tcPr>
            <w:tcW w:w="104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auto"/>
              </w:rPr>
              <w:t>12,919</w:t>
            </w:r>
          </w:p>
        </w:tc>
        <w:tc>
          <w:tcPr>
            <w:tcW w:w="7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0</w:t>
            </w:r>
          </w:p>
        </w:tc>
      </w:tr>
      <w:tr>
        <w:trPr>
          <w:trHeight w:val="250"/>
        </w:trPr>
        <w:tc>
          <w:tcPr>
            <w:tcW w:w="4860" w:type="dxa"/>
            <w:vAlign w:val="bottom"/>
            <w:tcBorders>
              <w:bottom w:val="single" w:sz="8" w:color="CB233C"/>
            </w:tcBorders>
          </w:tcPr>
          <w:p>
            <w:pPr>
              <w:ind w:left="60"/>
              <w:spacing w:after="0"/>
              <w:rPr>
                <w:sz w:val="20"/>
                <w:szCs w:val="20"/>
                <w:color w:val="auto"/>
              </w:rPr>
            </w:pPr>
            <w:r>
              <w:rPr>
                <w:rFonts w:ascii="Arial" w:cs="Arial" w:eastAsia="Arial" w:hAnsi="Arial"/>
                <w:sz w:val="16"/>
                <w:szCs w:val="16"/>
                <w:b w:val="1"/>
                <w:bCs w:val="1"/>
                <w:color w:val="auto"/>
              </w:rPr>
              <w:t>Bhavesh V. Patel</w:t>
            </w:r>
          </w:p>
        </w:tc>
        <w:tc>
          <w:tcPr>
            <w:tcW w:w="4580" w:type="dxa"/>
            <w:vAlign w:val="bottom"/>
            <w:tcBorders>
              <w:bottom w:val="single" w:sz="8" w:color="CB233C"/>
            </w:tcBorders>
          </w:tcPr>
          <w:p>
            <w:pPr>
              <w:jc w:val="right"/>
              <w:ind w:right="17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CB233C"/>
            </w:tcBorders>
          </w:tcPr>
          <w:p>
            <w:pPr>
              <w:jc w:val="right"/>
              <w:ind w:right="179"/>
              <w:spacing w:after="0"/>
              <w:rPr>
                <w:sz w:val="20"/>
                <w:szCs w:val="20"/>
                <w:color w:val="auto"/>
              </w:rPr>
            </w:pPr>
            <w:r>
              <w:rPr>
                <w:rFonts w:ascii="Arial" w:cs="Arial" w:eastAsia="Arial" w:hAnsi="Arial"/>
                <w:sz w:val="16"/>
                <w:szCs w:val="16"/>
                <w:color w:val="auto"/>
              </w:rPr>
              <w:t>15,692</w:t>
            </w:r>
          </w:p>
        </w:tc>
        <w:tc>
          <w:tcPr>
            <w:tcW w:w="76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4,480</w:t>
            </w:r>
          </w:p>
        </w:tc>
      </w:tr>
    </w:tbl>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Change in Pension Value and Nonqualified Deferred Compensation Earnings. </w:t>
      </w:r>
      <w:r>
        <w:rPr>
          <w:rFonts w:ascii="Arial" w:cs="Arial" w:eastAsia="Arial" w:hAnsi="Arial"/>
          <w:sz w:val="16"/>
          <w:szCs w:val="16"/>
          <w:color w:val="auto"/>
        </w:rPr>
        <w:t>None of the Directors had a change in pension value or nonqualified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compensation earnings that represented above market earnings in 2021.</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All Other Compensation. </w:t>
      </w:r>
      <w:r>
        <w:rPr>
          <w:rFonts w:ascii="Arial" w:cs="Arial" w:eastAsia="Arial" w:hAnsi="Arial"/>
          <w:sz w:val="16"/>
          <w:szCs w:val="16"/>
          <w:color w:val="auto"/>
        </w:rPr>
        <w:t>This column includes compensation related to the matching gift programs under the Halliburton Foundation and for HALPAC,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Accidental Death and Dismemberment program, dividends or dividend equivalents on restricted shares or RSUs, and dividend equivalents associated with the Directors’ Deferred Compensation Plan.</w:t>
      </w:r>
    </w:p>
    <w:p>
      <w:pPr>
        <w:spacing w:after="0" w:line="144" w:lineRule="exact"/>
        <w:rPr>
          <w:sz w:val="20"/>
          <w:szCs w:val="20"/>
          <w:color w:val="auto"/>
        </w:rPr>
      </w:pPr>
    </w:p>
    <w:p>
      <w:pPr>
        <w:ind w:left="7800"/>
        <w:spacing w:after="0"/>
        <w:tabs>
          <w:tab w:leader="none" w:pos="1104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886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Directors who participated in the matching gift program and the corresponding match provided by the Halliburton Foundation in 2021 are: Dr. Banks - $42,345; Mr. Bennett - $67,500; Ms. Dicciani - $112,500; Mr. Gerber - $112,500; Ms. Hemingway Hall - $112,500; Mr. Malone - $112,500; and Mr. Patel - $112,500.</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Halliburton Political Action Committee matching contributions are: Mr. Albrecht - $5,000; Mr. Bennett - $5,000; and Mr. Malone - $5,000.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Non-management Directors are provided an Accidental Death and Dismemberment benefit, the annual premium for which is $155.</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Directors who received dividends or dividend equivalents on restricted shares or RSUs held on Halliburton record dates are: Dr. Banks - $2,841; Mr. Bennett - $4,542; Mr. Carroll - $3,649; Ms. Dicciani - $1,636; Mr. Gerber - $3,661; Ms. Hemingway Hall - $1,177; and Mr. Malone - $5,972.</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Directors who received dividend equivalents attributable to their stock equivalents account under the Directors’ Deferred Compensation Plan are: Mr. Al Khayyal - $2,575; Mr. Bennett - $6,956; Mr. Carroll - $9,493; Ms. Dicciani - $2,707; and Mr. Patel - $259.</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Directors who received dividend equivalents attributable to their deferred RSUs under the Directors’ Deferred Compensation Plan are: Mr. Al Khayyal - $7,684; Mr. Albrecht - $6,337; Mr. Bennett - $9,602; Mr. Carroll - $9,602; Ms. Dicciani - $4,176; Ms. Hemingway Hall - $2,229; and Mr. Patel - $1,404.</w:t>
      </w:r>
    </w:p>
    <w:p>
      <w:pPr>
        <w:spacing w:after="0" w:line="129" w:lineRule="exact"/>
        <w:rPr>
          <w:sz w:val="20"/>
          <w:szCs w:val="20"/>
          <w:color w:val="auto"/>
        </w:r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CB233C"/>
        </w:rPr>
        <w:t xml:space="preserve">Stock Ownership </w:t>
      </w:r>
      <w:r>
        <w:rPr>
          <w:rFonts w:ascii="Arial" w:cs="Arial" w:eastAsia="Arial" w:hAnsi="Arial"/>
          <w:sz w:val="47"/>
          <w:szCs w:val="47"/>
          <w:b w:val="1"/>
          <w:bCs w:val="1"/>
          <w:color w:val="000000"/>
        </w:rPr>
        <w:t>Information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Delinquent Section 16(a) Reports</w:t>
      </w:r>
    </w:p>
    <w:p>
      <w:pPr>
        <w:spacing w:after="0" w:line="21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believes, based on our records and review of filings with the SEC, that during the fiscal year ended December 31, 2021, our Directors and executive officers complied with the filing requirements of Section 16(a) of the Securities Exchange Act of 1934.</w:t>
      </w:r>
    </w:p>
    <w:p>
      <w:pPr>
        <w:spacing w:after="0" w:line="234"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Stock Ownership of Certain Beneficial Owners and Management</w:t>
      </w:r>
    </w:p>
    <w:p>
      <w:pPr>
        <w:spacing w:after="0" w:line="21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sets forth beneficial ownership information about persons or groups that own or have the right to acquire more than 5% of our common stock, based on information contained in Schedules 13G filed with the SEC.</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00" w:type="dxa"/>
            <w:vAlign w:val="bottom"/>
          </w:tcPr>
          <w:p>
            <w:pPr>
              <w:ind w:left="60"/>
              <w:spacing w:after="0"/>
              <w:rPr>
                <w:sz w:val="20"/>
                <w:szCs w:val="20"/>
                <w:color w:val="auto"/>
              </w:rPr>
            </w:pPr>
            <w:r>
              <w:rPr>
                <w:rFonts w:ascii="Arial" w:cs="Arial" w:eastAsia="Arial" w:hAnsi="Arial"/>
                <w:sz w:val="16"/>
                <w:szCs w:val="16"/>
                <w:b w:val="1"/>
                <w:bCs w:val="1"/>
                <w:color w:val="auto"/>
              </w:rPr>
              <w:t>Name and Address</w:t>
            </w:r>
          </w:p>
        </w:tc>
        <w:tc>
          <w:tcPr>
            <w:tcW w:w="4100" w:type="dxa"/>
            <w:vAlign w:val="bottom"/>
          </w:tcPr>
          <w:p>
            <w:pPr>
              <w:jc w:val="right"/>
              <w:ind w:right="262"/>
              <w:spacing w:after="0"/>
              <w:rPr>
                <w:sz w:val="20"/>
                <w:szCs w:val="20"/>
                <w:color w:val="auto"/>
              </w:rPr>
            </w:pPr>
            <w:r>
              <w:rPr>
                <w:rFonts w:ascii="Arial" w:cs="Arial" w:eastAsia="Arial" w:hAnsi="Arial"/>
                <w:sz w:val="16"/>
                <w:szCs w:val="16"/>
                <w:b w:val="1"/>
                <w:bCs w:val="1"/>
                <w:color w:val="auto"/>
              </w:rPr>
              <w:t>Amount and Nature of</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Percent</w:t>
            </w:r>
          </w:p>
        </w:tc>
      </w:tr>
      <w:tr>
        <w:trPr>
          <w:trHeight w:val="226"/>
        </w:trPr>
        <w:tc>
          <w:tcPr>
            <w:tcW w:w="6100" w:type="dxa"/>
            <w:vAlign w:val="bottom"/>
            <w:tcBorders>
              <w:bottom w:val="single" w:sz="8" w:color="CB233C"/>
            </w:tcBorders>
          </w:tcPr>
          <w:p>
            <w:pPr>
              <w:ind w:left="60"/>
              <w:spacing w:after="0"/>
              <w:rPr>
                <w:sz w:val="20"/>
                <w:szCs w:val="20"/>
                <w:color w:val="auto"/>
              </w:rPr>
            </w:pPr>
            <w:r>
              <w:rPr>
                <w:rFonts w:ascii="Arial" w:cs="Arial" w:eastAsia="Arial" w:hAnsi="Arial"/>
                <w:sz w:val="16"/>
                <w:szCs w:val="16"/>
                <w:b w:val="1"/>
                <w:bCs w:val="1"/>
                <w:color w:val="auto"/>
              </w:rPr>
              <w:t>of Beneficial Owner</w:t>
            </w:r>
          </w:p>
        </w:tc>
        <w:tc>
          <w:tcPr>
            <w:tcW w:w="4100" w:type="dxa"/>
            <w:vAlign w:val="bottom"/>
            <w:tcBorders>
              <w:bottom w:val="single" w:sz="8" w:color="CB233C"/>
            </w:tcBorders>
          </w:tcPr>
          <w:p>
            <w:pPr>
              <w:jc w:val="right"/>
              <w:ind w:right="262"/>
              <w:spacing w:after="0"/>
              <w:rPr>
                <w:sz w:val="20"/>
                <w:szCs w:val="20"/>
                <w:color w:val="auto"/>
              </w:rPr>
            </w:pPr>
            <w:r>
              <w:rPr>
                <w:rFonts w:ascii="Arial" w:cs="Arial" w:eastAsia="Arial" w:hAnsi="Arial"/>
                <w:sz w:val="16"/>
                <w:szCs w:val="16"/>
                <w:b w:val="1"/>
                <w:bCs w:val="1"/>
                <w:color w:val="auto"/>
              </w:rPr>
              <w:t>Beneficial Ownership</w:t>
            </w:r>
          </w:p>
        </w:tc>
        <w:tc>
          <w:tcPr>
            <w:tcW w:w="104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of Class</w:t>
            </w:r>
          </w:p>
        </w:tc>
      </w:tr>
      <w:tr>
        <w:trPr>
          <w:trHeight w:val="213"/>
        </w:trPr>
        <w:tc>
          <w:tcPr>
            <w:tcW w:w="6100" w:type="dxa"/>
            <w:vAlign w:val="bottom"/>
          </w:tcPr>
          <w:p>
            <w:pPr>
              <w:ind w:left="60"/>
              <w:spacing w:after="0"/>
              <w:rPr>
                <w:sz w:val="20"/>
                <w:szCs w:val="20"/>
                <w:color w:val="auto"/>
              </w:rPr>
            </w:pPr>
            <w:r>
              <w:rPr>
                <w:rFonts w:ascii="Arial" w:cs="Arial" w:eastAsia="Arial" w:hAnsi="Arial"/>
                <w:sz w:val="16"/>
                <w:szCs w:val="16"/>
                <w:color w:val="auto"/>
              </w:rPr>
              <w:t>BlackRock, Inc.</w:t>
            </w:r>
          </w:p>
        </w:tc>
        <w:tc>
          <w:tcPr>
            <w:tcW w:w="4100" w:type="dxa"/>
            <w:vAlign w:val="bottom"/>
          </w:tcPr>
          <w:p>
            <w:pPr>
              <w:jc w:val="right"/>
              <w:ind w:right="262"/>
              <w:spacing w:after="0" w:line="213" w:lineRule="exact"/>
              <w:rPr>
                <w:sz w:val="20"/>
                <w:szCs w:val="20"/>
                <w:color w:val="auto"/>
              </w:rPr>
            </w:pPr>
            <w:r>
              <w:rPr>
                <w:rFonts w:ascii="Arial" w:cs="Arial" w:eastAsia="Arial" w:hAnsi="Arial"/>
                <w:sz w:val="15"/>
                <w:szCs w:val="15"/>
                <w:color w:val="auto"/>
              </w:rPr>
              <w:t>67,462,484</w:t>
            </w:r>
            <w:r>
              <w:rPr>
                <w:rFonts w:ascii="Arial" w:cs="Arial" w:eastAsia="Arial" w:hAnsi="Arial"/>
                <w:sz w:val="24"/>
                <w:szCs w:val="24"/>
                <w:color w:val="auto"/>
                <w:vertAlign w:val="superscript"/>
              </w:rPr>
              <w:t>(1)</w:t>
            </w:r>
          </w:p>
        </w:tc>
        <w:tc>
          <w:tcPr>
            <w:tcW w:w="10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57"/>
        </w:trPr>
        <w:tc>
          <w:tcPr>
            <w:tcW w:w="6100" w:type="dxa"/>
            <w:vAlign w:val="bottom"/>
            <w:tcBorders>
              <w:bottom w:val="single" w:sz="8" w:color="A7A9AC"/>
            </w:tcBorders>
          </w:tcPr>
          <w:p>
            <w:pPr>
              <w:ind w:left="60"/>
              <w:spacing w:after="0" w:line="256" w:lineRule="exact"/>
              <w:rPr>
                <w:sz w:val="20"/>
                <w:szCs w:val="20"/>
                <w:color w:val="auto"/>
              </w:rPr>
            </w:pPr>
            <w:r>
              <w:rPr>
                <w:rFonts w:ascii="Arial" w:cs="Arial" w:eastAsia="Arial" w:hAnsi="Arial"/>
                <w:sz w:val="16"/>
                <w:szCs w:val="16"/>
                <w:color w:val="auto"/>
              </w:rPr>
              <w:t>55 East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New York, NY 10055</w:t>
            </w:r>
          </w:p>
        </w:tc>
        <w:tc>
          <w:tcPr>
            <w:tcW w:w="4100" w:type="dxa"/>
            <w:vAlign w:val="bottom"/>
            <w:tcBorders>
              <w:bottom w:val="single" w:sz="8" w:color="A7A9AC"/>
            </w:tcBorders>
          </w:tcPr>
          <w:p>
            <w:pPr>
              <w:spacing w:after="0"/>
              <w:rPr>
                <w:sz w:val="22"/>
                <w:szCs w:val="22"/>
                <w:color w:val="auto"/>
              </w:rPr>
            </w:pPr>
          </w:p>
        </w:tc>
        <w:tc>
          <w:tcPr>
            <w:tcW w:w="1040" w:type="dxa"/>
            <w:vAlign w:val="bottom"/>
            <w:tcBorders>
              <w:bottom w:val="single" w:sz="8" w:color="A7A9AC"/>
            </w:tcBorders>
          </w:tcPr>
          <w:p>
            <w:pPr>
              <w:spacing w:after="0"/>
              <w:rPr>
                <w:sz w:val="22"/>
                <w:szCs w:val="22"/>
                <w:color w:val="auto"/>
              </w:rPr>
            </w:pPr>
          </w:p>
        </w:tc>
      </w:tr>
      <w:tr>
        <w:trPr>
          <w:trHeight w:val="210"/>
        </w:trPr>
        <w:tc>
          <w:tcPr>
            <w:tcW w:w="6100" w:type="dxa"/>
            <w:vAlign w:val="bottom"/>
          </w:tcPr>
          <w:p>
            <w:pPr>
              <w:ind w:left="60"/>
              <w:spacing w:after="0"/>
              <w:rPr>
                <w:sz w:val="20"/>
                <w:szCs w:val="20"/>
                <w:color w:val="auto"/>
              </w:rPr>
            </w:pPr>
            <w:r>
              <w:rPr>
                <w:rFonts w:ascii="Arial" w:cs="Arial" w:eastAsia="Arial" w:hAnsi="Arial"/>
                <w:sz w:val="16"/>
                <w:szCs w:val="16"/>
                <w:color w:val="auto"/>
              </w:rPr>
              <w:t>Capital World Investors</w:t>
            </w:r>
          </w:p>
        </w:tc>
        <w:tc>
          <w:tcPr>
            <w:tcW w:w="4100" w:type="dxa"/>
            <w:vAlign w:val="bottom"/>
          </w:tcPr>
          <w:p>
            <w:pPr>
              <w:jc w:val="right"/>
              <w:ind w:right="262"/>
              <w:spacing w:after="0" w:line="210" w:lineRule="exact"/>
              <w:rPr>
                <w:sz w:val="20"/>
                <w:szCs w:val="20"/>
                <w:color w:val="auto"/>
              </w:rPr>
            </w:pPr>
            <w:r>
              <w:rPr>
                <w:rFonts w:ascii="Arial" w:cs="Arial" w:eastAsia="Arial" w:hAnsi="Arial"/>
                <w:sz w:val="15"/>
                <w:szCs w:val="15"/>
                <w:color w:val="auto"/>
              </w:rPr>
              <w:t>60,696,925</w:t>
            </w:r>
            <w:r>
              <w:rPr>
                <w:rFonts w:ascii="Arial" w:cs="Arial" w:eastAsia="Arial" w:hAnsi="Arial"/>
                <w:sz w:val="24"/>
                <w:szCs w:val="24"/>
                <w:color w:val="auto"/>
                <w:vertAlign w:val="superscript"/>
              </w:rPr>
              <w:t>(2)</w:t>
            </w:r>
          </w:p>
        </w:tc>
        <w:tc>
          <w:tcPr>
            <w:tcW w:w="104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56"/>
        </w:trPr>
        <w:tc>
          <w:tcPr>
            <w:tcW w:w="6100" w:type="dxa"/>
            <w:vAlign w:val="bottom"/>
            <w:tcBorders>
              <w:bottom w:val="single" w:sz="8" w:color="A7A9AC"/>
            </w:tcBorders>
          </w:tcPr>
          <w:p>
            <w:pPr>
              <w:ind w:left="60"/>
              <w:spacing w:after="0" w:line="256" w:lineRule="exact"/>
              <w:rPr>
                <w:sz w:val="20"/>
                <w:szCs w:val="20"/>
                <w:color w:val="auto"/>
              </w:rPr>
            </w:pPr>
            <w:r>
              <w:rPr>
                <w:rFonts w:ascii="Arial" w:cs="Arial" w:eastAsia="Arial" w:hAnsi="Arial"/>
                <w:sz w:val="16"/>
                <w:szCs w:val="16"/>
                <w:color w:val="auto"/>
              </w:rPr>
              <w:t>333 South Hope Street, 55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 Los Angeles, CA 90071</w:t>
            </w:r>
          </w:p>
        </w:tc>
        <w:tc>
          <w:tcPr>
            <w:tcW w:w="4100" w:type="dxa"/>
            <w:vAlign w:val="bottom"/>
            <w:tcBorders>
              <w:bottom w:val="single" w:sz="8" w:color="A7A9AC"/>
            </w:tcBorders>
          </w:tcPr>
          <w:p>
            <w:pPr>
              <w:spacing w:after="0"/>
              <w:rPr>
                <w:sz w:val="22"/>
                <w:szCs w:val="22"/>
                <w:color w:val="auto"/>
              </w:rPr>
            </w:pPr>
          </w:p>
        </w:tc>
        <w:tc>
          <w:tcPr>
            <w:tcW w:w="1040" w:type="dxa"/>
            <w:vAlign w:val="bottom"/>
            <w:tcBorders>
              <w:bottom w:val="single" w:sz="8" w:color="A7A9AC"/>
            </w:tcBorders>
          </w:tcPr>
          <w:p>
            <w:pPr>
              <w:spacing w:after="0"/>
              <w:rPr>
                <w:sz w:val="22"/>
                <w:szCs w:val="22"/>
                <w:color w:val="auto"/>
              </w:rPr>
            </w:pPr>
          </w:p>
        </w:tc>
      </w:tr>
      <w:tr>
        <w:trPr>
          <w:trHeight w:val="210"/>
        </w:trPr>
        <w:tc>
          <w:tcPr>
            <w:tcW w:w="6100" w:type="dxa"/>
            <w:vAlign w:val="bottom"/>
          </w:tcPr>
          <w:p>
            <w:pPr>
              <w:ind w:left="60"/>
              <w:spacing w:after="0"/>
              <w:rPr>
                <w:sz w:val="20"/>
                <w:szCs w:val="20"/>
                <w:color w:val="auto"/>
              </w:rPr>
            </w:pPr>
            <w:r>
              <w:rPr>
                <w:rFonts w:ascii="Arial" w:cs="Arial" w:eastAsia="Arial" w:hAnsi="Arial"/>
                <w:sz w:val="16"/>
                <w:szCs w:val="16"/>
                <w:color w:val="auto"/>
              </w:rPr>
              <w:t>State Street Corporation</w:t>
            </w:r>
          </w:p>
        </w:tc>
        <w:tc>
          <w:tcPr>
            <w:tcW w:w="4100" w:type="dxa"/>
            <w:vAlign w:val="bottom"/>
          </w:tcPr>
          <w:p>
            <w:pPr>
              <w:jc w:val="right"/>
              <w:ind w:right="262"/>
              <w:spacing w:after="0" w:line="210" w:lineRule="exact"/>
              <w:rPr>
                <w:sz w:val="20"/>
                <w:szCs w:val="20"/>
                <w:color w:val="auto"/>
              </w:rPr>
            </w:pPr>
            <w:r>
              <w:rPr>
                <w:rFonts w:ascii="Arial" w:cs="Arial" w:eastAsia="Arial" w:hAnsi="Arial"/>
                <w:sz w:val="15"/>
                <w:szCs w:val="15"/>
                <w:color w:val="auto"/>
              </w:rPr>
              <w:t>57,670,159</w:t>
            </w:r>
            <w:r>
              <w:rPr>
                <w:rFonts w:ascii="Arial" w:cs="Arial" w:eastAsia="Arial" w:hAnsi="Arial"/>
                <w:sz w:val="24"/>
                <w:szCs w:val="24"/>
                <w:color w:val="auto"/>
                <w:vertAlign w:val="superscript"/>
              </w:rPr>
              <w:t>(3)</w:t>
            </w:r>
          </w:p>
        </w:tc>
        <w:tc>
          <w:tcPr>
            <w:tcW w:w="10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5"/>
        </w:trPr>
        <w:tc>
          <w:tcPr>
            <w:tcW w:w="610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auto"/>
              </w:rPr>
              <w:t>1 Lincoln Street, Boston, MA 02111</w:t>
            </w:r>
          </w:p>
        </w:tc>
        <w:tc>
          <w:tcPr>
            <w:tcW w:w="4100" w:type="dxa"/>
            <w:vAlign w:val="bottom"/>
            <w:tcBorders>
              <w:bottom w:val="single" w:sz="8" w:color="A7A9AC"/>
            </w:tcBorders>
          </w:tcPr>
          <w:p>
            <w:pPr>
              <w:spacing w:after="0"/>
              <w:rPr>
                <w:sz w:val="18"/>
                <w:szCs w:val="18"/>
                <w:color w:val="auto"/>
              </w:rPr>
            </w:pPr>
          </w:p>
        </w:tc>
        <w:tc>
          <w:tcPr>
            <w:tcW w:w="1040" w:type="dxa"/>
            <w:vAlign w:val="bottom"/>
            <w:tcBorders>
              <w:bottom w:val="single" w:sz="8" w:color="A7A9AC"/>
            </w:tcBorders>
          </w:tcPr>
          <w:p>
            <w:pPr>
              <w:spacing w:after="0"/>
              <w:rPr>
                <w:sz w:val="18"/>
                <w:szCs w:val="18"/>
                <w:color w:val="auto"/>
              </w:rPr>
            </w:pPr>
          </w:p>
        </w:tc>
      </w:tr>
      <w:tr>
        <w:trPr>
          <w:trHeight w:val="210"/>
        </w:trPr>
        <w:tc>
          <w:tcPr>
            <w:tcW w:w="6100" w:type="dxa"/>
            <w:vAlign w:val="bottom"/>
          </w:tcPr>
          <w:p>
            <w:pPr>
              <w:ind w:left="60"/>
              <w:spacing w:after="0"/>
              <w:rPr>
                <w:sz w:val="20"/>
                <w:szCs w:val="20"/>
                <w:color w:val="auto"/>
              </w:rPr>
            </w:pPr>
            <w:r>
              <w:rPr>
                <w:rFonts w:ascii="Arial" w:cs="Arial" w:eastAsia="Arial" w:hAnsi="Arial"/>
                <w:sz w:val="16"/>
                <w:szCs w:val="16"/>
                <w:color w:val="auto"/>
              </w:rPr>
              <w:t>The Vanguard Group</w:t>
            </w:r>
          </w:p>
        </w:tc>
        <w:tc>
          <w:tcPr>
            <w:tcW w:w="4100" w:type="dxa"/>
            <w:vAlign w:val="bottom"/>
          </w:tcPr>
          <w:p>
            <w:pPr>
              <w:jc w:val="right"/>
              <w:ind w:right="262"/>
              <w:spacing w:after="0" w:line="210" w:lineRule="exact"/>
              <w:rPr>
                <w:sz w:val="20"/>
                <w:szCs w:val="20"/>
                <w:color w:val="auto"/>
              </w:rPr>
            </w:pPr>
            <w:r>
              <w:rPr>
                <w:rFonts w:ascii="Arial" w:cs="Arial" w:eastAsia="Arial" w:hAnsi="Arial"/>
                <w:sz w:val="15"/>
                <w:szCs w:val="15"/>
                <w:color w:val="auto"/>
              </w:rPr>
              <w:t>100,669,815</w:t>
            </w:r>
            <w:r>
              <w:rPr>
                <w:rFonts w:ascii="Arial" w:cs="Arial" w:eastAsia="Arial" w:hAnsi="Arial"/>
                <w:sz w:val="24"/>
                <w:szCs w:val="24"/>
                <w:color w:val="auto"/>
                <w:vertAlign w:val="superscript"/>
              </w:rPr>
              <w:t>(4)</w:t>
            </w:r>
          </w:p>
        </w:tc>
        <w:tc>
          <w:tcPr>
            <w:tcW w:w="104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15"/>
        </w:trPr>
        <w:tc>
          <w:tcPr>
            <w:tcW w:w="6100" w:type="dxa"/>
            <w:vAlign w:val="bottom"/>
            <w:tcBorders>
              <w:bottom w:val="single" w:sz="8" w:color="CB233C"/>
            </w:tcBorders>
          </w:tcPr>
          <w:p>
            <w:pPr>
              <w:ind w:left="60"/>
              <w:spacing w:after="0"/>
              <w:rPr>
                <w:sz w:val="20"/>
                <w:szCs w:val="20"/>
                <w:color w:val="auto"/>
              </w:rPr>
            </w:pPr>
            <w:r>
              <w:rPr>
                <w:rFonts w:ascii="Arial" w:cs="Arial" w:eastAsia="Arial" w:hAnsi="Arial"/>
                <w:sz w:val="16"/>
                <w:szCs w:val="16"/>
                <w:color w:val="auto"/>
              </w:rPr>
              <w:t>100 Vanguard Blvd, Malvern, PA 19355</w:t>
            </w:r>
          </w:p>
        </w:tc>
        <w:tc>
          <w:tcPr>
            <w:tcW w:w="4100" w:type="dxa"/>
            <w:vAlign w:val="bottom"/>
            <w:tcBorders>
              <w:bottom w:val="single" w:sz="8" w:color="CB233C"/>
            </w:tcBorders>
          </w:tcPr>
          <w:p>
            <w:pPr>
              <w:spacing w:after="0"/>
              <w:rPr>
                <w:sz w:val="18"/>
                <w:szCs w:val="18"/>
                <w:color w:val="auto"/>
              </w:rPr>
            </w:pPr>
          </w:p>
        </w:tc>
        <w:tc>
          <w:tcPr>
            <w:tcW w:w="1040" w:type="dxa"/>
            <w:vAlign w:val="bottom"/>
            <w:tcBorders>
              <w:bottom w:val="single" w:sz="8" w:color="CB233C"/>
            </w:tcBorders>
          </w:tcPr>
          <w:p>
            <w:pPr>
              <w:spacing w:after="0"/>
              <w:rPr>
                <w:sz w:val="18"/>
                <w:szCs w:val="18"/>
                <w:color w:val="auto"/>
              </w:rPr>
            </w:pPr>
          </w:p>
        </w:tc>
      </w:tr>
    </w:tbl>
    <w:p>
      <w:pPr>
        <w:spacing w:after="0" w:line="47" w:lineRule="exact"/>
        <w:rPr>
          <w:sz w:val="20"/>
          <w:szCs w:val="20"/>
          <w:color w:val="auto"/>
        </w:rPr>
      </w:pPr>
    </w:p>
    <w:p>
      <w:pPr>
        <w:ind w:left="340" w:hanging="332"/>
        <w:spacing w:after="0" w:line="282" w:lineRule="auto"/>
        <w:tabs>
          <w:tab w:leader="none" w:pos="34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BlackRock, Inc. is deemed to be the beneficial owner of 67,462,484 shares. BlackRock has sole power to vote or to direct the vote of 58,035,658 shares and has sole power to dispose or to direct the disposition of 67,462,484 shares.</w:t>
      </w:r>
    </w:p>
    <w:p>
      <w:pPr>
        <w:spacing w:after="0" w:line="13" w:lineRule="exact"/>
        <w:rPr>
          <w:rFonts w:ascii="Arial" w:cs="Arial" w:eastAsia="Arial" w:hAnsi="Arial"/>
          <w:sz w:val="14"/>
          <w:szCs w:val="14"/>
          <w:i w:val="1"/>
          <w:iCs w:val="1"/>
          <w:color w:val="auto"/>
        </w:rPr>
      </w:pPr>
    </w:p>
    <w:p>
      <w:pPr>
        <w:ind w:left="340" w:hanging="332"/>
        <w:spacing w:after="0" w:line="282" w:lineRule="auto"/>
        <w:tabs>
          <w:tab w:leader="none" w:pos="34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Capital World Investors is deemed to be the beneficial owner of 60,696,925 shares. Capital World Investors has sole power to vote or to direct the vote of 60,696,925 shares and has sole power to dispose or to direct the disposition of 60,696,925 shares.</w:t>
      </w:r>
    </w:p>
    <w:p>
      <w:pPr>
        <w:spacing w:after="0" w:line="13" w:lineRule="exact"/>
        <w:rPr>
          <w:rFonts w:ascii="Arial" w:cs="Arial" w:eastAsia="Arial" w:hAnsi="Arial"/>
          <w:sz w:val="14"/>
          <w:szCs w:val="14"/>
          <w:i w:val="1"/>
          <w:iCs w:val="1"/>
          <w:color w:val="auto"/>
        </w:rPr>
      </w:pPr>
    </w:p>
    <w:p>
      <w:pPr>
        <w:ind w:left="340" w:hanging="332"/>
        <w:spacing w:after="0" w:line="282" w:lineRule="auto"/>
        <w:tabs>
          <w:tab w:leader="none" w:pos="34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State Street Corporation is deemed to be the beneficial owner of 57,670,159 shares. State Street Corporation has shared power to vote or to direct the vote of 52,257,277 shares and has shared power to dispose or to direct the disposition of 57,475,992 shares.</w:t>
      </w:r>
    </w:p>
    <w:p>
      <w:pPr>
        <w:spacing w:after="0" w:line="13" w:lineRule="exact"/>
        <w:rPr>
          <w:rFonts w:ascii="Arial" w:cs="Arial" w:eastAsia="Arial" w:hAnsi="Arial"/>
          <w:sz w:val="14"/>
          <w:szCs w:val="14"/>
          <w:i w:val="1"/>
          <w:iCs w:val="1"/>
          <w:color w:val="auto"/>
        </w:rPr>
      </w:pPr>
    </w:p>
    <w:p>
      <w:pPr>
        <w:jc w:val="both"/>
        <w:ind w:left="340" w:hanging="332"/>
        <w:spacing w:after="0" w:line="261" w:lineRule="auto"/>
        <w:tabs>
          <w:tab w:leader="none" w:pos="34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The Vanguard Group is deemed to be the beneficial owner of 100,669,815 shares. The Vanguard Group has sole power to dispose or to direct the disposition of 97,163,522 shares. The Vanguard Group has shared power to vote or to direct the vote of 1,379,149 shares and has shared power to dispose or to direct the disposition of 3,506,293 shares.</w:t>
      </w:r>
    </w:p>
    <w:p>
      <w:pPr>
        <w:spacing w:after="0" w:line="14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886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sets forth information, as of March 16, 2022, regarding the beneficial ownership of our common stock by each Director, each Named Executive Officer, and by all Directors and executive officers as a group.</w:t>
      </w:r>
    </w:p>
    <w:p>
      <w:pPr>
        <w:spacing w:after="0" w:line="156"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Amount and Nature of Beneficial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29210</wp:posOffset>
            </wp:positionV>
            <wp:extent cx="32061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Name of Beneficial Owner or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Number of Persons in Group</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w w:val="97"/>
              </w:rPr>
              <w:t>Sole Voting</w:t>
            </w:r>
          </w:p>
        </w:tc>
        <w:tc>
          <w:tcPr>
            <w:tcW w:w="1700" w:type="dxa"/>
            <w:vAlign w:val="bottom"/>
          </w:tcPr>
          <w:p>
            <w:pPr>
              <w:jc w:val="right"/>
              <w:ind w:right="379"/>
              <w:spacing w:after="0"/>
              <w:rPr>
                <w:sz w:val="20"/>
                <w:szCs w:val="20"/>
                <w:color w:val="auto"/>
              </w:rPr>
            </w:pPr>
            <w:r>
              <w:rPr>
                <w:rFonts w:ascii="Arial" w:cs="Arial" w:eastAsia="Arial" w:hAnsi="Arial"/>
                <w:sz w:val="16"/>
                <w:szCs w:val="16"/>
                <w:b w:val="1"/>
                <w:bCs w:val="1"/>
                <w:color w:val="auto"/>
              </w:rPr>
              <w:t>Shared</w:t>
            </w:r>
          </w:p>
        </w:tc>
        <w:tc>
          <w:tcPr>
            <w:tcW w:w="1260" w:type="dxa"/>
            <w:vAlign w:val="bottom"/>
          </w:tcPr>
          <w:p>
            <w:pPr>
              <w:spacing w:after="0"/>
              <w:rPr>
                <w:sz w:val="17"/>
                <w:szCs w:val="17"/>
                <w:color w:val="auto"/>
              </w:rPr>
            </w:pPr>
          </w:p>
        </w:tc>
      </w:tr>
      <w:tr>
        <w:trPr>
          <w:trHeight w:val="189"/>
        </w:trPr>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and</w:t>
            </w:r>
          </w:p>
        </w:tc>
        <w:tc>
          <w:tcPr>
            <w:tcW w:w="1700" w:type="dxa"/>
            <w:vAlign w:val="bottom"/>
          </w:tcPr>
          <w:p>
            <w:pPr>
              <w:jc w:val="right"/>
              <w:ind w:right="379"/>
              <w:spacing w:after="0"/>
              <w:rPr>
                <w:sz w:val="20"/>
                <w:szCs w:val="20"/>
                <w:color w:val="auto"/>
              </w:rPr>
            </w:pPr>
            <w:r>
              <w:rPr>
                <w:rFonts w:ascii="Arial" w:cs="Arial" w:eastAsia="Arial" w:hAnsi="Arial"/>
                <w:sz w:val="16"/>
                <w:szCs w:val="16"/>
                <w:b w:val="1"/>
                <w:bCs w:val="1"/>
                <w:color w:val="auto"/>
              </w:rPr>
              <w:t>Voting or</w:t>
            </w:r>
          </w:p>
        </w:tc>
        <w:tc>
          <w:tcPr>
            <w:tcW w:w="1260" w:type="dxa"/>
            <w:vAlign w:val="bottom"/>
          </w:tcPr>
          <w:p>
            <w:pPr>
              <w:spacing w:after="0"/>
              <w:rPr>
                <w:sz w:val="16"/>
                <w:szCs w:val="16"/>
                <w:color w:val="auto"/>
              </w:rPr>
            </w:pPr>
          </w:p>
        </w:tc>
      </w:tr>
      <w:tr>
        <w:trPr>
          <w:trHeight w:val="189"/>
        </w:trPr>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Investment</w:t>
            </w:r>
          </w:p>
        </w:tc>
        <w:tc>
          <w:tcPr>
            <w:tcW w:w="1700" w:type="dxa"/>
            <w:vAlign w:val="bottom"/>
          </w:tcPr>
          <w:p>
            <w:pPr>
              <w:jc w:val="right"/>
              <w:ind w:right="379"/>
              <w:spacing w:after="0"/>
              <w:rPr>
                <w:sz w:val="20"/>
                <w:szCs w:val="20"/>
                <w:color w:val="auto"/>
              </w:rPr>
            </w:pPr>
            <w:r>
              <w:rPr>
                <w:rFonts w:ascii="Arial" w:cs="Arial" w:eastAsia="Arial" w:hAnsi="Arial"/>
                <w:sz w:val="16"/>
                <w:szCs w:val="16"/>
                <w:b w:val="1"/>
                <w:bCs w:val="1"/>
                <w:color w:val="auto"/>
              </w:rPr>
              <w:t>Investment</w:t>
            </w:r>
          </w:p>
        </w:tc>
        <w:tc>
          <w:tcPr>
            <w:tcW w:w="1260" w:type="dxa"/>
            <w:vAlign w:val="bottom"/>
          </w:tcPr>
          <w:p>
            <w:pPr>
              <w:ind w:left="420"/>
              <w:spacing w:after="0"/>
              <w:rPr>
                <w:sz w:val="20"/>
                <w:szCs w:val="20"/>
                <w:color w:val="auto"/>
              </w:rPr>
            </w:pPr>
            <w:r>
              <w:rPr>
                <w:rFonts w:ascii="Arial" w:cs="Arial" w:eastAsia="Arial" w:hAnsi="Arial"/>
                <w:sz w:val="16"/>
                <w:szCs w:val="16"/>
                <w:b w:val="1"/>
                <w:bCs w:val="1"/>
                <w:color w:val="auto"/>
              </w:rPr>
              <w:t>Percent of</w:t>
            </w:r>
          </w:p>
        </w:tc>
      </w:tr>
      <w:tr>
        <w:trPr>
          <w:trHeight w:val="261"/>
        </w:trPr>
        <w:tc>
          <w:tcPr>
            <w:tcW w:w="1320" w:type="dxa"/>
            <w:vAlign w:val="bottom"/>
          </w:tcPr>
          <w:p>
            <w:pPr>
              <w:jc w:val="right"/>
              <w:ind w:right="319"/>
              <w:spacing w:after="0" w:line="261" w:lineRule="exact"/>
              <w:rPr>
                <w:sz w:val="20"/>
                <w:szCs w:val="20"/>
                <w:color w:val="auto"/>
              </w:rPr>
            </w:pPr>
            <w:r>
              <w:rPr>
                <w:rFonts w:ascii="Arial" w:cs="Arial" w:eastAsia="Arial" w:hAnsi="Arial"/>
                <w:sz w:val="16"/>
                <w:szCs w:val="16"/>
                <w:b w:val="1"/>
                <w:bCs w:val="1"/>
                <w:color w:val="auto"/>
              </w:rPr>
              <w:t>Power</w:t>
            </w:r>
            <w:r>
              <w:rPr>
                <w:rFonts w:ascii="Arial" w:cs="Arial" w:eastAsia="Arial" w:hAnsi="Arial"/>
                <w:sz w:val="26"/>
                <w:szCs w:val="26"/>
                <w:b w:val="1"/>
                <w:bCs w:val="1"/>
                <w:color w:val="auto"/>
                <w:vertAlign w:val="superscript"/>
              </w:rPr>
              <w:t>(1)</w:t>
            </w:r>
          </w:p>
        </w:tc>
        <w:tc>
          <w:tcPr>
            <w:tcW w:w="1700" w:type="dxa"/>
            <w:vAlign w:val="bottom"/>
          </w:tcPr>
          <w:p>
            <w:pPr>
              <w:jc w:val="right"/>
              <w:ind w:right="339"/>
              <w:spacing w:after="0"/>
              <w:rPr>
                <w:sz w:val="20"/>
                <w:szCs w:val="20"/>
                <w:color w:val="auto"/>
              </w:rPr>
            </w:pPr>
            <w:r>
              <w:rPr>
                <w:rFonts w:ascii="Arial" w:cs="Arial" w:eastAsia="Arial" w:hAnsi="Arial"/>
                <w:sz w:val="16"/>
                <w:szCs w:val="16"/>
                <w:b w:val="1"/>
                <w:bCs w:val="1"/>
                <w:color w:val="auto"/>
              </w:rPr>
              <w:t>Power</w:t>
            </w:r>
          </w:p>
        </w:tc>
        <w:tc>
          <w:tcPr>
            <w:tcW w:w="1260" w:type="dxa"/>
            <w:vAlign w:val="bottom"/>
          </w:tcPr>
          <w:p>
            <w:pPr>
              <w:ind w:left="820"/>
              <w:spacing w:after="0"/>
              <w:rPr>
                <w:sz w:val="20"/>
                <w:szCs w:val="20"/>
                <w:color w:val="auto"/>
              </w:rPr>
            </w:pPr>
            <w:r>
              <w:rPr>
                <w:rFonts w:ascii="Arial" w:cs="Arial" w:eastAsia="Arial" w:hAnsi="Arial"/>
                <w:sz w:val="16"/>
                <w:szCs w:val="16"/>
                <w:b w:val="1"/>
                <w:bCs w:val="1"/>
                <w:color w:val="auto"/>
                <w:w w:val="98"/>
              </w:rPr>
              <w:t>Class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-4413885</wp:posOffset>
            </wp:positionH>
            <wp:positionV relativeFrom="paragraph">
              <wp:posOffset>-2540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6240" w:space="720"/>
            <w:col w:w="4280"/>
          </w:cols>
          <w:pgMar w:left="320" w:top="238"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664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auto"/>
              </w:rPr>
              <w:t>Abdulaziz F. Al Khayyal</w:t>
            </w:r>
          </w:p>
        </w:tc>
        <w:tc>
          <w:tcPr>
            <w:tcW w:w="2880" w:type="dxa"/>
            <w:vAlign w:val="bottom"/>
            <w:tcBorders>
              <w:bottom w:val="single" w:sz="8" w:color="A7A9AC"/>
            </w:tcBorders>
          </w:tcPr>
          <w:p>
            <w:pPr>
              <w:jc w:val="right"/>
              <w:ind w:right="1559"/>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664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auto"/>
              </w:rPr>
              <w:t>William E. Albrecht</w:t>
            </w:r>
          </w:p>
        </w:tc>
        <w:tc>
          <w:tcPr>
            <w:tcW w:w="2880" w:type="dxa"/>
            <w:vAlign w:val="bottom"/>
            <w:tcBorders>
              <w:bottom w:val="single" w:sz="8" w:color="A7A9AC"/>
            </w:tcBorders>
          </w:tcPr>
          <w:p>
            <w:pPr>
              <w:jc w:val="right"/>
              <w:ind w:right="1559"/>
              <w:spacing w:after="0"/>
              <w:rPr>
                <w:sz w:val="20"/>
                <w:szCs w:val="20"/>
                <w:color w:val="auto"/>
              </w:rPr>
            </w:pPr>
            <w:r>
              <w:rPr>
                <w:rFonts w:ascii="Arial" w:cs="Arial" w:eastAsia="Arial" w:hAnsi="Arial"/>
                <w:sz w:val="16"/>
                <w:szCs w:val="16"/>
                <w:color w:val="auto"/>
              </w:rPr>
              <w:t>16,000</w:t>
            </w:r>
          </w:p>
        </w:tc>
        <w:tc>
          <w:tcPr>
            <w:tcW w:w="17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664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auto"/>
              </w:rPr>
              <w:t>M. Katherine Banks</w:t>
            </w:r>
          </w:p>
        </w:tc>
        <w:tc>
          <w:tcPr>
            <w:tcW w:w="2880" w:type="dxa"/>
            <w:vAlign w:val="bottom"/>
            <w:tcBorders>
              <w:bottom w:val="single" w:sz="8" w:color="A7A9AC"/>
            </w:tcBorders>
          </w:tcPr>
          <w:p>
            <w:pPr>
              <w:jc w:val="right"/>
              <w:ind w:right="1559"/>
              <w:spacing w:after="0"/>
              <w:rPr>
                <w:sz w:val="20"/>
                <w:szCs w:val="20"/>
                <w:color w:val="auto"/>
              </w:rPr>
            </w:pPr>
            <w:r>
              <w:rPr>
                <w:rFonts w:ascii="Arial" w:cs="Arial" w:eastAsia="Arial" w:hAnsi="Arial"/>
                <w:sz w:val="16"/>
                <w:szCs w:val="16"/>
                <w:color w:val="auto"/>
              </w:rPr>
              <w:t>18,618</w:t>
            </w:r>
          </w:p>
        </w:tc>
        <w:tc>
          <w:tcPr>
            <w:tcW w:w="17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664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auto"/>
              </w:rPr>
              <w:t>Alan M. Bennett</w:t>
            </w:r>
          </w:p>
        </w:tc>
        <w:tc>
          <w:tcPr>
            <w:tcW w:w="2880" w:type="dxa"/>
            <w:vAlign w:val="bottom"/>
            <w:tcBorders>
              <w:bottom w:val="single" w:sz="8" w:color="A7A9AC"/>
            </w:tcBorders>
          </w:tcPr>
          <w:p>
            <w:pPr>
              <w:jc w:val="right"/>
              <w:ind w:right="1559"/>
              <w:spacing w:after="0"/>
              <w:rPr>
                <w:sz w:val="20"/>
                <w:szCs w:val="20"/>
                <w:color w:val="auto"/>
              </w:rPr>
            </w:pPr>
            <w:r>
              <w:rPr>
                <w:rFonts w:ascii="Arial" w:cs="Arial" w:eastAsia="Arial" w:hAnsi="Arial"/>
                <w:sz w:val="16"/>
                <w:szCs w:val="16"/>
                <w:color w:val="auto"/>
              </w:rPr>
              <w:t>27,236</w:t>
            </w:r>
          </w:p>
        </w:tc>
        <w:tc>
          <w:tcPr>
            <w:tcW w:w="17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664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auto"/>
              </w:rPr>
              <w:t>Eric J. Carre</w:t>
            </w:r>
          </w:p>
        </w:tc>
        <w:tc>
          <w:tcPr>
            <w:tcW w:w="2880" w:type="dxa"/>
            <w:vAlign w:val="bottom"/>
            <w:tcBorders>
              <w:bottom w:val="single" w:sz="8" w:color="A7A9AC"/>
            </w:tcBorders>
          </w:tcPr>
          <w:p>
            <w:pPr>
              <w:jc w:val="right"/>
              <w:ind w:right="1559"/>
              <w:spacing w:after="0"/>
              <w:rPr>
                <w:sz w:val="20"/>
                <w:szCs w:val="20"/>
                <w:color w:val="auto"/>
              </w:rPr>
            </w:pPr>
            <w:r>
              <w:rPr>
                <w:rFonts w:ascii="Arial" w:cs="Arial" w:eastAsia="Arial" w:hAnsi="Arial"/>
                <w:sz w:val="16"/>
                <w:szCs w:val="16"/>
                <w:color w:val="auto"/>
              </w:rPr>
              <w:t>292,199</w:t>
            </w:r>
          </w:p>
        </w:tc>
        <w:tc>
          <w:tcPr>
            <w:tcW w:w="17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664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auto"/>
              </w:rPr>
              <w:t>Milton Carroll</w:t>
            </w:r>
          </w:p>
        </w:tc>
        <w:tc>
          <w:tcPr>
            <w:tcW w:w="2880" w:type="dxa"/>
            <w:vAlign w:val="bottom"/>
            <w:tcBorders>
              <w:bottom w:val="single" w:sz="8" w:color="A7A9AC"/>
            </w:tcBorders>
          </w:tcPr>
          <w:p>
            <w:pPr>
              <w:jc w:val="right"/>
              <w:ind w:right="1559"/>
              <w:spacing w:after="0"/>
              <w:rPr>
                <w:sz w:val="20"/>
                <w:szCs w:val="20"/>
                <w:color w:val="auto"/>
              </w:rPr>
            </w:pPr>
            <w:r>
              <w:rPr>
                <w:rFonts w:ascii="Arial" w:cs="Arial" w:eastAsia="Arial" w:hAnsi="Arial"/>
                <w:sz w:val="16"/>
                <w:szCs w:val="16"/>
                <w:color w:val="auto"/>
              </w:rPr>
              <w:t>20,271</w:t>
            </w:r>
          </w:p>
        </w:tc>
        <w:tc>
          <w:tcPr>
            <w:tcW w:w="17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664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auto"/>
              </w:rPr>
              <w:t>Earl M. Cummings</w:t>
            </w:r>
          </w:p>
        </w:tc>
        <w:tc>
          <w:tcPr>
            <w:tcW w:w="2880" w:type="dxa"/>
            <w:vAlign w:val="bottom"/>
            <w:tcBorders>
              <w:bottom w:val="single" w:sz="8" w:color="A7A9AC"/>
            </w:tcBorders>
          </w:tcPr>
          <w:p>
            <w:pPr>
              <w:jc w:val="right"/>
              <w:ind w:right="1559"/>
              <w:spacing w:after="0"/>
              <w:rPr>
                <w:sz w:val="20"/>
                <w:szCs w:val="20"/>
                <w:color w:val="auto"/>
              </w:rPr>
            </w:pPr>
            <w:r>
              <w:rPr>
                <w:rFonts w:ascii="Arial" w:cs="Arial" w:eastAsia="Arial" w:hAnsi="Arial"/>
                <w:sz w:val="16"/>
                <w:szCs w:val="16"/>
                <w:color w:val="auto"/>
              </w:rPr>
              <w:t>5,600</w:t>
            </w:r>
          </w:p>
        </w:tc>
        <w:tc>
          <w:tcPr>
            <w:tcW w:w="17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664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auto"/>
              </w:rPr>
              <w:t>Murry S. Gerber</w:t>
            </w:r>
          </w:p>
        </w:tc>
        <w:tc>
          <w:tcPr>
            <w:tcW w:w="2880" w:type="dxa"/>
            <w:vAlign w:val="bottom"/>
            <w:tcBorders>
              <w:bottom w:val="single" w:sz="8" w:color="A7A9AC"/>
            </w:tcBorders>
          </w:tcPr>
          <w:p>
            <w:pPr>
              <w:jc w:val="right"/>
              <w:ind w:right="1559"/>
              <w:spacing w:after="0"/>
              <w:rPr>
                <w:sz w:val="20"/>
                <w:szCs w:val="20"/>
                <w:color w:val="auto"/>
              </w:rPr>
            </w:pPr>
            <w:r>
              <w:rPr>
                <w:rFonts w:ascii="Arial" w:cs="Arial" w:eastAsia="Arial" w:hAnsi="Arial"/>
                <w:sz w:val="16"/>
                <w:szCs w:val="16"/>
                <w:color w:val="auto"/>
              </w:rPr>
              <w:t>551,911</w:t>
            </w:r>
          </w:p>
        </w:tc>
        <w:tc>
          <w:tcPr>
            <w:tcW w:w="17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664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auto"/>
              </w:rPr>
              <w:t>Patricia Hemingway Hall</w:t>
            </w:r>
          </w:p>
        </w:tc>
        <w:tc>
          <w:tcPr>
            <w:tcW w:w="2880" w:type="dxa"/>
            <w:vAlign w:val="bottom"/>
            <w:tcBorders>
              <w:bottom w:val="single" w:sz="8" w:color="A7A9AC"/>
            </w:tcBorders>
          </w:tcPr>
          <w:p>
            <w:pPr>
              <w:jc w:val="right"/>
              <w:ind w:right="1559"/>
              <w:spacing w:after="0"/>
              <w:rPr>
                <w:sz w:val="20"/>
                <w:szCs w:val="20"/>
                <w:color w:val="auto"/>
              </w:rPr>
            </w:pPr>
            <w:r>
              <w:rPr>
                <w:rFonts w:ascii="Arial" w:cs="Arial" w:eastAsia="Arial" w:hAnsi="Arial"/>
                <w:sz w:val="16"/>
                <w:szCs w:val="16"/>
                <w:color w:val="auto"/>
              </w:rPr>
              <w:t>6,299</w:t>
            </w:r>
          </w:p>
        </w:tc>
        <w:tc>
          <w:tcPr>
            <w:tcW w:w="17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664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auto"/>
              </w:rPr>
              <w:t>Lance Loeffler</w:t>
            </w:r>
          </w:p>
        </w:tc>
        <w:tc>
          <w:tcPr>
            <w:tcW w:w="2880" w:type="dxa"/>
            <w:vAlign w:val="bottom"/>
            <w:tcBorders>
              <w:bottom w:val="single" w:sz="8" w:color="A7A9AC"/>
            </w:tcBorders>
          </w:tcPr>
          <w:p>
            <w:pPr>
              <w:jc w:val="right"/>
              <w:ind w:right="1559"/>
              <w:spacing w:after="0"/>
              <w:rPr>
                <w:sz w:val="20"/>
                <w:szCs w:val="20"/>
                <w:color w:val="auto"/>
              </w:rPr>
            </w:pPr>
            <w:r>
              <w:rPr>
                <w:rFonts w:ascii="Arial" w:cs="Arial" w:eastAsia="Arial" w:hAnsi="Arial"/>
                <w:sz w:val="16"/>
                <w:szCs w:val="16"/>
                <w:color w:val="auto"/>
              </w:rPr>
              <w:t>216,281</w:t>
            </w:r>
          </w:p>
        </w:tc>
        <w:tc>
          <w:tcPr>
            <w:tcW w:w="17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664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auto"/>
              </w:rPr>
              <w:t>Robert A. Malone</w:t>
            </w:r>
          </w:p>
        </w:tc>
        <w:tc>
          <w:tcPr>
            <w:tcW w:w="2880" w:type="dxa"/>
            <w:vAlign w:val="bottom"/>
            <w:tcBorders>
              <w:bottom w:val="single" w:sz="8" w:color="A7A9AC"/>
            </w:tcBorders>
          </w:tcPr>
          <w:p>
            <w:pPr>
              <w:jc w:val="right"/>
              <w:ind w:right="1559"/>
              <w:spacing w:after="0"/>
              <w:rPr>
                <w:sz w:val="20"/>
                <w:szCs w:val="20"/>
                <w:color w:val="auto"/>
              </w:rPr>
            </w:pPr>
            <w:r>
              <w:rPr>
                <w:rFonts w:ascii="Arial" w:cs="Arial" w:eastAsia="Arial" w:hAnsi="Arial"/>
                <w:sz w:val="16"/>
                <w:szCs w:val="16"/>
                <w:color w:val="auto"/>
              </w:rPr>
              <w:t>58,718</w:t>
            </w:r>
          </w:p>
        </w:tc>
        <w:tc>
          <w:tcPr>
            <w:tcW w:w="17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664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auto"/>
              </w:rPr>
              <w:t>Jeffrey A. Miller</w:t>
            </w:r>
          </w:p>
        </w:tc>
        <w:tc>
          <w:tcPr>
            <w:tcW w:w="2880" w:type="dxa"/>
            <w:vAlign w:val="bottom"/>
            <w:tcBorders>
              <w:bottom w:val="single" w:sz="8" w:color="A7A9AC"/>
            </w:tcBorders>
          </w:tcPr>
          <w:p>
            <w:pPr>
              <w:jc w:val="right"/>
              <w:ind w:right="1559"/>
              <w:spacing w:after="0"/>
              <w:rPr>
                <w:sz w:val="20"/>
                <w:szCs w:val="20"/>
                <w:color w:val="auto"/>
              </w:rPr>
            </w:pPr>
            <w:r>
              <w:rPr>
                <w:rFonts w:ascii="Arial" w:cs="Arial" w:eastAsia="Arial" w:hAnsi="Arial"/>
                <w:sz w:val="16"/>
                <w:szCs w:val="16"/>
                <w:color w:val="auto"/>
              </w:rPr>
              <w:t>1,547,128</w:t>
            </w:r>
          </w:p>
        </w:tc>
        <w:tc>
          <w:tcPr>
            <w:tcW w:w="17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664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auto"/>
              </w:rPr>
              <w:t>Bhavesh V. Patel</w:t>
            </w:r>
          </w:p>
        </w:tc>
        <w:tc>
          <w:tcPr>
            <w:tcW w:w="2880" w:type="dxa"/>
            <w:vAlign w:val="bottom"/>
            <w:tcBorders>
              <w:bottom w:val="single" w:sz="8" w:color="A7A9AC"/>
            </w:tcBorders>
          </w:tcPr>
          <w:p>
            <w:pPr>
              <w:jc w:val="right"/>
              <w:ind w:right="1559"/>
              <w:spacing w:after="0"/>
              <w:rPr>
                <w:sz w:val="20"/>
                <w:szCs w:val="20"/>
                <w:color w:val="auto"/>
              </w:rPr>
            </w:pPr>
            <w:r>
              <w:rPr>
                <w:rFonts w:ascii="Arial" w:cs="Arial" w:eastAsia="Arial" w:hAnsi="Arial"/>
                <w:sz w:val="16"/>
                <w:szCs w:val="16"/>
                <w:color w:val="auto"/>
              </w:rPr>
              <w:t>10,000</w:t>
            </w:r>
          </w:p>
        </w:tc>
        <w:tc>
          <w:tcPr>
            <w:tcW w:w="17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664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auto"/>
              </w:rPr>
              <w:t>Joe D. Rainey</w:t>
            </w:r>
          </w:p>
        </w:tc>
        <w:tc>
          <w:tcPr>
            <w:tcW w:w="2880" w:type="dxa"/>
            <w:vAlign w:val="bottom"/>
            <w:tcBorders>
              <w:bottom w:val="single" w:sz="8" w:color="A7A9AC"/>
            </w:tcBorders>
          </w:tcPr>
          <w:p>
            <w:pPr>
              <w:jc w:val="right"/>
              <w:ind w:right="1559"/>
              <w:spacing w:after="0"/>
              <w:rPr>
                <w:sz w:val="20"/>
                <w:szCs w:val="20"/>
                <w:color w:val="auto"/>
              </w:rPr>
            </w:pPr>
            <w:r>
              <w:rPr>
                <w:rFonts w:ascii="Arial" w:cs="Arial" w:eastAsia="Arial" w:hAnsi="Arial"/>
                <w:sz w:val="16"/>
                <w:szCs w:val="16"/>
                <w:color w:val="auto"/>
              </w:rPr>
              <w:t>687,799</w:t>
            </w:r>
          </w:p>
        </w:tc>
        <w:tc>
          <w:tcPr>
            <w:tcW w:w="17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664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auto"/>
              </w:rPr>
              <w:t>Mark J. Richard</w:t>
            </w:r>
          </w:p>
        </w:tc>
        <w:tc>
          <w:tcPr>
            <w:tcW w:w="2880" w:type="dxa"/>
            <w:vAlign w:val="bottom"/>
            <w:tcBorders>
              <w:bottom w:val="single" w:sz="8" w:color="A7A9AC"/>
            </w:tcBorders>
          </w:tcPr>
          <w:p>
            <w:pPr>
              <w:jc w:val="right"/>
              <w:ind w:right="1559"/>
              <w:spacing w:after="0"/>
              <w:rPr>
                <w:sz w:val="20"/>
                <w:szCs w:val="20"/>
                <w:color w:val="auto"/>
              </w:rPr>
            </w:pPr>
            <w:r>
              <w:rPr>
                <w:rFonts w:ascii="Arial" w:cs="Arial" w:eastAsia="Arial" w:hAnsi="Arial"/>
                <w:sz w:val="16"/>
                <w:szCs w:val="16"/>
                <w:color w:val="auto"/>
              </w:rPr>
              <w:t>410,085</w:t>
            </w:r>
          </w:p>
        </w:tc>
        <w:tc>
          <w:tcPr>
            <w:tcW w:w="17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664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auto"/>
              </w:rPr>
              <w:t>Tobi M. Edwards Young</w:t>
            </w:r>
          </w:p>
        </w:tc>
        <w:tc>
          <w:tcPr>
            <w:tcW w:w="2880" w:type="dxa"/>
            <w:vAlign w:val="bottom"/>
            <w:tcBorders>
              <w:bottom w:val="single" w:sz="8" w:color="A7A9AC"/>
            </w:tcBorders>
          </w:tcPr>
          <w:p>
            <w:pPr>
              <w:jc w:val="right"/>
              <w:ind w:right="1559"/>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6640" w:type="dxa"/>
            <w:vAlign w:val="bottom"/>
            <w:tcBorders>
              <w:bottom w:val="single" w:sz="8" w:color="CB233C"/>
            </w:tcBorders>
          </w:tcPr>
          <w:p>
            <w:pPr>
              <w:ind w:left="60"/>
              <w:spacing w:after="0"/>
              <w:rPr>
                <w:sz w:val="20"/>
                <w:szCs w:val="20"/>
                <w:color w:val="auto"/>
              </w:rPr>
            </w:pPr>
            <w:r>
              <w:rPr>
                <w:rFonts w:ascii="Arial" w:cs="Arial" w:eastAsia="Arial" w:hAnsi="Arial"/>
                <w:sz w:val="16"/>
                <w:szCs w:val="16"/>
                <w:color w:val="auto"/>
              </w:rPr>
              <w:t>Shares owned by all current Directors and executive officers as a group (22 persons)</w:t>
            </w:r>
          </w:p>
        </w:tc>
        <w:tc>
          <w:tcPr>
            <w:tcW w:w="2880" w:type="dxa"/>
            <w:vAlign w:val="bottom"/>
            <w:tcBorders>
              <w:bottom w:val="single" w:sz="8" w:color="CB233C"/>
            </w:tcBorders>
          </w:tcPr>
          <w:p>
            <w:pPr>
              <w:jc w:val="right"/>
              <w:ind w:right="1559"/>
              <w:spacing w:after="0"/>
              <w:rPr>
                <w:sz w:val="20"/>
                <w:szCs w:val="20"/>
                <w:color w:val="auto"/>
              </w:rPr>
            </w:pPr>
            <w:r>
              <w:rPr>
                <w:rFonts w:ascii="Arial" w:cs="Arial" w:eastAsia="Arial" w:hAnsi="Arial"/>
                <w:sz w:val="16"/>
                <w:szCs w:val="16"/>
                <w:color w:val="auto"/>
              </w:rPr>
              <w:t>5,166,173</w:t>
            </w:r>
          </w:p>
        </w:tc>
        <w:tc>
          <w:tcPr>
            <w:tcW w:w="172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w:t>
            </w:r>
          </w:p>
        </w:tc>
      </w:tr>
    </w:tbl>
    <w:p>
      <w:pPr>
        <w:spacing w:after="0" w:line="47"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Less than 1% of shares outstanding.</w:t>
      </w:r>
    </w:p>
    <w:p>
      <w:pPr>
        <w:spacing w:after="0" w:line="69" w:lineRule="exact"/>
        <w:rPr>
          <w:sz w:val="20"/>
          <w:szCs w:val="20"/>
          <w:color w:val="auto"/>
        </w:rPr>
      </w:pPr>
    </w:p>
    <w:p>
      <w:pPr>
        <w:jc w:val="both"/>
        <w:ind w:left="340" w:hanging="332"/>
        <w:spacing w:after="0" w:line="252" w:lineRule="auto"/>
        <w:tabs>
          <w:tab w:leader="none" w:pos="34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The table includes shares of common stock eligible for purchase pursuant to outstanding stock options within 60 days of March 16, 2022, for the following: Mr. Carre – 157,209; Mr. Loeffler – 80,600; Mr. Miller – 639,200; Mr. Rainey – 316,500; Mr. Richard – 150,273; and six unnamed executive officers – 500,405. Until the options are exercised, these individuals will not have voting or investment power over the underlying shares of common stock, but will only have the right to acquire beneficial ownership of the shares through exercise of their respective options. The table also includes restricted shares of common stock over which the individuals have voting power but no investment power.</w:t>
      </w:r>
    </w:p>
    <w:p>
      <w:pPr>
        <w:spacing w:after="0" w:line="316" w:lineRule="exact"/>
        <w:rPr>
          <w:sz w:val="20"/>
          <w:szCs w:val="20"/>
          <w:color w:val="auto"/>
        </w:r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31" w:name="page32"/>
    <w:bookmarkEnd w:id="3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33" w:lineRule="exact"/>
        <w:rPr>
          <w:sz w:val="20"/>
          <w:szCs w:val="20"/>
          <w:color w:val="auto"/>
        </w:rPr>
      </w:pPr>
    </w:p>
    <w:p>
      <w:pPr>
        <w:ind w:right="1840"/>
        <w:spacing w:after="0" w:line="291" w:lineRule="auto"/>
        <w:rPr>
          <w:sz w:val="20"/>
          <w:szCs w:val="20"/>
          <w:color w:val="auto"/>
        </w:rPr>
      </w:pPr>
      <w:r>
        <w:rPr>
          <w:rFonts w:ascii="Arial" w:cs="Arial" w:eastAsia="Arial" w:hAnsi="Arial"/>
          <w:sz w:val="46"/>
          <w:szCs w:val="46"/>
          <w:b w:val="1"/>
          <w:bCs w:val="1"/>
          <w:color w:val="CB233C"/>
        </w:rPr>
        <w:t xml:space="preserve">Proposal No. 2 </w:t>
      </w:r>
      <w:r>
        <w:rPr>
          <w:rFonts w:ascii="Arial" w:cs="Arial" w:eastAsia="Arial" w:hAnsi="Arial"/>
          <w:sz w:val="46"/>
          <w:szCs w:val="46"/>
          <w:b w:val="1"/>
          <w:bCs w:val="1"/>
          <w:color w:val="000000"/>
        </w:rPr>
        <w:t>Ratification of Selection of</w:t>
      </w:r>
      <w:r>
        <w:rPr>
          <w:rFonts w:ascii="Arial" w:cs="Arial" w:eastAsia="Arial" w:hAnsi="Arial"/>
          <w:sz w:val="46"/>
          <w:szCs w:val="46"/>
          <w:b w:val="1"/>
          <w:bCs w:val="1"/>
          <w:color w:val="CB233C"/>
        </w:rPr>
        <w:t xml:space="preserve"> </w:t>
      </w:r>
      <w:r>
        <w:rPr>
          <w:rFonts w:ascii="Arial" w:cs="Arial" w:eastAsia="Arial" w:hAnsi="Arial"/>
          <w:sz w:val="46"/>
          <w:szCs w:val="46"/>
          <w:b w:val="1"/>
          <w:bCs w:val="1"/>
          <w:color w:val="000000"/>
        </w:rPr>
        <w:t>Principal Independent Public Accountants</w:t>
      </w:r>
    </w:p>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Audit Committee is responsible for the appointment, compensation, retention, oversight of the work, and evaluation of the principal independent public accountants retained to audit our financial statements. The Audit Committee and Board have approved the selection of KPMG LLP as our principal independent public accountants to examine our financial statements and books and records for the year ended December 31, 2022, and a resolution will be presented at the Annual Meeting to ratify this selection. The Audit Committee and Board believe that the continued retention of KPMG to serve as our principal independent public accountants for the year ended December 31, 2022, is in the best interests of Halliburton and our shareholders. Representatives of KPMG are expected to be present at the Annual Meeting and be available to respond to appropriate questions from shareholders.</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KPMG began serving as our principal independent public accountants for the year ended December 31, 2002. The Audit Committee routinely reviews the performance and retention of our independent public accountants, including an evaluation of service quality, the nature and extent of non-audit services, and other factors required to be considered when assessing independence from Halliburton and its management. The Audit Committee also periodically considers whether there should be a rotation of the principal independent public accountants and is involved in the selection of the Principal Independent Public Accountants’ lead engagement partner and the mandated rotation process of such partner.</w:t>
      </w:r>
    </w:p>
    <w:p>
      <w:pPr>
        <w:spacing w:after="0" w:line="15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affirmative vote of the holders of a majority of the shares of our common stock represented at the Annual Meeting and entitled to vote on the matter is needed to approve the proposal.</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If the shareholders do not ratify the selection of KPMG, the Board will reconsider the selection of independent public accountants.</w:t>
      </w:r>
    </w:p>
    <w:p>
      <w:pPr>
        <w:spacing w:after="0" w:line="194" w:lineRule="exact"/>
        <w:rPr>
          <w:sz w:val="20"/>
          <w:szCs w:val="20"/>
          <w:color w:val="auto"/>
        </w:rPr>
      </w:pPr>
    </w:p>
    <w:p>
      <w:pPr>
        <w:ind w:left="360" w:right="200"/>
        <w:spacing w:after="0" w:line="266" w:lineRule="auto"/>
        <w:rPr>
          <w:sz w:val="20"/>
          <w:szCs w:val="20"/>
          <w:color w:val="auto"/>
        </w:rPr>
      </w:pPr>
      <w:r>
        <w:rPr>
          <w:rFonts w:ascii="Arial" w:cs="Arial" w:eastAsia="Arial" w:hAnsi="Arial"/>
          <w:sz w:val="16"/>
          <w:szCs w:val="16"/>
          <w:color w:val="auto"/>
        </w:rPr>
        <w:t xml:space="preserve">THE BOARD OF DIRECTORS RECOMMENDS A </w:t>
      </w:r>
      <w:r>
        <w:rPr>
          <w:rFonts w:ascii="Arial" w:cs="Arial" w:eastAsia="Arial" w:hAnsi="Arial"/>
          <w:sz w:val="16"/>
          <w:szCs w:val="16"/>
          <w:b w:val="1"/>
          <w:bCs w:val="1"/>
          <w:color w:val="CB233C"/>
        </w:rPr>
        <w:t>VOTE FOR</w:t>
      </w:r>
      <w:r>
        <w:rPr>
          <w:rFonts w:ascii="Arial" w:cs="Arial" w:eastAsia="Arial" w:hAnsi="Arial"/>
          <w:sz w:val="16"/>
          <w:szCs w:val="16"/>
          <w:color w:val="auto"/>
        </w:rPr>
        <w:t xml:space="preserve"> RATIFICATION OF THE APPOINTMENT OF KPMG LLP AS PRINCIPAL INDEPENDENT PUBLIC ACCOUNTANTS TO EXAMINE OUR FINANCIAL STATEMENTS AND BOOKS AND RECORDS FOR THE YEAR ENDING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179705"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9705" cy="171450"/>
                    </a:xfrm>
                    <a:prstGeom prst="rect">
                      <a:avLst/>
                    </a:prstGeom>
                    <a:noFill/>
                  </pic:spPr>
                </pic:pic>
              </a:graphicData>
            </a:graphic>
          </wp:anchor>
        </w:drawing>
      </w:r>
    </w:p>
    <w:p>
      <w:pPr>
        <w:spacing w:after="0" w:line="12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886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CB233C"/>
        </w:rPr>
        <w:t xml:space="preserve">Audit Committee </w:t>
      </w:r>
      <w:r>
        <w:rPr>
          <w:rFonts w:ascii="Arial" w:cs="Arial" w:eastAsia="Arial" w:hAnsi="Arial"/>
          <w:sz w:val="47"/>
          <w:szCs w:val="47"/>
          <w:b w:val="1"/>
          <w:bCs w:val="1"/>
          <w:color w:val="000000"/>
        </w:rPr>
        <w:t>Report</w:t>
      </w:r>
    </w:p>
    <w:p>
      <w:pPr>
        <w:spacing w:after="0" w:line="200" w:lineRule="exact"/>
        <w:rPr>
          <w:sz w:val="20"/>
          <w:szCs w:val="20"/>
          <w:color w:val="auto"/>
        </w:rPr>
      </w:pP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We operate under a written charter, a copy of which is available on Halliburton’s website at </w:t>
      </w:r>
      <w:r>
        <w:rPr>
          <w:rFonts w:ascii="Arial" w:cs="Arial" w:eastAsia="Arial" w:hAnsi="Arial"/>
          <w:sz w:val="16"/>
          <w:szCs w:val="16"/>
          <w:i w:val="1"/>
          <w:iCs w:val="1"/>
          <w:color w:val="CB233C"/>
        </w:rPr>
        <w:t>www.halliburton.com</w:t>
      </w:r>
      <w:r>
        <w:rPr>
          <w:rFonts w:ascii="Arial" w:cs="Arial" w:eastAsia="Arial" w:hAnsi="Arial"/>
          <w:sz w:val="16"/>
          <w:szCs w:val="16"/>
          <w:color w:val="auto"/>
        </w:rPr>
        <w:t>. As required by the charter, we review and reassess the charter annually and recommend any changes to the Board for approval. We are also mindful of the observations provided in the Securities and Exchange Commission’s Statement on Role of Audit Committees in Financial Reporting and Key Reminders Regarding Oversight Responsibilities.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Halliburton’s management is responsible for preparing Halliburton’s financial statements and the principal independent public accountants are responsible for auditing those financial statements. The Audit Committee’s role is to provide oversight of management in carrying out management’s responsibility and to appoint, compensate, retain, oversee the work of, and evaluate the principal independent public accountants. The Audit Committee is not providing any expert or special assurance as to Halliburton’s financial statements or any professional certification as to the principal independent public accountants’ work.</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 fulfilling our oversight role for the year ended December 31, 2021, we:</w:t>
      </w:r>
    </w:p>
    <w:p>
      <w:pPr>
        <w:spacing w:after="0" w:line="194"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6"/>
          <w:szCs w:val="16"/>
          <w:color w:val="CB233C"/>
        </w:rPr>
      </w:pPr>
      <w:r>
        <w:rPr>
          <w:rFonts w:ascii="Arial" w:cs="Arial" w:eastAsia="Arial" w:hAnsi="Arial"/>
          <w:sz w:val="16"/>
          <w:szCs w:val="16"/>
          <w:color w:val="auto"/>
        </w:rPr>
        <w:t>reviewed and discussed Halliburton’s audited financial statements with management;</w:t>
      </w:r>
    </w:p>
    <w:p>
      <w:pPr>
        <w:spacing w:after="0" w:line="99" w:lineRule="exact"/>
        <w:rPr>
          <w:rFonts w:ascii="Arial" w:cs="Arial" w:eastAsia="Arial" w:hAnsi="Arial"/>
          <w:sz w:val="16"/>
          <w:szCs w:val="16"/>
          <w:color w:val="CB233C"/>
        </w:rPr>
      </w:pPr>
    </w:p>
    <w:p>
      <w:pPr>
        <w:ind w:left="180" w:hanging="172"/>
        <w:spacing w:after="0" w:line="286" w:lineRule="auto"/>
        <w:tabs>
          <w:tab w:leader="none" w:pos="180" w:val="left"/>
        </w:tabs>
        <w:numPr>
          <w:ilvl w:val="0"/>
          <w:numId w:val="34"/>
        </w:numPr>
        <w:rPr>
          <w:rFonts w:ascii="Arial" w:cs="Arial" w:eastAsia="Arial" w:hAnsi="Arial"/>
          <w:sz w:val="16"/>
          <w:szCs w:val="16"/>
          <w:color w:val="CB233C"/>
        </w:rPr>
      </w:pPr>
      <w:r>
        <w:rPr>
          <w:rFonts w:ascii="Arial" w:cs="Arial" w:eastAsia="Arial" w:hAnsi="Arial"/>
          <w:sz w:val="16"/>
          <w:szCs w:val="16"/>
          <w:color w:val="auto"/>
        </w:rPr>
        <w:t>discussed with KPMG LLP, Halliburton’s principal independent public accountants, the matters required by Auditing Standard 1301 relating to the conduct of the audit;</w:t>
      </w:r>
    </w:p>
    <w:p>
      <w:pPr>
        <w:spacing w:after="0" w:line="34" w:lineRule="exact"/>
        <w:rPr>
          <w:rFonts w:ascii="Arial" w:cs="Arial" w:eastAsia="Arial" w:hAnsi="Arial"/>
          <w:sz w:val="16"/>
          <w:szCs w:val="16"/>
          <w:color w:val="CB233C"/>
        </w:rPr>
      </w:pPr>
    </w:p>
    <w:p>
      <w:pPr>
        <w:ind w:left="180" w:hanging="172"/>
        <w:spacing w:after="0"/>
        <w:tabs>
          <w:tab w:leader="none" w:pos="180" w:val="left"/>
        </w:tabs>
        <w:numPr>
          <w:ilvl w:val="0"/>
          <w:numId w:val="34"/>
        </w:numPr>
        <w:rPr>
          <w:rFonts w:ascii="Arial" w:cs="Arial" w:eastAsia="Arial" w:hAnsi="Arial"/>
          <w:sz w:val="16"/>
          <w:szCs w:val="16"/>
          <w:color w:val="CB233C"/>
        </w:rPr>
      </w:pPr>
      <w:r>
        <w:rPr>
          <w:rFonts w:ascii="Arial" w:cs="Arial" w:eastAsia="Arial" w:hAnsi="Arial"/>
          <w:sz w:val="16"/>
          <w:szCs w:val="16"/>
          <w:color w:val="auto"/>
        </w:rPr>
        <w:t>received from KPMG the written disclosures and the letter required by the Public Company Accounting Oversight Board regarding KPMG’s independence;</w:t>
      </w:r>
    </w:p>
    <w:p>
      <w:pPr>
        <w:spacing w:after="0" w:line="99" w:lineRule="exact"/>
        <w:rPr>
          <w:rFonts w:ascii="Arial" w:cs="Arial" w:eastAsia="Arial" w:hAnsi="Arial"/>
          <w:sz w:val="16"/>
          <w:szCs w:val="16"/>
          <w:color w:val="CB233C"/>
        </w:rPr>
      </w:pPr>
    </w:p>
    <w:p>
      <w:pPr>
        <w:ind w:left="180" w:hanging="172"/>
        <w:spacing w:after="0"/>
        <w:tabs>
          <w:tab w:leader="none" w:pos="180" w:val="left"/>
        </w:tabs>
        <w:numPr>
          <w:ilvl w:val="0"/>
          <w:numId w:val="34"/>
        </w:numPr>
        <w:rPr>
          <w:rFonts w:ascii="Arial" w:cs="Arial" w:eastAsia="Arial" w:hAnsi="Arial"/>
          <w:sz w:val="16"/>
          <w:szCs w:val="16"/>
          <w:color w:val="CB233C"/>
        </w:rPr>
      </w:pPr>
      <w:r>
        <w:rPr>
          <w:rFonts w:ascii="Arial" w:cs="Arial" w:eastAsia="Arial" w:hAnsi="Arial"/>
          <w:sz w:val="16"/>
          <w:szCs w:val="16"/>
          <w:color w:val="auto"/>
        </w:rPr>
        <w:t>evaluated KPMG’s service quality; and</w:t>
      </w:r>
    </w:p>
    <w:p>
      <w:pPr>
        <w:spacing w:after="0" w:line="99" w:lineRule="exact"/>
        <w:rPr>
          <w:rFonts w:ascii="Arial" w:cs="Arial" w:eastAsia="Arial" w:hAnsi="Arial"/>
          <w:sz w:val="16"/>
          <w:szCs w:val="16"/>
          <w:color w:val="CB233C"/>
        </w:rPr>
      </w:pPr>
    </w:p>
    <w:p>
      <w:pPr>
        <w:ind w:left="180" w:hanging="172"/>
        <w:spacing w:after="0" w:line="286" w:lineRule="auto"/>
        <w:tabs>
          <w:tab w:leader="none" w:pos="180" w:val="left"/>
        </w:tabs>
        <w:numPr>
          <w:ilvl w:val="0"/>
          <w:numId w:val="34"/>
        </w:numPr>
        <w:rPr>
          <w:rFonts w:ascii="Arial" w:cs="Arial" w:eastAsia="Arial" w:hAnsi="Arial"/>
          <w:sz w:val="16"/>
          <w:szCs w:val="16"/>
          <w:color w:val="CB233C"/>
        </w:rPr>
      </w:pPr>
      <w:r>
        <w:rPr>
          <w:rFonts w:ascii="Arial" w:cs="Arial" w:eastAsia="Arial" w:hAnsi="Arial"/>
          <w:sz w:val="16"/>
          <w:szCs w:val="16"/>
          <w:color w:val="auto"/>
        </w:rPr>
        <w:t>discussed with KPMG its independence and reviewed other matters required to be considered under Securities and Exchange Commission rules regarding KPMG’s independence.</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Based on the foregoing, we recommended to the Board that the audited financial statements be included in Halliburton’s Annual Report on Form 10-K for the fiscal year ended December 31, 2021, for filing with the Securities and Exchange Commission.</w:t>
      </w:r>
    </w:p>
    <w:p>
      <w:pPr>
        <w:spacing w:after="0" w:line="129" w:lineRule="exact"/>
        <w:rPr>
          <w:sz w:val="20"/>
          <w:szCs w:val="20"/>
          <w:color w:val="auto"/>
        </w:rPr>
      </w:pPr>
    </w:p>
    <w:p>
      <w:pPr>
        <w:ind w:left="9360"/>
        <w:spacing w:after="0"/>
        <w:rPr>
          <w:sz w:val="20"/>
          <w:szCs w:val="20"/>
          <w:color w:val="auto"/>
        </w:rPr>
      </w:pPr>
      <w:r>
        <w:rPr>
          <w:rFonts w:ascii="Arial" w:cs="Arial" w:eastAsia="Arial" w:hAnsi="Arial"/>
          <w:sz w:val="16"/>
          <w:szCs w:val="16"/>
          <w:b w:val="1"/>
          <w:bCs w:val="1"/>
          <w:color w:val="auto"/>
        </w:rPr>
        <w:t>THE AUDIT COMMITTEE</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 Katherine Banks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Alan M. Bennett</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Murry S. Gerber</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Bhavesh V. Patel</w:t>
      </w:r>
    </w:p>
    <w:p>
      <w:pPr>
        <w:spacing w:after="0" w:line="178" w:lineRule="exact"/>
        <w:rPr>
          <w:sz w:val="20"/>
          <w:szCs w:val="20"/>
          <w:color w:val="auto"/>
        </w:r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754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CB233C"/>
        </w:rPr>
        <w:t xml:space="preserve">Fees Paid to </w:t>
      </w:r>
      <w:r>
        <w:rPr>
          <w:rFonts w:ascii="Arial" w:cs="Arial" w:eastAsia="Arial" w:hAnsi="Arial"/>
          <w:sz w:val="47"/>
          <w:szCs w:val="47"/>
          <w:b w:val="1"/>
          <w:bCs w:val="1"/>
          <w:color w:val="000000"/>
        </w:rPr>
        <w:t>KPMG LLP</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40" w:type="dxa"/>
            <w:vAlign w:val="bottom"/>
          </w:tcPr>
          <w:p>
            <w:pPr>
              <w:spacing w:after="0"/>
              <w:rPr>
                <w:sz w:val="20"/>
                <w:szCs w:val="20"/>
                <w:color w:val="auto"/>
              </w:rPr>
            </w:pPr>
            <w:r>
              <w:rPr>
                <w:rFonts w:ascii="Arial" w:cs="Arial" w:eastAsia="Arial" w:hAnsi="Arial"/>
                <w:sz w:val="16"/>
                <w:szCs w:val="16"/>
                <w:color w:val="auto"/>
              </w:rPr>
              <w:t>During 2020 and 2021, we incurred the following fees for services performed by KPMG LLP.</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93"/>
        </w:trPr>
        <w:tc>
          <w:tcPr>
            <w:tcW w:w="8440" w:type="dxa"/>
            <w:vAlign w:val="bottom"/>
          </w:tcPr>
          <w:p>
            <w:pPr>
              <w:spacing w:after="0"/>
              <w:rPr>
                <w:sz w:val="24"/>
                <w:szCs w:val="24"/>
                <w:color w:val="auto"/>
              </w:rPr>
            </w:pPr>
          </w:p>
        </w:tc>
        <w:tc>
          <w:tcPr>
            <w:tcW w:w="640" w:type="dxa"/>
            <w:vAlign w:val="bottom"/>
            <w:tcBorders>
              <w:bottom w:val="single" w:sz="8" w:color="CB233C"/>
            </w:tcBorders>
          </w:tcPr>
          <w:p>
            <w:pPr>
              <w:spacing w:after="0"/>
              <w:rPr>
                <w:sz w:val="24"/>
                <w:szCs w:val="24"/>
                <w:color w:val="auto"/>
              </w:rPr>
            </w:pPr>
          </w:p>
        </w:tc>
        <w:tc>
          <w:tcPr>
            <w:tcW w:w="880" w:type="dxa"/>
            <w:vAlign w:val="bottom"/>
            <w:tcBorders>
              <w:bottom w:val="single" w:sz="8" w:color="CB233C"/>
            </w:tcBorders>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CB233C"/>
            </w:tcBorders>
          </w:tcPr>
          <w:p>
            <w:pPr>
              <w:spacing w:after="0"/>
              <w:rPr>
                <w:sz w:val="24"/>
                <w:szCs w:val="24"/>
                <w:color w:val="auto"/>
              </w:rPr>
            </w:pPr>
          </w:p>
        </w:tc>
        <w:tc>
          <w:tcPr>
            <w:tcW w:w="70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auto"/>
              </w:rPr>
              <w:t>2021</w:t>
            </w:r>
          </w:p>
        </w:tc>
      </w:tr>
      <w:tr>
        <w:trPr>
          <w:trHeight w:val="210"/>
        </w:trPr>
        <w:tc>
          <w:tcPr>
            <w:tcW w:w="8440" w:type="dxa"/>
            <w:vAlign w:val="bottom"/>
            <w:tcBorders>
              <w:bottom w:val="single" w:sz="8" w:color="CB233C"/>
            </w:tcBorders>
          </w:tcPr>
          <w:p>
            <w:pPr>
              <w:spacing w:after="0"/>
              <w:rPr>
                <w:sz w:val="18"/>
                <w:szCs w:val="18"/>
                <w:color w:val="auto"/>
              </w:rPr>
            </w:pPr>
          </w:p>
        </w:tc>
        <w:tc>
          <w:tcPr>
            <w:tcW w:w="1520" w:type="dxa"/>
            <w:vAlign w:val="bottom"/>
            <w:tcBorders>
              <w:bottom w:val="single" w:sz="8" w:color="CB233C"/>
            </w:tcBorders>
            <w:gridSpan w:val="2"/>
          </w:tcPr>
          <w:p>
            <w:pPr>
              <w:ind w:left="320"/>
              <w:spacing w:after="0"/>
              <w:rPr>
                <w:sz w:val="20"/>
                <w:szCs w:val="20"/>
                <w:color w:val="auto"/>
              </w:rPr>
            </w:pPr>
            <w:r>
              <w:rPr>
                <w:rFonts w:ascii="Arial" w:cs="Arial" w:eastAsia="Arial" w:hAnsi="Arial"/>
                <w:sz w:val="16"/>
                <w:szCs w:val="16"/>
                <w:b w:val="1"/>
                <w:bCs w:val="1"/>
                <w:color w:val="auto"/>
              </w:rPr>
              <w:t>(In millions)</w:t>
            </w:r>
          </w:p>
        </w:tc>
        <w:tc>
          <w:tcPr>
            <w:tcW w:w="1280" w:type="dxa"/>
            <w:vAlign w:val="bottom"/>
            <w:tcBorders>
              <w:bottom w:val="single" w:sz="8" w:color="CB233C"/>
            </w:tcBorders>
            <w:gridSpan w:val="2"/>
          </w:tcPr>
          <w:p>
            <w:pPr>
              <w:ind w:left="260"/>
              <w:spacing w:after="0"/>
              <w:rPr>
                <w:sz w:val="20"/>
                <w:szCs w:val="20"/>
                <w:color w:val="auto"/>
              </w:rPr>
            </w:pPr>
            <w:r>
              <w:rPr>
                <w:rFonts w:ascii="Arial" w:cs="Arial" w:eastAsia="Arial" w:hAnsi="Arial"/>
                <w:sz w:val="16"/>
                <w:szCs w:val="16"/>
                <w:b w:val="1"/>
                <w:bCs w:val="1"/>
                <w:color w:val="auto"/>
              </w:rPr>
              <w:t>(In millions)</w:t>
            </w:r>
          </w:p>
        </w:tc>
      </w:tr>
      <w:tr>
        <w:trPr>
          <w:trHeight w:val="209"/>
        </w:trPr>
        <w:tc>
          <w:tcPr>
            <w:tcW w:w="844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auto"/>
              </w:rPr>
              <w:t>Audit fees</w:t>
            </w:r>
          </w:p>
        </w:tc>
        <w:tc>
          <w:tcPr>
            <w:tcW w:w="640" w:type="dxa"/>
            <w:vAlign w:val="bottom"/>
            <w:tcBorders>
              <w:bottom w:val="single" w:sz="8" w:color="A7A9AC"/>
            </w:tcBorders>
          </w:tcPr>
          <w:p>
            <w:pPr>
              <w:ind w:left="3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7A9AC"/>
            </w:tcBorders>
          </w:tcPr>
          <w:p>
            <w:pPr>
              <w:jc w:val="right"/>
              <w:ind w:right="199"/>
              <w:spacing w:after="0"/>
              <w:rPr>
                <w:sz w:val="20"/>
                <w:szCs w:val="20"/>
                <w:color w:val="auto"/>
              </w:rPr>
            </w:pPr>
            <w:r>
              <w:rPr>
                <w:rFonts w:ascii="Arial" w:cs="Arial" w:eastAsia="Arial" w:hAnsi="Arial"/>
                <w:sz w:val="16"/>
                <w:szCs w:val="16"/>
                <w:color w:val="auto"/>
              </w:rPr>
              <w:t>10.7</w:t>
            </w:r>
          </w:p>
        </w:tc>
        <w:tc>
          <w:tcPr>
            <w:tcW w:w="580" w:type="dxa"/>
            <w:vAlign w:val="bottom"/>
            <w:tcBorders>
              <w:bottom w:val="single" w:sz="8" w:color="A7A9AC"/>
            </w:tcBorders>
          </w:tcPr>
          <w:p>
            <w:pPr>
              <w:ind w:left="2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9.3</w:t>
            </w:r>
          </w:p>
        </w:tc>
      </w:tr>
      <w:tr>
        <w:trPr>
          <w:trHeight w:val="209"/>
        </w:trPr>
        <w:tc>
          <w:tcPr>
            <w:tcW w:w="844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auto"/>
              </w:rPr>
              <w:t>Audit-related fees</w:t>
            </w:r>
          </w:p>
        </w:tc>
        <w:tc>
          <w:tcPr>
            <w:tcW w:w="640" w:type="dxa"/>
            <w:vAlign w:val="bottom"/>
            <w:tcBorders>
              <w:bottom w:val="single" w:sz="8" w:color="A7A9AC"/>
            </w:tcBorders>
          </w:tcPr>
          <w:p>
            <w:pPr>
              <w:spacing w:after="0"/>
              <w:rPr>
                <w:sz w:val="18"/>
                <w:szCs w:val="18"/>
                <w:color w:val="auto"/>
              </w:rPr>
            </w:pPr>
          </w:p>
        </w:tc>
        <w:tc>
          <w:tcPr>
            <w:tcW w:w="880" w:type="dxa"/>
            <w:vAlign w:val="bottom"/>
            <w:tcBorders>
              <w:bottom w:val="single" w:sz="8" w:color="A7A9AC"/>
            </w:tcBorders>
          </w:tcPr>
          <w:p>
            <w:pPr>
              <w:jc w:val="right"/>
              <w:ind w:right="199"/>
              <w:spacing w:after="0"/>
              <w:rPr>
                <w:sz w:val="20"/>
                <w:szCs w:val="20"/>
                <w:color w:val="auto"/>
              </w:rPr>
            </w:pPr>
            <w:r>
              <w:rPr>
                <w:rFonts w:ascii="Arial" w:cs="Arial" w:eastAsia="Arial" w:hAnsi="Arial"/>
                <w:sz w:val="16"/>
                <w:szCs w:val="16"/>
                <w:color w:val="auto"/>
              </w:rPr>
              <w:t>0.2</w:t>
            </w:r>
          </w:p>
        </w:tc>
        <w:tc>
          <w:tcPr>
            <w:tcW w:w="580" w:type="dxa"/>
            <w:vAlign w:val="bottom"/>
            <w:tcBorders>
              <w:bottom w:val="single" w:sz="8" w:color="A7A9AC"/>
            </w:tcBorders>
          </w:tcPr>
          <w:p>
            <w:pPr>
              <w:spacing w:after="0"/>
              <w:rPr>
                <w:sz w:val="18"/>
                <w:szCs w:val="18"/>
                <w:color w:val="auto"/>
              </w:rPr>
            </w:pPr>
          </w:p>
        </w:tc>
        <w:tc>
          <w:tcPr>
            <w:tcW w:w="70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0.5</w:t>
            </w:r>
          </w:p>
        </w:tc>
      </w:tr>
      <w:tr>
        <w:trPr>
          <w:trHeight w:val="209"/>
        </w:trPr>
        <w:tc>
          <w:tcPr>
            <w:tcW w:w="844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auto"/>
              </w:rPr>
              <w:t>Tax fees</w:t>
            </w:r>
          </w:p>
        </w:tc>
        <w:tc>
          <w:tcPr>
            <w:tcW w:w="640" w:type="dxa"/>
            <w:vAlign w:val="bottom"/>
            <w:tcBorders>
              <w:bottom w:val="single" w:sz="8" w:color="A7A9AC"/>
            </w:tcBorders>
          </w:tcPr>
          <w:p>
            <w:pPr>
              <w:spacing w:after="0"/>
              <w:rPr>
                <w:sz w:val="18"/>
                <w:szCs w:val="18"/>
                <w:color w:val="auto"/>
              </w:rPr>
            </w:pPr>
          </w:p>
        </w:tc>
        <w:tc>
          <w:tcPr>
            <w:tcW w:w="880" w:type="dxa"/>
            <w:vAlign w:val="bottom"/>
            <w:tcBorders>
              <w:bottom w:val="single" w:sz="8" w:color="A7A9AC"/>
            </w:tcBorders>
          </w:tcPr>
          <w:p>
            <w:pPr>
              <w:jc w:val="right"/>
              <w:ind w:right="199"/>
              <w:spacing w:after="0"/>
              <w:rPr>
                <w:sz w:val="20"/>
                <w:szCs w:val="20"/>
                <w:color w:val="auto"/>
              </w:rPr>
            </w:pPr>
            <w:r>
              <w:rPr>
                <w:rFonts w:ascii="Arial" w:cs="Arial" w:eastAsia="Arial" w:hAnsi="Arial"/>
                <w:sz w:val="16"/>
                <w:szCs w:val="16"/>
                <w:color w:val="auto"/>
              </w:rPr>
              <w:t>0.6</w:t>
            </w:r>
          </w:p>
        </w:tc>
        <w:tc>
          <w:tcPr>
            <w:tcW w:w="580" w:type="dxa"/>
            <w:vAlign w:val="bottom"/>
            <w:tcBorders>
              <w:bottom w:val="single" w:sz="8" w:color="A7A9AC"/>
            </w:tcBorders>
          </w:tcPr>
          <w:p>
            <w:pPr>
              <w:spacing w:after="0"/>
              <w:rPr>
                <w:sz w:val="18"/>
                <w:szCs w:val="18"/>
                <w:color w:val="auto"/>
              </w:rPr>
            </w:pPr>
          </w:p>
        </w:tc>
        <w:tc>
          <w:tcPr>
            <w:tcW w:w="70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0.6</w:t>
            </w:r>
          </w:p>
        </w:tc>
      </w:tr>
      <w:tr>
        <w:trPr>
          <w:trHeight w:val="209"/>
        </w:trPr>
        <w:tc>
          <w:tcPr>
            <w:tcW w:w="8440" w:type="dxa"/>
            <w:vAlign w:val="bottom"/>
            <w:tcBorders>
              <w:bottom w:val="single" w:sz="8" w:color="CB233C"/>
            </w:tcBorders>
          </w:tcPr>
          <w:p>
            <w:pPr>
              <w:ind w:left="60"/>
              <w:spacing w:after="0"/>
              <w:rPr>
                <w:sz w:val="20"/>
                <w:szCs w:val="20"/>
                <w:color w:val="auto"/>
              </w:rPr>
            </w:pPr>
            <w:r>
              <w:rPr>
                <w:rFonts w:ascii="Arial" w:cs="Arial" w:eastAsia="Arial" w:hAnsi="Arial"/>
                <w:sz w:val="16"/>
                <w:szCs w:val="16"/>
                <w:color w:val="auto"/>
              </w:rPr>
              <w:t>All other fees</w:t>
            </w:r>
          </w:p>
        </w:tc>
        <w:tc>
          <w:tcPr>
            <w:tcW w:w="640" w:type="dxa"/>
            <w:vAlign w:val="bottom"/>
            <w:tcBorders>
              <w:bottom w:val="single" w:sz="8" w:color="CB233C"/>
            </w:tcBorders>
          </w:tcPr>
          <w:p>
            <w:pPr>
              <w:spacing w:after="0"/>
              <w:rPr>
                <w:sz w:val="18"/>
                <w:szCs w:val="18"/>
                <w:color w:val="auto"/>
              </w:rPr>
            </w:pPr>
          </w:p>
        </w:tc>
        <w:tc>
          <w:tcPr>
            <w:tcW w:w="880" w:type="dxa"/>
            <w:vAlign w:val="bottom"/>
            <w:tcBorders>
              <w:bottom w:val="single" w:sz="8" w:color="CB233C"/>
            </w:tcBorders>
          </w:tcPr>
          <w:p>
            <w:pPr>
              <w:jc w:val="right"/>
              <w:ind w:right="1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B233C"/>
            </w:tcBorders>
          </w:tcPr>
          <w:p>
            <w:pPr>
              <w:spacing w:after="0"/>
              <w:rPr>
                <w:sz w:val="18"/>
                <w:szCs w:val="18"/>
                <w:color w:val="auto"/>
              </w:rPr>
            </w:pPr>
          </w:p>
        </w:tc>
        <w:tc>
          <w:tcPr>
            <w:tcW w:w="70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0.4</w:t>
            </w:r>
          </w:p>
        </w:tc>
      </w:tr>
      <w:tr>
        <w:trPr>
          <w:trHeight w:val="210"/>
        </w:trPr>
        <w:tc>
          <w:tcPr>
            <w:tcW w:w="8440" w:type="dxa"/>
            <w:vAlign w:val="bottom"/>
            <w:tcBorders>
              <w:bottom w:val="single" w:sz="8" w:color="CB233C"/>
            </w:tcBorders>
          </w:tcPr>
          <w:p>
            <w:pPr>
              <w:ind w:left="60"/>
              <w:spacing w:after="0"/>
              <w:rPr>
                <w:sz w:val="20"/>
                <w:szCs w:val="20"/>
                <w:color w:val="auto"/>
              </w:rPr>
            </w:pPr>
            <w:r>
              <w:rPr>
                <w:rFonts w:ascii="Arial" w:cs="Arial" w:eastAsia="Arial" w:hAnsi="Arial"/>
                <w:sz w:val="16"/>
                <w:szCs w:val="16"/>
                <w:b w:val="1"/>
                <w:bCs w:val="1"/>
                <w:color w:val="CB233C"/>
              </w:rPr>
              <w:t>TOTAL</w:t>
            </w:r>
          </w:p>
        </w:tc>
        <w:tc>
          <w:tcPr>
            <w:tcW w:w="640" w:type="dxa"/>
            <w:vAlign w:val="bottom"/>
            <w:tcBorders>
              <w:bottom w:val="single" w:sz="8" w:color="CB233C"/>
            </w:tcBorders>
          </w:tcPr>
          <w:p>
            <w:pPr>
              <w:ind w:left="320"/>
              <w:spacing w:after="0"/>
              <w:rPr>
                <w:sz w:val="20"/>
                <w:szCs w:val="20"/>
                <w:color w:val="auto"/>
              </w:rPr>
            </w:pPr>
            <w:r>
              <w:rPr>
                <w:rFonts w:ascii="Arial" w:cs="Arial" w:eastAsia="Arial" w:hAnsi="Arial"/>
                <w:sz w:val="16"/>
                <w:szCs w:val="16"/>
                <w:b w:val="1"/>
                <w:bCs w:val="1"/>
                <w:color w:val="CB233C"/>
              </w:rPr>
              <w:t>$</w:t>
            </w:r>
          </w:p>
        </w:tc>
        <w:tc>
          <w:tcPr>
            <w:tcW w:w="880" w:type="dxa"/>
            <w:vAlign w:val="bottom"/>
            <w:tcBorders>
              <w:bottom w:val="single" w:sz="8" w:color="CB233C"/>
            </w:tcBorders>
          </w:tcPr>
          <w:p>
            <w:pPr>
              <w:jc w:val="right"/>
              <w:ind w:right="199"/>
              <w:spacing w:after="0"/>
              <w:rPr>
                <w:sz w:val="20"/>
                <w:szCs w:val="20"/>
                <w:color w:val="auto"/>
              </w:rPr>
            </w:pPr>
            <w:r>
              <w:rPr>
                <w:rFonts w:ascii="Arial" w:cs="Arial" w:eastAsia="Arial" w:hAnsi="Arial"/>
                <w:sz w:val="16"/>
                <w:szCs w:val="16"/>
                <w:b w:val="1"/>
                <w:bCs w:val="1"/>
                <w:color w:val="CB233C"/>
              </w:rPr>
              <w:t>11.5</w:t>
            </w:r>
          </w:p>
        </w:tc>
        <w:tc>
          <w:tcPr>
            <w:tcW w:w="580" w:type="dxa"/>
            <w:vAlign w:val="bottom"/>
            <w:tcBorders>
              <w:bottom w:val="single" w:sz="8" w:color="CB233C"/>
            </w:tcBorders>
          </w:tcPr>
          <w:p>
            <w:pPr>
              <w:ind w:left="260"/>
              <w:spacing w:after="0"/>
              <w:rPr>
                <w:sz w:val="20"/>
                <w:szCs w:val="20"/>
                <w:color w:val="auto"/>
              </w:rPr>
            </w:pPr>
            <w:r>
              <w:rPr>
                <w:rFonts w:ascii="Arial" w:cs="Arial" w:eastAsia="Arial" w:hAnsi="Arial"/>
                <w:sz w:val="16"/>
                <w:szCs w:val="16"/>
                <w:b w:val="1"/>
                <w:bCs w:val="1"/>
                <w:color w:val="CB233C"/>
              </w:rPr>
              <w:t>$</w:t>
            </w:r>
          </w:p>
        </w:tc>
        <w:tc>
          <w:tcPr>
            <w:tcW w:w="70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CB233C"/>
              </w:rPr>
              <w:t>10.8</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Fees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Audit fees represent the aggregate fees for professional services rendered by KPMG for the integrated audit of our annual financial statements for the fiscal years ended December 31, 2020, and December 31, 2021. Audit fees also include the audits of many of our subsidiaries in regards to compliance with statutory requirements in foreign countries and reviews of our financial statements included in the Forms 10-Q we filed during fiscal years 2020 and 2021.</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Audit-Related Fees</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Audit-related fees were incurred for assurance and related services that are traditionally performed by the independent public accountants. These services primarily include attestation engagements required by contractual or regulatory provisions.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Tax Fees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aggregate fees for tax services primarily consisted of international tax compliance and tax return services related to our expatriate employees. In 2020, tax compliance and preparation fees total $0.2 million and tax advisory fees total $0.4 million, and in 2021, tax compliance and preparation fees total $0.2 million and tax advisory fees total $0.4 million.</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All Other Fees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All other fees are comprised of professional services rendered by KPMG related to nonrecurring miscellaneous services.</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Fee Approval Policies and Procedures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Audit Committee has established a written policy that requires the approval by the Audit Committee of all services provided by KPMG as the principal independent public accountants that examine our financial statements and books and records and of all audit services provided by other independent public accountants. Prior to engaging KPMG for the annual audit, the Audit Committee reviews a Principal Independent Public Accountants Auditor Services Plan. KPMG then performs services throughout the year as approved by the Committee. KPMG reviews with the Committee, at least quarterly, a projection of KPMG’s fees for the year. Periodically, the Audit Committee approves revisions to the plan if the Committee determines changes are warranted. Our Audit Committee also considered whether KPMG’s provision of tax services as reported above were compatible with maintaining KPMG’s independence as our principal independent public accountants. All of the fees described above for services provided by KPMG were approved in accordance with the policy.</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886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CB233C"/>
        </w:rPr>
        <w:t xml:space="preserve">Proposal No. 3 </w:t>
      </w:r>
      <w:r>
        <w:rPr>
          <w:rFonts w:ascii="Arial" w:cs="Arial" w:eastAsia="Arial" w:hAnsi="Arial"/>
          <w:sz w:val="47"/>
          <w:szCs w:val="47"/>
          <w:b w:val="1"/>
          <w:bCs w:val="1"/>
          <w:color w:val="000000"/>
        </w:rPr>
        <w:t>Advisory Approval of Executive</w:t>
      </w:r>
    </w:p>
    <w:p>
      <w:pPr>
        <w:spacing w:after="0" w:line="34" w:lineRule="exact"/>
        <w:rPr>
          <w:sz w:val="20"/>
          <w:szCs w:val="20"/>
          <w:color w:val="auto"/>
        </w:rPr>
      </w:pPr>
    </w:p>
    <w:p>
      <w:pPr>
        <w:spacing w:after="0"/>
        <w:rPr>
          <w:sz w:val="20"/>
          <w:szCs w:val="20"/>
          <w:color w:val="auto"/>
        </w:rPr>
      </w:pPr>
      <w:r>
        <w:rPr>
          <w:rFonts w:ascii="Arial" w:cs="Arial" w:eastAsia="Arial" w:hAnsi="Arial"/>
          <w:sz w:val="47"/>
          <w:szCs w:val="47"/>
          <w:b w:val="1"/>
          <w:bCs w:val="1"/>
          <w:color w:val="auto"/>
        </w:rPr>
        <w:t>Compensation</w:t>
      </w:r>
    </w:p>
    <w:p>
      <w:pPr>
        <w:spacing w:after="0" w:line="39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Pursuant to Section 14A of the Securities Exchange Act of 1934, our shareholders are being presented with the opportunity to vote to approve, on an advisory basis, the compensation of our Named Executive Officers (NEOs) as disclosed in this proxy statement. As reaffirmed by our shareholders at the 2017 Annual Meeting of Shareholders, consistent with our Board’s recommendation, we are submitting this proposal for a non-binding vote on an annual basis.</w:t>
      </w:r>
    </w:p>
    <w:p>
      <w:pPr>
        <w:spacing w:after="0" w:line="34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described in detail under Compensation Discussion and Analysis, our executive compensation program is designed to attract, motivate, and retain our NEOs, who are critical to our success. Under the program, our NEOs are rewarded for the achievement of specific annual, long-term, and strategic goals, corporate goals, and the realization of increased shareholder returns. Please read Compensation Discussion and Analysis for additional details about our executive compensation program, including information about the fiscal year 2021 compensation of our NEOs and our Board’s ongoing commitment to ensure that our program aligns with our long-term strategy and shareholder value creation.</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Compensation Committee continually reviews the compensation program for our NEOs to ensure the program achieves the desired goals of aligning our executive compensation structure with our shareholders’ interests and current market practices. We believe our executive compensation program achieves the following objectives identified under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1061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106170"/>
                    </a:xfrm>
                    <a:prstGeom prst="rect">
                      <a:avLst/>
                    </a:prstGeom>
                    <a:noFill/>
                  </pic:spPr>
                </pic:pic>
              </a:graphicData>
            </a:graphic>
          </wp:anchor>
        </w:drawing>
      </w:r>
    </w:p>
    <w:p>
      <w:pPr>
        <w:spacing w:after="0" w:line="205" w:lineRule="exact"/>
        <w:rPr>
          <w:sz w:val="20"/>
          <w:szCs w:val="20"/>
          <w:color w:val="auto"/>
        </w:rPr>
      </w:pPr>
    </w:p>
    <w:p>
      <w:pPr>
        <w:ind w:left="240" w:hanging="142"/>
        <w:spacing w:after="0"/>
        <w:tabs>
          <w:tab w:leader="none" w:pos="240" w:val="left"/>
        </w:tabs>
        <w:numPr>
          <w:ilvl w:val="0"/>
          <w:numId w:val="35"/>
        </w:numPr>
        <w:rPr>
          <w:rFonts w:ascii="Arial" w:cs="Arial" w:eastAsia="Arial" w:hAnsi="Arial"/>
          <w:sz w:val="16"/>
          <w:szCs w:val="16"/>
          <w:color w:val="CB233C"/>
        </w:rPr>
      </w:pPr>
      <w:r>
        <w:rPr>
          <w:rFonts w:ascii="Arial" w:cs="Arial" w:eastAsia="Arial" w:hAnsi="Arial"/>
          <w:sz w:val="16"/>
          <w:szCs w:val="16"/>
          <w:color w:val="auto"/>
        </w:rPr>
        <w:t>Provide a clear and direct relationship between executive pay and our performance on both a short-term and long-term basis;</w:t>
      </w:r>
    </w:p>
    <w:p>
      <w:pPr>
        <w:spacing w:after="0" w:line="99" w:lineRule="exact"/>
        <w:rPr>
          <w:rFonts w:ascii="Arial" w:cs="Arial" w:eastAsia="Arial" w:hAnsi="Arial"/>
          <w:sz w:val="16"/>
          <w:szCs w:val="16"/>
          <w:color w:val="CB233C"/>
        </w:rPr>
      </w:pPr>
    </w:p>
    <w:p>
      <w:pPr>
        <w:ind w:left="240" w:hanging="142"/>
        <w:spacing w:after="0"/>
        <w:tabs>
          <w:tab w:leader="none" w:pos="240" w:val="left"/>
        </w:tabs>
        <w:numPr>
          <w:ilvl w:val="0"/>
          <w:numId w:val="35"/>
        </w:numPr>
        <w:rPr>
          <w:rFonts w:ascii="Arial" w:cs="Arial" w:eastAsia="Arial" w:hAnsi="Arial"/>
          <w:sz w:val="16"/>
          <w:szCs w:val="16"/>
          <w:color w:val="CB233C"/>
        </w:rPr>
      </w:pPr>
      <w:r>
        <w:rPr>
          <w:rFonts w:ascii="Arial" w:cs="Arial" w:eastAsia="Arial" w:hAnsi="Arial"/>
          <w:sz w:val="16"/>
          <w:szCs w:val="16"/>
          <w:color w:val="auto"/>
        </w:rPr>
        <w:t>Target market competitive pay levels with a comparator peer group;</w:t>
      </w:r>
    </w:p>
    <w:p>
      <w:pPr>
        <w:spacing w:after="0" w:line="99" w:lineRule="exact"/>
        <w:rPr>
          <w:rFonts w:ascii="Arial" w:cs="Arial" w:eastAsia="Arial" w:hAnsi="Arial"/>
          <w:sz w:val="16"/>
          <w:szCs w:val="16"/>
          <w:color w:val="CB233C"/>
        </w:rPr>
      </w:pPr>
    </w:p>
    <w:p>
      <w:pPr>
        <w:ind w:left="240" w:hanging="142"/>
        <w:spacing w:after="0"/>
        <w:tabs>
          <w:tab w:leader="none" w:pos="240" w:val="left"/>
        </w:tabs>
        <w:numPr>
          <w:ilvl w:val="0"/>
          <w:numId w:val="35"/>
        </w:numPr>
        <w:rPr>
          <w:rFonts w:ascii="Arial" w:cs="Arial" w:eastAsia="Arial" w:hAnsi="Arial"/>
          <w:sz w:val="16"/>
          <w:szCs w:val="16"/>
          <w:color w:val="CB233C"/>
        </w:rPr>
      </w:pPr>
      <w:r>
        <w:rPr>
          <w:rFonts w:ascii="Arial" w:cs="Arial" w:eastAsia="Arial" w:hAnsi="Arial"/>
          <w:sz w:val="16"/>
          <w:szCs w:val="16"/>
          <w:color w:val="auto"/>
        </w:rPr>
        <w:t>Emphasize operating performance drivers;</w:t>
      </w:r>
    </w:p>
    <w:p>
      <w:pPr>
        <w:spacing w:after="0" w:line="86" w:lineRule="exact"/>
        <w:rPr>
          <w:rFonts w:ascii="Arial" w:cs="Arial" w:eastAsia="Arial" w:hAnsi="Arial"/>
          <w:sz w:val="16"/>
          <w:szCs w:val="16"/>
          <w:color w:val="CB233C"/>
        </w:rPr>
      </w:pPr>
    </w:p>
    <w:p>
      <w:pPr>
        <w:ind w:left="240" w:hanging="142"/>
        <w:spacing w:after="0"/>
        <w:tabs>
          <w:tab w:leader="none" w:pos="240" w:val="left"/>
        </w:tabs>
        <w:numPr>
          <w:ilvl w:val="0"/>
          <w:numId w:val="35"/>
        </w:numPr>
        <w:rPr>
          <w:rFonts w:ascii="Arial" w:cs="Arial" w:eastAsia="Arial" w:hAnsi="Arial"/>
          <w:sz w:val="16"/>
          <w:szCs w:val="16"/>
          <w:color w:val="CB233C"/>
        </w:rPr>
      </w:pPr>
      <w:r>
        <w:rPr>
          <w:rFonts w:ascii="Arial" w:cs="Arial" w:eastAsia="Arial" w:hAnsi="Arial"/>
          <w:sz w:val="16"/>
          <w:szCs w:val="16"/>
          <w:color w:val="auto"/>
        </w:rPr>
        <w:t>Link executive pay to measures that drive shareholder returns;</w:t>
      </w:r>
    </w:p>
    <w:p>
      <w:pPr>
        <w:spacing w:after="0" w:line="99" w:lineRule="exact"/>
        <w:rPr>
          <w:rFonts w:ascii="Arial" w:cs="Arial" w:eastAsia="Arial" w:hAnsi="Arial"/>
          <w:sz w:val="16"/>
          <w:szCs w:val="16"/>
          <w:color w:val="CB233C"/>
        </w:rPr>
      </w:pPr>
    </w:p>
    <w:p>
      <w:pPr>
        <w:ind w:left="240" w:hanging="142"/>
        <w:spacing w:after="0"/>
        <w:tabs>
          <w:tab w:leader="none" w:pos="240" w:val="left"/>
        </w:tabs>
        <w:numPr>
          <w:ilvl w:val="0"/>
          <w:numId w:val="35"/>
        </w:numPr>
        <w:rPr>
          <w:rFonts w:ascii="Arial" w:cs="Arial" w:eastAsia="Arial" w:hAnsi="Arial"/>
          <w:sz w:val="16"/>
          <w:szCs w:val="16"/>
          <w:color w:val="CB233C"/>
        </w:rPr>
      </w:pPr>
      <w:r>
        <w:rPr>
          <w:rFonts w:ascii="Arial" w:cs="Arial" w:eastAsia="Arial" w:hAnsi="Arial"/>
          <w:sz w:val="16"/>
          <w:szCs w:val="16"/>
          <w:color w:val="auto"/>
        </w:rPr>
        <w:t>Support our business strategies; and</w:t>
      </w:r>
    </w:p>
    <w:p>
      <w:pPr>
        <w:spacing w:after="0" w:line="99" w:lineRule="exact"/>
        <w:rPr>
          <w:rFonts w:ascii="Arial" w:cs="Arial" w:eastAsia="Arial" w:hAnsi="Arial"/>
          <w:sz w:val="16"/>
          <w:szCs w:val="16"/>
          <w:color w:val="CB233C"/>
        </w:rPr>
      </w:pPr>
    </w:p>
    <w:p>
      <w:pPr>
        <w:ind w:left="240" w:hanging="142"/>
        <w:spacing w:after="0"/>
        <w:tabs>
          <w:tab w:leader="none" w:pos="240" w:val="left"/>
        </w:tabs>
        <w:numPr>
          <w:ilvl w:val="0"/>
          <w:numId w:val="35"/>
        </w:numPr>
        <w:rPr>
          <w:rFonts w:ascii="Arial" w:cs="Arial" w:eastAsia="Arial" w:hAnsi="Arial"/>
          <w:sz w:val="16"/>
          <w:szCs w:val="16"/>
          <w:color w:val="CB233C"/>
        </w:rPr>
      </w:pPr>
      <w:r>
        <w:rPr>
          <w:rFonts w:ascii="Arial" w:cs="Arial" w:eastAsia="Arial" w:hAnsi="Arial"/>
          <w:sz w:val="16"/>
          <w:szCs w:val="16"/>
          <w:color w:val="auto"/>
        </w:rPr>
        <w:t>Maximize the return on our human resource investment.</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are asking our shareholders to indicate their support for our NEOs’ compensation as described in this proxy statement and vote “FOR” the following resolution at the Annual Meeting: “RESOLVED, that the compensation paid to Halliburton’s Named Executive Officers, as disclosed in this proxy statement pursuant to Item 402 of Regulation S-K, including the Compensation Discussion and Analysis, compensation tables, and narrative discussion, is hereby approved.”</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Board and our Compensation Committee value the opinions of our shareholders. The say-on-pay vote is advisory and, therefore, not binding on us, our Board, or our Compensation Committee. However, the Compensation Committee considers shareholder feedback in its ongoing review of our executive compensation program.</w:t>
      </w:r>
    </w:p>
    <w:p>
      <w:pPr>
        <w:spacing w:after="0" w:line="144" w:lineRule="exact"/>
        <w:rPr>
          <w:sz w:val="20"/>
          <w:szCs w:val="20"/>
          <w:color w:val="auto"/>
        </w:rPr>
      </w:pPr>
    </w:p>
    <w:p>
      <w:pPr>
        <w:ind w:left="340" w:right="460"/>
        <w:spacing w:after="0" w:line="286" w:lineRule="auto"/>
        <w:rPr>
          <w:sz w:val="20"/>
          <w:szCs w:val="20"/>
          <w:color w:val="auto"/>
        </w:rPr>
      </w:pPr>
      <w:r>
        <w:rPr>
          <w:rFonts w:ascii="Arial" w:cs="Arial" w:eastAsia="Arial" w:hAnsi="Arial"/>
          <w:sz w:val="16"/>
          <w:szCs w:val="16"/>
          <w:color w:val="auto"/>
        </w:rPr>
        <w:t xml:space="preserve">THE BOARD OF DIRECTORS RECOMMENDS A </w:t>
      </w:r>
      <w:r>
        <w:rPr>
          <w:rFonts w:ascii="Arial" w:cs="Arial" w:eastAsia="Arial" w:hAnsi="Arial"/>
          <w:sz w:val="16"/>
          <w:szCs w:val="16"/>
          <w:b w:val="1"/>
          <w:bCs w:val="1"/>
          <w:color w:val="CB233C"/>
        </w:rPr>
        <w:t>VOTE FOR</w:t>
      </w:r>
      <w:r>
        <w:rPr>
          <w:rFonts w:ascii="Arial" w:cs="Arial" w:eastAsia="Arial" w:hAnsi="Arial"/>
          <w:sz w:val="16"/>
          <w:szCs w:val="16"/>
          <w:color w:val="auto"/>
        </w:rPr>
        <w:t xml:space="preserve"> THE APPROVAL, ON AN ADVISORY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17145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47"/>
          <w:szCs w:val="47"/>
          <w:b w:val="1"/>
          <w:bCs w:val="1"/>
          <w:color w:val="CB233C"/>
        </w:rPr>
        <w:t xml:space="preserve">Compensation Committee </w:t>
      </w:r>
      <w:r>
        <w:rPr>
          <w:rFonts w:ascii="Arial" w:cs="Arial" w:eastAsia="Arial" w:hAnsi="Arial"/>
          <w:sz w:val="47"/>
          <w:szCs w:val="47"/>
          <w:b w:val="1"/>
          <w:bCs w:val="1"/>
          <w:color w:val="000000"/>
        </w:rPr>
        <w:t>Report</w:t>
      </w:r>
    </w:p>
    <w:p>
      <w:pPr>
        <w:spacing w:after="0" w:line="3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reviewed and discussed the Compensation Discussion and Analysis with Company management and, based on such review and discussion, we recommended to the Board that the Compensation Discussion and Analysis be included in this proxy statement.</w:t>
      </w:r>
    </w:p>
    <w:p>
      <w:pPr>
        <w:spacing w:after="0" w:line="129"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THE COMPENSATION COMMITTEE</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William E. Albrecht</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Milton Carroll</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Murry S. Gerber</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Patricia Hemingway Hall</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Robert A. Malone</w:t>
      </w:r>
    </w:p>
    <w:p>
      <w:pPr>
        <w:spacing w:after="0" w:line="178" w:lineRule="exact"/>
        <w:rPr>
          <w:sz w:val="20"/>
          <w:szCs w:val="20"/>
          <w:color w:val="auto"/>
        </w:r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CB233C"/>
        </w:rPr>
        <w:t xml:space="preserve">Compensation Discussion </w:t>
      </w:r>
      <w:r>
        <w:rPr>
          <w:rFonts w:ascii="Arial" w:cs="Arial" w:eastAsia="Arial" w:hAnsi="Arial"/>
          <w:sz w:val="47"/>
          <w:szCs w:val="47"/>
          <w:b w:val="1"/>
          <w:bCs w:val="1"/>
          <w:color w:val="000000"/>
        </w:rPr>
        <w:t>and Analysis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To Our Valued Shareholders:</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CB233C"/>
        </w:rPr>
        <w:t>April 5, 2022</w:t>
      </w:r>
    </w:p>
    <w:p>
      <w:pPr>
        <w:spacing w:after="0" w:line="181" w:lineRule="exact"/>
        <w:rPr>
          <w:sz w:val="20"/>
          <w:szCs w:val="20"/>
          <w:color w:val="auto"/>
        </w:rPr>
      </w:pPr>
    </w:p>
    <w:p>
      <w:pPr>
        <w:ind w:right="60"/>
        <w:spacing w:after="0" w:line="243" w:lineRule="auto"/>
        <w:rPr>
          <w:sz w:val="20"/>
          <w:szCs w:val="20"/>
          <w:color w:val="auto"/>
        </w:rPr>
      </w:pPr>
      <w:r>
        <w:rPr>
          <w:rFonts w:ascii="Arial" w:cs="Arial" w:eastAsia="Arial" w:hAnsi="Arial"/>
          <w:sz w:val="22"/>
          <w:szCs w:val="22"/>
          <w:b w:val="1"/>
          <w:bCs w:val="1"/>
          <w:i w:val="1"/>
          <w:iCs w:val="1"/>
          <w:color w:val="CB233C"/>
        </w:rPr>
        <w:t>“</w:t>
      </w:r>
      <w:r>
        <w:rPr>
          <w:rFonts w:ascii="Arial" w:cs="Arial" w:eastAsia="Arial" w:hAnsi="Arial"/>
          <w:sz w:val="22"/>
          <w:szCs w:val="22"/>
          <w:b w:val="1"/>
          <w:bCs w:val="1"/>
          <w:i w:val="1"/>
          <w:iCs w:val="1"/>
          <w:color w:val="8B8C8F"/>
        </w:rPr>
        <w:t>Our executive compensation program has evolved dramatically over the last few years. With your feedback,</w:t>
      </w:r>
      <w:r>
        <w:rPr>
          <w:rFonts w:ascii="Arial" w:cs="Arial" w:eastAsia="Arial" w:hAnsi="Arial"/>
          <w:sz w:val="22"/>
          <w:szCs w:val="22"/>
          <w:b w:val="1"/>
          <w:bCs w:val="1"/>
          <w:i w:val="1"/>
          <w:iCs w:val="1"/>
          <w:color w:val="CB233C"/>
        </w:rPr>
        <w:t xml:space="preserve"> </w:t>
      </w:r>
      <w:r>
        <w:rPr>
          <w:rFonts w:ascii="Arial" w:cs="Arial" w:eastAsia="Arial" w:hAnsi="Arial"/>
          <w:sz w:val="22"/>
          <w:szCs w:val="22"/>
          <w:b w:val="1"/>
          <w:bCs w:val="1"/>
          <w:i w:val="1"/>
          <w:iCs w:val="1"/>
          <w:color w:val="8B8C8F"/>
        </w:rPr>
        <w:t>we have built a solid and responsible compensation platform to support a stable, high-performing executive leadership team committed to creating long-term shareholder value and driving sustainable, safe, and reliable energy solutions through any market conditions.</w:t>
      </w:r>
      <w:r>
        <w:rPr>
          <w:rFonts w:ascii="Arial" w:cs="Arial" w:eastAsia="Arial" w:hAnsi="Arial"/>
          <w:sz w:val="22"/>
          <w:szCs w:val="22"/>
          <w:b w:val="1"/>
          <w:bCs w:val="1"/>
          <w:i w:val="1"/>
          <w:iCs w:val="1"/>
          <w:color w:val="CB233C"/>
        </w:rPr>
        <w:t>”</w:t>
      </w:r>
    </w:p>
    <w:p>
      <w:pPr>
        <w:spacing w:after="0" w:line="149" w:lineRule="exact"/>
        <w:rPr>
          <w:sz w:val="20"/>
          <w:szCs w:val="20"/>
          <w:color w:val="auto"/>
        </w:rPr>
      </w:pPr>
    </w:p>
    <w:p>
      <w:pPr>
        <w:ind w:left="10020"/>
        <w:spacing w:after="0"/>
        <w:rPr>
          <w:sz w:val="20"/>
          <w:szCs w:val="20"/>
          <w:color w:val="auto"/>
        </w:rPr>
      </w:pPr>
      <w:r>
        <w:rPr>
          <w:rFonts w:ascii="Arial" w:cs="Arial" w:eastAsia="Arial" w:hAnsi="Arial"/>
          <w:sz w:val="16"/>
          <w:szCs w:val="16"/>
          <w:b w:val="1"/>
          <w:bCs w:val="1"/>
          <w:color w:val="CB233C"/>
        </w:rPr>
        <w:t>Murry S. Gerber</w:t>
      </w:r>
    </w:p>
    <w:p>
      <w:pPr>
        <w:spacing w:after="0" w:line="21"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Chair of the Compensation Committee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At Halliburton, we listen and respond. It is the Board’s priority to ensure that we hear your concerns, answer your questions, and respond to your feedback on all aspects of our business. This includes our executive compensation program, which has been a key area of focus for the last several years.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primary goal as a Compensation Committee is simple: to put forth a strongly supported executive compensation program that aligns the interests of our shareholders and executives and that’s well understood. In recent years, the valuable feedback we’ve received from you, as well as from the proxy advisory firms and independent consultants, has resulted in substantial changes and meaningful progress toward this goal. But after last year’s say-on-pay advisory vote result, and what we learned from a year of intense shareholder outreach and engagement efforts (described in detail on page 32), we know we can do better.</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2021, we initiated a heightened, Board-driven shareholder outreach and engagement campaign. Through this intensified effort, we learned that most of our largest shareholders understand the methodology behind our program and strongly support the changes implemented in 2019 and 2020. We welcomed suggestions for increased emphasis on ESG-related metrics and additional progress on our communications. But this two-year transition period still left some with questions and confusion around the shift in our performance award structure and the presentation in the Summary Compensation Table. To help clarify this complicated issue, we spent significant time on this topic in our investor presentation materials and during our face-to-face video conferences, especially since we are faced with this issue for one more year as described in this proxy statement.</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proxy statement has been updated with the aim to clearly and accurately describe our program so that all our investors can cast their say-on-pay advisory votes based on an informed analysis. We also want you to have a complete view of how your feedback has influenced — and driven — the design of our program over the years, including two key changes we’ve approved for 2022: implementing ESG metrics in our Annual Performance Pay Plan and aligning the timing of restricted stock and performance unit grants for long-term incentives. On pages 33-34, Murry S. Gerber, the Chair of our Compensation Committee, addresses recent questions we’ve received from our shareholders to provide additional clarity around the rationale for our approach to executive pay. And, on pages 35-36, we offer a closer look at CEO pay and share key content from the investor presentation materials we used during our 2021 engagement campaign to address the complexities in our Summary Compensation Table.</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appreciate the care you will take in reading this year’s Compensation Discussion and Analysis (CD&amp;A). We are confident it will demonstrate that our program is designed to align the interests of our executives with our long-term shareholders, is dutifully governed, and well-positioned to continue to attract, engage, and retain the high-caliber leadership talent needed to lead Halliburton through today’s demands for energy and well into the future.</w:t>
      </w:r>
    </w:p>
    <w:p>
      <w:pPr>
        <w:spacing w:after="0" w:line="144" w:lineRule="exact"/>
        <w:rPr>
          <w:sz w:val="20"/>
          <w:szCs w:val="20"/>
          <w:color w:val="auto"/>
        </w:rPr>
      </w:pPr>
    </w:p>
    <w:p>
      <w:pPr>
        <w:ind w:left="10540"/>
        <w:spacing w:after="0"/>
        <w:rPr>
          <w:sz w:val="20"/>
          <w:szCs w:val="20"/>
          <w:color w:val="auto"/>
        </w:rPr>
      </w:pPr>
      <w:r>
        <w:rPr>
          <w:rFonts w:ascii="Arial" w:cs="Arial" w:eastAsia="Arial" w:hAnsi="Arial"/>
          <w:sz w:val="15"/>
          <w:szCs w:val="15"/>
          <w:color w:val="auto"/>
        </w:rPr>
        <w:t>Sincerely,</w:t>
      </w:r>
    </w:p>
    <w:p>
      <w:pPr>
        <w:spacing w:after="0" w:line="20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The Compensation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5306060" cy="2571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306060" cy="25717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CB233C"/>
        </w:rPr>
        <w:t>William E. Albrecht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891540" cy="11144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91540" cy="1114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CB233C"/>
        </w:rPr>
        <w:t>Milton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891540" cy="11144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91540" cy="1114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CB233C"/>
        </w:rPr>
        <w:t>Murry S.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891540" cy="11144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91540" cy="1114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CB233C"/>
        </w:rPr>
        <w:t>Patricia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CB233C"/>
        </w:rPr>
        <w:t>Hemingway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891540" cy="11144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91540" cy="1114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060"/>
        <w:spacing w:after="0"/>
        <w:rPr>
          <w:sz w:val="20"/>
          <w:szCs w:val="20"/>
          <w:color w:val="auto"/>
        </w:rPr>
      </w:pPr>
      <w:r>
        <w:rPr>
          <w:rFonts w:ascii="Arial" w:cs="Arial" w:eastAsia="Arial" w:hAnsi="Arial"/>
          <w:sz w:val="16"/>
          <w:szCs w:val="16"/>
          <w:b w:val="1"/>
          <w:bCs w:val="1"/>
          <w:color w:val="CB233C"/>
        </w:rPr>
        <w:t>Robert A. Malone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874395" cy="11144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74395" cy="111442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5">
            <w:col w:w="1700" w:space="720"/>
            <w:col w:w="1400" w:space="720"/>
            <w:col w:w="1380" w:space="720"/>
            <w:col w:w="1500" w:space="720"/>
            <w:col w:w="238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800"/>
        <w:spacing w:after="0"/>
        <w:tabs>
          <w:tab w:leader="none" w:pos="1104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886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36" w:name="page37"/>
    <w:bookmarkEnd w:id="3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Enhancing Our Shareholder Outreach and Board Activity</w:t>
      </w:r>
    </w:p>
    <w:p>
      <w:pPr>
        <w:spacing w:after="0" w:line="337"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Halliburton prioritizes open communications with its shareholders. Our ongoing, open dialogue helps ensure that the Board and management have a regular pulse on investors’ views and also provides valuable feedback on how we can continue to improve.</w:t>
      </w:r>
    </w:p>
    <w:p>
      <w:pPr>
        <w:spacing w:after="0" w:line="129"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After the 2021 Annual Meeting, the Board recognized the need to take its shareholder engagement activity to a new level. We actively engaged with the majority of Halliburton’s shareholders, including many that hadn’t been reached in the past. They were invited to join the Chair of the Compensation Committee or our Lead Independent Director, and members of senior management, in face-to-face video conferences. Prior to each conference, we provided materials highlighting the latest information on our executive compensation program; Board oversight and governance; health, safety and the environment; diversity, equity and inclusion; and our approach to energy transition with Halliburton Labs. We also shared these materials with the shareholders that declined our invitation to meet with us. By the end of 2021, we communicated with shareholders collectively representing approximately 60% of our outstanding shares and had video call engagements with shareholders representing about 40% of our shares. These efforts were in addition to the 13 sell-side investor conferences, 3 roadshows, and about 300 investor meetings that are all part of our regular shareholder outreach cadence.</w:t>
      </w:r>
    </w:p>
    <w:p>
      <w:pPr>
        <w:spacing w:after="0" w:line="15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At the same time, the Board initiated an extensive internal review of the executive compensation program, with support from its independent compensation consultant, to determine if further program adjustments were needed. With the significant changes made in 2019 and 2020, along with validation of these changes from wide-ranging shareholder dialogues, the Compensation Committee determined that the overall structure of the redesigned program is sound, responsible, and fairly aligns the interests of both our shareholders and executives. However, there was opportunity for improvements, including aligning the timing of restricted stock and performance unit grants for long-term incentives and adding ESG-related metrics in measuring annual performance, both of which have been implemented for 2022. Moreover, we recognized the need to better describe the key components of our program, the changes we have made, and how these changes are reflected in the Summary Compensation Table.</w:t>
      </w:r>
    </w:p>
    <w:p>
      <w:pPr>
        <w:spacing w:after="0" w:line="154"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Below is a summary of what we’ve heard from shareholders as part of our engagement activities over the last few years, and the actions we’ve taken regarding NEO compensation, as we considered and addressed the feedback.</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Shareholders were seeking:</w:t>
      </w:r>
    </w:p>
    <w:p>
      <w:pPr>
        <w:spacing w:after="0" w:line="192"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6"/>
          <w:szCs w:val="16"/>
          <w:color w:val="CB233C"/>
        </w:rPr>
      </w:pPr>
      <w:r>
        <w:rPr>
          <w:rFonts w:ascii="Arial" w:cs="Arial" w:eastAsia="Arial" w:hAnsi="Arial"/>
          <w:sz w:val="16"/>
          <w:szCs w:val="16"/>
          <w:color w:val="auto"/>
        </w:rPr>
        <w:t>Increased emphasis on free cash flow and capital discipline</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36"/>
        </w:numPr>
        <w:rPr>
          <w:rFonts w:ascii="Arial" w:cs="Arial" w:eastAsia="Arial" w:hAnsi="Arial"/>
          <w:sz w:val="16"/>
          <w:szCs w:val="16"/>
          <w:color w:val="CB233C"/>
        </w:rPr>
      </w:pPr>
      <w:r>
        <w:rPr>
          <w:rFonts w:ascii="Arial" w:cs="Arial" w:eastAsia="Arial" w:hAnsi="Arial"/>
          <w:sz w:val="16"/>
          <w:szCs w:val="16"/>
          <w:color w:val="auto"/>
        </w:rPr>
        <w:t>Additional long-term performance component directly linked to stock price</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36"/>
        </w:numPr>
        <w:rPr>
          <w:rFonts w:ascii="Arial" w:cs="Arial" w:eastAsia="Arial" w:hAnsi="Arial"/>
          <w:sz w:val="16"/>
          <w:szCs w:val="16"/>
          <w:color w:val="CB233C"/>
        </w:rPr>
      </w:pPr>
      <w:r>
        <w:rPr>
          <w:rFonts w:ascii="Arial" w:cs="Arial" w:eastAsia="Arial" w:hAnsi="Arial"/>
          <w:sz w:val="16"/>
          <w:szCs w:val="16"/>
          <w:color w:val="auto"/>
        </w:rPr>
        <w:t>More emphasis on performance-based long-term incentives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36"/>
        </w:numPr>
        <w:rPr>
          <w:rFonts w:ascii="Arial" w:cs="Arial" w:eastAsia="Arial" w:hAnsi="Arial"/>
          <w:sz w:val="16"/>
          <w:szCs w:val="16"/>
          <w:color w:val="CB233C"/>
        </w:rPr>
      </w:pPr>
      <w:r>
        <w:rPr>
          <w:rFonts w:ascii="Arial" w:cs="Arial" w:eastAsia="Arial" w:hAnsi="Arial"/>
          <w:sz w:val="16"/>
          <w:szCs w:val="16"/>
          <w:color w:val="auto"/>
        </w:rPr>
        <w:t>A balance between cash and equity for PUP awards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36"/>
        </w:numPr>
        <w:rPr>
          <w:rFonts w:ascii="Arial" w:cs="Arial" w:eastAsia="Arial" w:hAnsi="Arial"/>
          <w:sz w:val="16"/>
          <w:szCs w:val="16"/>
          <w:color w:val="CB233C"/>
        </w:rPr>
      </w:pPr>
      <w:r>
        <w:rPr>
          <w:rFonts w:ascii="Arial" w:cs="Arial" w:eastAsia="Arial" w:hAnsi="Arial"/>
          <w:sz w:val="16"/>
          <w:szCs w:val="16"/>
          <w:color w:val="auto"/>
        </w:rPr>
        <w:t>Increased emphasis on ESG-related metrics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36"/>
        </w:numPr>
        <w:rPr>
          <w:rFonts w:ascii="Arial" w:cs="Arial" w:eastAsia="Arial" w:hAnsi="Arial"/>
          <w:sz w:val="16"/>
          <w:szCs w:val="16"/>
          <w:color w:val="CB233C"/>
        </w:rPr>
      </w:pPr>
      <w:r>
        <w:rPr>
          <w:rFonts w:ascii="Arial" w:cs="Arial" w:eastAsia="Arial" w:hAnsi="Arial"/>
          <w:sz w:val="16"/>
          <w:szCs w:val="16"/>
          <w:color w:val="auto"/>
        </w:rPr>
        <w:t>Clarity on timing of long-term incentive award grants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36"/>
        </w:numPr>
        <w:rPr>
          <w:rFonts w:ascii="Arial" w:cs="Arial" w:eastAsia="Arial" w:hAnsi="Arial"/>
          <w:sz w:val="16"/>
          <w:szCs w:val="16"/>
          <w:color w:val="CB233C"/>
        </w:rPr>
      </w:pPr>
      <w:r>
        <w:rPr>
          <w:rFonts w:ascii="Arial" w:cs="Arial" w:eastAsia="Arial" w:hAnsi="Arial"/>
          <w:sz w:val="16"/>
          <w:szCs w:val="16"/>
          <w:color w:val="auto"/>
        </w:rPr>
        <w:t>Rationale for long-term incentive awards based on 100% relative performance and allowing for maximum payouts when returns are negative</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540" w:type="dxa"/>
            <w:vAlign w:val="bottom"/>
            <w:tcBorders>
              <w:left w:val="single" w:sz="8" w:color="CB233C"/>
            </w:tcBorders>
            <w:shd w:val="clear" w:color="auto" w:fill="CB233C"/>
          </w:tcPr>
          <w:p>
            <w:pPr>
              <w:spacing w:after="0"/>
              <w:rPr>
                <w:sz w:val="22"/>
                <w:szCs w:val="22"/>
                <w:color w:val="auto"/>
              </w:rPr>
            </w:pPr>
          </w:p>
        </w:tc>
        <w:tc>
          <w:tcPr>
            <w:tcW w:w="1200" w:type="dxa"/>
            <w:vAlign w:val="bottom"/>
            <w:shd w:val="clear" w:color="auto" w:fill="CB233C"/>
          </w:tcPr>
          <w:p>
            <w:pPr>
              <w:spacing w:after="0"/>
              <w:rPr>
                <w:sz w:val="22"/>
                <w:szCs w:val="22"/>
                <w:color w:val="auto"/>
              </w:rPr>
            </w:pPr>
          </w:p>
        </w:tc>
        <w:tc>
          <w:tcPr>
            <w:tcW w:w="1840" w:type="dxa"/>
            <w:vAlign w:val="bottom"/>
            <w:shd w:val="clear" w:color="auto" w:fill="CB233C"/>
          </w:tcPr>
          <w:p>
            <w:pPr>
              <w:spacing w:after="0"/>
              <w:rPr>
                <w:sz w:val="22"/>
                <w:szCs w:val="22"/>
                <w:color w:val="auto"/>
              </w:rPr>
            </w:pPr>
          </w:p>
        </w:tc>
        <w:tc>
          <w:tcPr>
            <w:tcW w:w="4060" w:type="dxa"/>
            <w:vAlign w:val="bottom"/>
            <w:shd w:val="clear" w:color="auto" w:fill="CB233C"/>
          </w:tcPr>
          <w:p>
            <w:pPr>
              <w:ind w:left="580"/>
              <w:spacing w:after="0"/>
              <w:rPr>
                <w:sz w:val="20"/>
                <w:szCs w:val="20"/>
                <w:color w:val="auto"/>
              </w:rPr>
            </w:pPr>
            <w:r>
              <w:rPr>
                <w:rFonts w:ascii="Arial" w:cs="Arial" w:eastAsia="Arial" w:hAnsi="Arial"/>
                <w:sz w:val="16"/>
                <w:szCs w:val="16"/>
                <w:b w:val="1"/>
                <w:bCs w:val="1"/>
                <w:color w:val="FFFFFF"/>
              </w:rPr>
              <w:t>Plan Design Changes &amp; Other Actions</w:t>
            </w:r>
          </w:p>
        </w:tc>
        <w:tc>
          <w:tcPr>
            <w:tcW w:w="3620" w:type="dxa"/>
            <w:vAlign w:val="bottom"/>
            <w:tcBorders>
              <w:right w:val="single" w:sz="8" w:color="CB233C"/>
            </w:tcBorders>
            <w:shd w:val="clear" w:color="auto" w:fill="CB233C"/>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540" w:type="dxa"/>
            <w:vAlign w:val="bottom"/>
            <w:tcBorders>
              <w:left w:val="single" w:sz="8" w:color="CB233C"/>
              <w:bottom w:val="single" w:sz="8" w:color="CB233C"/>
            </w:tcBorders>
            <w:shd w:val="clear" w:color="auto" w:fill="CB233C"/>
          </w:tcPr>
          <w:p>
            <w:pPr>
              <w:spacing w:after="0"/>
              <w:rPr>
                <w:sz w:val="3"/>
                <w:szCs w:val="3"/>
                <w:color w:val="auto"/>
              </w:rPr>
            </w:pPr>
          </w:p>
        </w:tc>
        <w:tc>
          <w:tcPr>
            <w:tcW w:w="1200" w:type="dxa"/>
            <w:vAlign w:val="bottom"/>
            <w:tcBorders>
              <w:bottom w:val="single" w:sz="8" w:color="CB233C"/>
            </w:tcBorders>
            <w:shd w:val="clear" w:color="auto" w:fill="CB233C"/>
          </w:tcPr>
          <w:p>
            <w:pPr>
              <w:spacing w:after="0"/>
              <w:rPr>
                <w:sz w:val="3"/>
                <w:szCs w:val="3"/>
                <w:color w:val="auto"/>
              </w:rPr>
            </w:pPr>
          </w:p>
        </w:tc>
        <w:tc>
          <w:tcPr>
            <w:tcW w:w="1840" w:type="dxa"/>
            <w:vAlign w:val="bottom"/>
            <w:tcBorders>
              <w:bottom w:val="single" w:sz="8" w:color="CB233C"/>
            </w:tcBorders>
            <w:shd w:val="clear" w:color="auto" w:fill="CB233C"/>
          </w:tcPr>
          <w:p>
            <w:pPr>
              <w:spacing w:after="0"/>
              <w:rPr>
                <w:sz w:val="3"/>
                <w:szCs w:val="3"/>
                <w:color w:val="auto"/>
              </w:rPr>
            </w:pPr>
          </w:p>
        </w:tc>
        <w:tc>
          <w:tcPr>
            <w:tcW w:w="4060" w:type="dxa"/>
            <w:vAlign w:val="bottom"/>
            <w:tcBorders>
              <w:bottom w:val="single" w:sz="8" w:color="CB233C"/>
            </w:tcBorders>
            <w:shd w:val="clear" w:color="auto" w:fill="CB233C"/>
          </w:tcPr>
          <w:p>
            <w:pPr>
              <w:spacing w:after="0"/>
              <w:rPr>
                <w:sz w:val="3"/>
                <w:szCs w:val="3"/>
                <w:color w:val="auto"/>
              </w:rPr>
            </w:pPr>
          </w:p>
        </w:tc>
        <w:tc>
          <w:tcPr>
            <w:tcW w:w="3620" w:type="dxa"/>
            <w:vAlign w:val="bottom"/>
            <w:tcBorders>
              <w:bottom w:val="single" w:sz="8" w:color="CB233C"/>
              <w:right w:val="single" w:sz="8" w:color="CB233C"/>
            </w:tcBorders>
            <w:shd w:val="clear" w:color="auto" w:fill="CB233C"/>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0" w:type="dxa"/>
            <w:vAlign w:val="bottom"/>
            <w:tcBorders>
              <w:left w:val="single" w:sz="8" w:color="CB233C"/>
            </w:tcBorders>
          </w:tcPr>
          <w:p>
            <w:pPr>
              <w:spacing w:after="0"/>
              <w:rPr>
                <w:sz w:val="22"/>
                <w:szCs w:val="22"/>
                <w:color w:val="auto"/>
              </w:rPr>
            </w:pPr>
          </w:p>
        </w:tc>
        <w:tc>
          <w:tcPr>
            <w:tcW w:w="3040" w:type="dxa"/>
            <w:vAlign w:val="bottom"/>
            <w:gridSpan w:val="2"/>
          </w:tcPr>
          <w:p>
            <w:pPr>
              <w:jc w:val="right"/>
              <w:ind w:right="1620"/>
              <w:spacing w:after="0"/>
              <w:rPr>
                <w:sz w:val="20"/>
                <w:szCs w:val="20"/>
                <w:color w:val="auto"/>
              </w:rPr>
            </w:pPr>
            <w:r>
              <w:rPr>
                <w:rFonts w:ascii="Arial" w:cs="Arial" w:eastAsia="Arial" w:hAnsi="Arial"/>
                <w:sz w:val="16"/>
                <w:szCs w:val="16"/>
                <w:b w:val="1"/>
                <w:bCs w:val="1"/>
                <w:color w:val="auto"/>
              </w:rPr>
              <w:t>2019</w:t>
            </w:r>
          </w:p>
        </w:tc>
        <w:tc>
          <w:tcPr>
            <w:tcW w:w="4060" w:type="dxa"/>
            <w:vAlign w:val="bottom"/>
          </w:tcPr>
          <w:p>
            <w:pPr>
              <w:ind w:left="1860"/>
              <w:spacing w:after="0"/>
              <w:rPr>
                <w:sz w:val="20"/>
                <w:szCs w:val="20"/>
                <w:color w:val="auto"/>
              </w:rPr>
            </w:pPr>
            <w:r>
              <w:rPr>
                <w:rFonts w:ascii="Arial" w:cs="Arial" w:eastAsia="Arial" w:hAnsi="Arial"/>
                <w:sz w:val="16"/>
                <w:szCs w:val="16"/>
                <w:b w:val="1"/>
                <w:bCs w:val="1"/>
                <w:color w:val="auto"/>
              </w:rPr>
              <w:t>2020</w:t>
            </w:r>
          </w:p>
        </w:tc>
        <w:tc>
          <w:tcPr>
            <w:tcW w:w="3620" w:type="dxa"/>
            <w:vAlign w:val="bottom"/>
            <w:tcBorders>
              <w:right w:val="single" w:sz="8" w:color="CB233C"/>
            </w:tcBorders>
          </w:tcPr>
          <w:p>
            <w:pPr>
              <w:ind w:left="166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35"/>
        </w:trPr>
        <w:tc>
          <w:tcPr>
            <w:tcW w:w="1740" w:type="dxa"/>
            <w:vAlign w:val="bottom"/>
            <w:tcBorders>
              <w:left w:val="single" w:sz="8" w:color="CB233C"/>
              <w:bottom w:val="single" w:sz="8" w:color="CB233C"/>
            </w:tcBorders>
            <w:gridSpan w:val="2"/>
          </w:tcPr>
          <w:p>
            <w:pPr>
              <w:spacing w:after="0"/>
              <w:rPr>
                <w:sz w:val="3"/>
                <w:szCs w:val="3"/>
                <w:color w:val="auto"/>
              </w:rPr>
            </w:pPr>
          </w:p>
        </w:tc>
        <w:tc>
          <w:tcPr>
            <w:tcW w:w="1840" w:type="dxa"/>
            <w:vAlign w:val="bottom"/>
            <w:tcBorders>
              <w:bottom w:val="single" w:sz="8" w:color="CB233C"/>
            </w:tcBorders>
          </w:tcPr>
          <w:p>
            <w:pPr>
              <w:spacing w:after="0"/>
              <w:rPr>
                <w:sz w:val="3"/>
                <w:szCs w:val="3"/>
                <w:color w:val="auto"/>
              </w:rPr>
            </w:pPr>
          </w:p>
        </w:tc>
        <w:tc>
          <w:tcPr>
            <w:tcW w:w="4060" w:type="dxa"/>
            <w:vAlign w:val="bottom"/>
            <w:tcBorders>
              <w:bottom w:val="single" w:sz="8" w:color="CB233C"/>
            </w:tcBorders>
          </w:tcPr>
          <w:p>
            <w:pPr>
              <w:spacing w:after="0"/>
              <w:rPr>
                <w:sz w:val="3"/>
                <w:szCs w:val="3"/>
                <w:color w:val="auto"/>
              </w:rPr>
            </w:pPr>
          </w:p>
        </w:tc>
        <w:tc>
          <w:tcPr>
            <w:tcW w:w="3620" w:type="dxa"/>
            <w:vAlign w:val="bottom"/>
            <w:tcBorders>
              <w:bottom w:val="single" w:sz="8" w:color="CB233C"/>
              <w:right w:val="single" w:sz="8" w:color="CB233C"/>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3580" w:type="dxa"/>
            <w:vAlign w:val="bottom"/>
            <w:tcBorders>
              <w:left w:val="single" w:sz="8" w:color="CB233C"/>
            </w:tcBorders>
            <w:gridSpan w:val="3"/>
          </w:tcPr>
          <w:p>
            <w:pPr>
              <w:ind w:left="420"/>
              <w:spacing w:after="0"/>
              <w:rPr>
                <w:sz w:val="20"/>
                <w:szCs w:val="20"/>
                <w:color w:val="auto"/>
              </w:rPr>
            </w:pPr>
            <w:r>
              <w:rPr>
                <w:rFonts w:ascii="Arial" w:cs="Arial" w:eastAsia="Arial" w:hAnsi="Arial"/>
                <w:sz w:val="16"/>
                <w:szCs w:val="16"/>
                <w:color w:val="auto"/>
              </w:rPr>
              <w:t>Eliminated stock grants for internal</w:t>
            </w:r>
          </w:p>
        </w:tc>
        <w:tc>
          <w:tcPr>
            <w:tcW w:w="4060" w:type="dxa"/>
            <w:vAlign w:val="bottom"/>
          </w:tcPr>
          <w:p>
            <w:pPr>
              <w:ind w:left="680"/>
              <w:spacing w:after="0"/>
              <w:rPr>
                <w:sz w:val="20"/>
                <w:szCs w:val="20"/>
                <w:color w:val="auto"/>
              </w:rPr>
            </w:pPr>
            <w:r>
              <w:rPr>
                <w:rFonts w:ascii="Arial" w:cs="Arial" w:eastAsia="Arial" w:hAnsi="Arial"/>
                <w:sz w:val="16"/>
                <w:szCs w:val="16"/>
                <w:color w:val="auto"/>
              </w:rPr>
              <w:t>Eliminated stock options that were</w:t>
            </w:r>
          </w:p>
        </w:tc>
        <w:tc>
          <w:tcPr>
            <w:tcW w:w="3620" w:type="dxa"/>
            <w:vAlign w:val="bottom"/>
            <w:tcBorders>
              <w:right w:val="single" w:sz="8" w:color="CB233C"/>
            </w:tcBorders>
          </w:tcPr>
          <w:p>
            <w:pPr>
              <w:ind w:left="460"/>
              <w:spacing w:after="0"/>
              <w:rPr>
                <w:sz w:val="20"/>
                <w:szCs w:val="20"/>
                <w:color w:val="auto"/>
              </w:rPr>
            </w:pPr>
            <w:r>
              <w:rPr>
                <w:rFonts w:ascii="Arial" w:cs="Arial" w:eastAsia="Arial" w:hAnsi="Arial"/>
                <w:sz w:val="16"/>
                <w:szCs w:val="16"/>
                <w:color w:val="auto"/>
              </w:rPr>
              <w:t>Introduced sustainability and Diversity,</w:t>
            </w:r>
          </w:p>
        </w:tc>
        <w:tc>
          <w:tcPr>
            <w:tcW w:w="0" w:type="dxa"/>
            <w:vAlign w:val="bottom"/>
          </w:tcPr>
          <w:p>
            <w:pPr>
              <w:spacing w:after="0"/>
              <w:rPr>
                <w:sz w:val="1"/>
                <w:szCs w:val="1"/>
                <w:color w:val="auto"/>
              </w:rPr>
            </w:pPr>
          </w:p>
        </w:tc>
      </w:tr>
      <w:tr>
        <w:trPr>
          <w:trHeight w:val="189"/>
        </w:trPr>
        <w:tc>
          <w:tcPr>
            <w:tcW w:w="3580" w:type="dxa"/>
            <w:vAlign w:val="bottom"/>
            <w:tcBorders>
              <w:left w:val="single" w:sz="8" w:color="CB233C"/>
            </w:tcBorders>
            <w:gridSpan w:val="3"/>
          </w:tcPr>
          <w:p>
            <w:pPr>
              <w:ind w:left="420"/>
              <w:spacing w:after="0"/>
              <w:rPr>
                <w:sz w:val="20"/>
                <w:szCs w:val="20"/>
                <w:color w:val="auto"/>
              </w:rPr>
            </w:pPr>
            <w:r>
              <w:rPr>
                <w:rFonts w:ascii="Arial" w:cs="Arial" w:eastAsia="Arial" w:hAnsi="Arial"/>
                <w:sz w:val="16"/>
                <w:szCs w:val="16"/>
                <w:color w:val="auto"/>
              </w:rPr>
              <w:t>promotions</w:t>
            </w:r>
          </w:p>
        </w:tc>
        <w:tc>
          <w:tcPr>
            <w:tcW w:w="4060" w:type="dxa"/>
            <w:vAlign w:val="bottom"/>
          </w:tcPr>
          <w:p>
            <w:pPr>
              <w:ind w:left="680"/>
              <w:spacing w:after="0"/>
              <w:rPr>
                <w:sz w:val="20"/>
                <w:szCs w:val="20"/>
                <w:color w:val="auto"/>
              </w:rPr>
            </w:pPr>
            <w:r>
              <w:rPr>
                <w:rFonts w:ascii="Arial" w:cs="Arial" w:eastAsia="Arial" w:hAnsi="Arial"/>
                <w:sz w:val="16"/>
                <w:szCs w:val="16"/>
                <w:color w:val="auto"/>
              </w:rPr>
              <w:t>previously 15% of long-term incentives</w:t>
            </w:r>
          </w:p>
        </w:tc>
        <w:tc>
          <w:tcPr>
            <w:tcW w:w="3620" w:type="dxa"/>
            <w:vAlign w:val="bottom"/>
            <w:tcBorders>
              <w:right w:val="single" w:sz="8" w:color="CB233C"/>
            </w:tcBorders>
          </w:tcPr>
          <w:p>
            <w:pPr>
              <w:ind w:left="460"/>
              <w:spacing w:after="0"/>
              <w:rPr>
                <w:sz w:val="20"/>
                <w:szCs w:val="20"/>
                <w:color w:val="auto"/>
              </w:rPr>
            </w:pPr>
            <w:r>
              <w:rPr>
                <w:rFonts w:ascii="Arial" w:cs="Arial" w:eastAsia="Arial" w:hAnsi="Arial"/>
                <w:sz w:val="16"/>
                <w:szCs w:val="16"/>
                <w:color w:val="auto"/>
              </w:rPr>
              <w:t>Equity &amp; Inclusion (DE&amp;I) metrics under</w:t>
            </w:r>
          </w:p>
        </w:tc>
        <w:tc>
          <w:tcPr>
            <w:tcW w:w="0" w:type="dxa"/>
            <w:vAlign w:val="bottom"/>
          </w:tcPr>
          <w:p>
            <w:pPr>
              <w:spacing w:after="0"/>
              <w:rPr>
                <w:sz w:val="1"/>
                <w:szCs w:val="1"/>
                <w:color w:val="auto"/>
              </w:rPr>
            </w:pPr>
          </w:p>
        </w:tc>
      </w:tr>
      <w:tr>
        <w:trPr>
          <w:trHeight w:val="189"/>
        </w:trPr>
        <w:tc>
          <w:tcPr>
            <w:tcW w:w="3580" w:type="dxa"/>
            <w:vAlign w:val="bottom"/>
            <w:tcBorders>
              <w:left w:val="single" w:sz="8" w:color="CB233C"/>
            </w:tcBorders>
            <w:gridSpan w:val="3"/>
            <w:vMerge w:val="restart"/>
          </w:tcPr>
          <w:p>
            <w:pPr>
              <w:ind w:left="420"/>
              <w:spacing w:after="0"/>
              <w:rPr>
                <w:sz w:val="20"/>
                <w:szCs w:val="20"/>
                <w:color w:val="auto"/>
              </w:rPr>
            </w:pPr>
            <w:r>
              <w:rPr>
                <w:rFonts w:ascii="Arial" w:cs="Arial" w:eastAsia="Arial" w:hAnsi="Arial"/>
                <w:sz w:val="16"/>
                <w:szCs w:val="16"/>
                <w:color w:val="auto"/>
              </w:rPr>
              <w:t>Implemented double-trigger vesting</w:t>
            </w:r>
          </w:p>
        </w:tc>
        <w:tc>
          <w:tcPr>
            <w:tcW w:w="4060" w:type="dxa"/>
            <w:vAlign w:val="bottom"/>
          </w:tcPr>
          <w:p>
            <w:pPr>
              <w:ind w:left="680"/>
              <w:spacing w:after="0"/>
              <w:rPr>
                <w:sz w:val="20"/>
                <w:szCs w:val="20"/>
                <w:color w:val="auto"/>
              </w:rPr>
            </w:pPr>
            <w:r>
              <w:rPr>
                <w:rFonts w:ascii="Arial" w:cs="Arial" w:eastAsia="Arial" w:hAnsi="Arial"/>
                <w:sz w:val="16"/>
                <w:szCs w:val="16"/>
                <w:color w:val="auto"/>
              </w:rPr>
              <w:t>and reduced weight of time-based</w:t>
            </w:r>
          </w:p>
        </w:tc>
        <w:tc>
          <w:tcPr>
            <w:tcW w:w="3620" w:type="dxa"/>
            <w:vAlign w:val="bottom"/>
            <w:tcBorders>
              <w:right w:val="single" w:sz="8" w:color="CB233C"/>
            </w:tcBorders>
          </w:tcPr>
          <w:p>
            <w:pPr>
              <w:ind w:left="460"/>
              <w:spacing w:after="0"/>
              <w:rPr>
                <w:sz w:val="20"/>
                <w:szCs w:val="20"/>
                <w:color w:val="auto"/>
              </w:rPr>
            </w:pPr>
            <w:r>
              <w:rPr>
                <w:rFonts w:ascii="Arial" w:cs="Arial" w:eastAsia="Arial" w:hAnsi="Arial"/>
                <w:sz w:val="16"/>
                <w:szCs w:val="16"/>
                <w:color w:val="auto"/>
              </w:rPr>
              <w:t>the Annual Performance Pay Plan</w:t>
            </w:r>
          </w:p>
        </w:tc>
        <w:tc>
          <w:tcPr>
            <w:tcW w:w="0" w:type="dxa"/>
            <w:vAlign w:val="bottom"/>
          </w:tcPr>
          <w:p>
            <w:pPr>
              <w:spacing w:after="0"/>
              <w:rPr>
                <w:sz w:val="1"/>
                <w:szCs w:val="1"/>
                <w:color w:val="auto"/>
              </w:rPr>
            </w:pPr>
          </w:p>
        </w:tc>
      </w:tr>
      <w:tr>
        <w:trPr>
          <w:trHeight w:val="68"/>
        </w:trPr>
        <w:tc>
          <w:tcPr>
            <w:tcW w:w="3580" w:type="dxa"/>
            <w:vAlign w:val="bottom"/>
            <w:tcBorders>
              <w:left w:val="single" w:sz="8" w:color="CB233C"/>
            </w:tcBorders>
            <w:gridSpan w:val="3"/>
            <w:vMerge w:val="continue"/>
          </w:tcPr>
          <w:p>
            <w:pPr>
              <w:spacing w:after="0"/>
              <w:rPr>
                <w:sz w:val="5"/>
                <w:szCs w:val="5"/>
                <w:color w:val="auto"/>
              </w:rPr>
            </w:pPr>
          </w:p>
        </w:tc>
        <w:tc>
          <w:tcPr>
            <w:tcW w:w="4060" w:type="dxa"/>
            <w:vAlign w:val="bottom"/>
            <w:vMerge w:val="restart"/>
          </w:tcPr>
          <w:p>
            <w:pPr>
              <w:ind w:left="680"/>
              <w:spacing w:after="0"/>
              <w:rPr>
                <w:sz w:val="20"/>
                <w:szCs w:val="20"/>
                <w:color w:val="auto"/>
              </w:rPr>
            </w:pPr>
            <w:r>
              <w:rPr>
                <w:rFonts w:ascii="Arial" w:cs="Arial" w:eastAsia="Arial" w:hAnsi="Arial"/>
                <w:sz w:val="16"/>
                <w:szCs w:val="16"/>
                <w:color w:val="auto"/>
              </w:rPr>
              <w:t>restricted stock from 35% to 30%.</w:t>
            </w:r>
          </w:p>
        </w:tc>
        <w:tc>
          <w:tcPr>
            <w:tcW w:w="3620" w:type="dxa"/>
            <w:vAlign w:val="bottom"/>
            <w:tcBorders>
              <w:right w:val="single" w:sz="8" w:color="CB233C"/>
            </w:tcBorders>
            <w:vMerge w:val="restart"/>
          </w:tcPr>
          <w:p>
            <w:pPr>
              <w:ind w:left="460"/>
              <w:spacing w:after="0"/>
              <w:rPr>
                <w:sz w:val="20"/>
                <w:szCs w:val="20"/>
                <w:color w:val="auto"/>
              </w:rPr>
            </w:pPr>
            <w:r>
              <w:rPr>
                <w:rFonts w:ascii="Arial" w:cs="Arial" w:eastAsia="Arial" w:hAnsi="Arial"/>
                <w:sz w:val="16"/>
                <w:szCs w:val="16"/>
                <w:color w:val="auto"/>
              </w:rPr>
              <w:t>•  20% of total award (weighted equally)</w:t>
            </w:r>
          </w:p>
        </w:tc>
        <w:tc>
          <w:tcPr>
            <w:tcW w:w="0" w:type="dxa"/>
            <w:vAlign w:val="bottom"/>
          </w:tcPr>
          <w:p>
            <w:pPr>
              <w:spacing w:after="0"/>
              <w:rPr>
                <w:sz w:val="1"/>
                <w:szCs w:val="1"/>
                <w:color w:val="auto"/>
              </w:rPr>
            </w:pPr>
          </w:p>
        </w:tc>
      </w:tr>
      <w:tr>
        <w:trPr>
          <w:trHeight w:val="122"/>
        </w:trPr>
        <w:tc>
          <w:tcPr>
            <w:tcW w:w="3580" w:type="dxa"/>
            <w:vAlign w:val="bottom"/>
            <w:tcBorders>
              <w:left w:val="single" w:sz="8" w:color="CB233C"/>
            </w:tcBorders>
            <w:gridSpan w:val="3"/>
            <w:vMerge w:val="restart"/>
          </w:tcPr>
          <w:p>
            <w:pPr>
              <w:ind w:left="420"/>
              <w:spacing w:after="0"/>
              <w:rPr>
                <w:sz w:val="20"/>
                <w:szCs w:val="20"/>
                <w:color w:val="auto"/>
              </w:rPr>
            </w:pPr>
            <w:r>
              <w:rPr>
                <w:rFonts w:ascii="Arial" w:cs="Arial" w:eastAsia="Arial" w:hAnsi="Arial"/>
                <w:sz w:val="16"/>
                <w:szCs w:val="16"/>
                <w:color w:val="auto"/>
              </w:rPr>
              <w:t>provision upon change-of-control</w:t>
            </w:r>
          </w:p>
        </w:tc>
        <w:tc>
          <w:tcPr>
            <w:tcW w:w="4060" w:type="dxa"/>
            <w:vAlign w:val="bottom"/>
            <w:vMerge w:val="continue"/>
          </w:tcPr>
          <w:p>
            <w:pPr>
              <w:spacing w:after="0"/>
              <w:rPr>
                <w:sz w:val="10"/>
                <w:szCs w:val="10"/>
                <w:color w:val="auto"/>
              </w:rPr>
            </w:pPr>
          </w:p>
        </w:tc>
        <w:tc>
          <w:tcPr>
            <w:tcW w:w="3620" w:type="dxa"/>
            <w:vAlign w:val="bottom"/>
            <w:tcBorders>
              <w:right w:val="single" w:sz="8" w:color="CB233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3580" w:type="dxa"/>
            <w:vAlign w:val="bottom"/>
            <w:tcBorders>
              <w:left w:val="single" w:sz="8" w:color="CB233C"/>
            </w:tcBorders>
            <w:gridSpan w:val="3"/>
            <w:vMerge w:val="continue"/>
          </w:tcPr>
          <w:p>
            <w:pPr>
              <w:spacing w:after="0"/>
              <w:rPr>
                <w:sz w:val="8"/>
                <w:szCs w:val="8"/>
                <w:color w:val="auto"/>
              </w:rPr>
            </w:pPr>
          </w:p>
        </w:tc>
        <w:tc>
          <w:tcPr>
            <w:tcW w:w="4060" w:type="dxa"/>
            <w:vAlign w:val="bottom"/>
            <w:vMerge w:val="restart"/>
          </w:tcPr>
          <w:p>
            <w:pPr>
              <w:ind w:left="680"/>
              <w:spacing w:after="0"/>
              <w:rPr>
                <w:sz w:val="20"/>
                <w:szCs w:val="20"/>
                <w:color w:val="auto"/>
              </w:rPr>
            </w:pPr>
            <w:r>
              <w:rPr>
                <w:rFonts w:ascii="Arial" w:cs="Arial" w:eastAsia="Arial" w:hAnsi="Arial"/>
                <w:sz w:val="16"/>
                <w:szCs w:val="16"/>
                <w:color w:val="auto"/>
              </w:rPr>
              <w:t>Increased weight of performance units</w:t>
            </w:r>
          </w:p>
        </w:tc>
        <w:tc>
          <w:tcPr>
            <w:tcW w:w="3620" w:type="dxa"/>
            <w:vAlign w:val="bottom"/>
            <w:tcBorders>
              <w:right w:val="single" w:sz="8" w:color="CB233C"/>
            </w:tcBorders>
            <w:vMerge w:val="restart"/>
          </w:tcPr>
          <w:p>
            <w:pPr>
              <w:ind w:left="460"/>
              <w:spacing w:after="0"/>
              <w:rPr>
                <w:sz w:val="20"/>
                <w:szCs w:val="20"/>
                <w:color w:val="auto"/>
              </w:rPr>
            </w:pPr>
            <w:r>
              <w:rPr>
                <w:rFonts w:ascii="Arial" w:cs="Arial" w:eastAsia="Arial" w:hAnsi="Arial"/>
                <w:sz w:val="16"/>
                <w:szCs w:val="16"/>
                <w:color w:val="auto"/>
              </w:rPr>
              <w:t>Moved grants of restricted stock from</w:t>
            </w:r>
          </w:p>
        </w:tc>
        <w:tc>
          <w:tcPr>
            <w:tcW w:w="0" w:type="dxa"/>
            <w:vAlign w:val="bottom"/>
          </w:tcPr>
          <w:p>
            <w:pPr>
              <w:spacing w:after="0"/>
              <w:rPr>
                <w:sz w:val="1"/>
                <w:szCs w:val="1"/>
                <w:color w:val="auto"/>
              </w:rPr>
            </w:pPr>
          </w:p>
        </w:tc>
      </w:tr>
      <w:tr>
        <w:trPr>
          <w:trHeight w:val="96"/>
        </w:trPr>
        <w:tc>
          <w:tcPr>
            <w:tcW w:w="3580" w:type="dxa"/>
            <w:vAlign w:val="bottom"/>
            <w:tcBorders>
              <w:left w:val="single" w:sz="8" w:color="CB233C"/>
            </w:tcBorders>
            <w:gridSpan w:val="3"/>
            <w:vMerge w:val="restart"/>
          </w:tcPr>
          <w:p>
            <w:pPr>
              <w:ind w:left="420"/>
              <w:spacing w:after="0"/>
              <w:rPr>
                <w:sz w:val="20"/>
                <w:szCs w:val="20"/>
                <w:color w:val="auto"/>
              </w:rPr>
            </w:pPr>
            <w:r>
              <w:rPr>
                <w:rFonts w:ascii="Arial" w:cs="Arial" w:eastAsia="Arial" w:hAnsi="Arial"/>
                <w:sz w:val="16"/>
                <w:szCs w:val="16"/>
                <w:color w:val="auto"/>
              </w:rPr>
              <w:t>Eliminated executive perquisites</w:t>
            </w:r>
          </w:p>
        </w:tc>
        <w:tc>
          <w:tcPr>
            <w:tcW w:w="4060" w:type="dxa"/>
            <w:vAlign w:val="bottom"/>
            <w:vMerge w:val="continue"/>
          </w:tcPr>
          <w:p>
            <w:pPr>
              <w:spacing w:after="0"/>
              <w:rPr>
                <w:sz w:val="8"/>
                <w:szCs w:val="8"/>
                <w:color w:val="auto"/>
              </w:rPr>
            </w:pPr>
          </w:p>
        </w:tc>
        <w:tc>
          <w:tcPr>
            <w:tcW w:w="3620" w:type="dxa"/>
            <w:vAlign w:val="bottom"/>
            <w:tcBorders>
              <w:right w:val="single" w:sz="8" w:color="CB233C"/>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580" w:type="dxa"/>
            <w:vAlign w:val="bottom"/>
            <w:tcBorders>
              <w:left w:val="single" w:sz="8" w:color="CB233C"/>
            </w:tcBorders>
            <w:gridSpan w:val="3"/>
            <w:vMerge w:val="continue"/>
          </w:tcPr>
          <w:p>
            <w:pPr>
              <w:spacing w:after="0"/>
              <w:rPr>
                <w:sz w:val="5"/>
                <w:szCs w:val="5"/>
                <w:color w:val="auto"/>
              </w:rPr>
            </w:pPr>
          </w:p>
        </w:tc>
        <w:tc>
          <w:tcPr>
            <w:tcW w:w="4060" w:type="dxa"/>
            <w:vAlign w:val="bottom"/>
            <w:vMerge w:val="restart"/>
          </w:tcPr>
          <w:p>
            <w:pPr>
              <w:ind w:left="680"/>
              <w:spacing w:after="0"/>
              <w:rPr>
                <w:sz w:val="20"/>
                <w:szCs w:val="20"/>
                <w:color w:val="auto"/>
              </w:rPr>
            </w:pPr>
            <w:r>
              <w:rPr>
                <w:rFonts w:ascii="Arial" w:cs="Arial" w:eastAsia="Arial" w:hAnsi="Arial"/>
                <w:sz w:val="16"/>
                <w:szCs w:val="16"/>
                <w:color w:val="auto"/>
              </w:rPr>
              <w:t>from 50% to 70%</w:t>
            </w:r>
          </w:p>
        </w:tc>
        <w:tc>
          <w:tcPr>
            <w:tcW w:w="3620" w:type="dxa"/>
            <w:vAlign w:val="bottom"/>
            <w:tcBorders>
              <w:right w:val="single" w:sz="8" w:color="CB233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580" w:type="dxa"/>
            <w:vAlign w:val="bottom"/>
            <w:tcBorders>
              <w:left w:val="single" w:sz="8" w:color="CB233C"/>
            </w:tcBorders>
            <w:gridSpan w:val="3"/>
            <w:vMerge w:val="continue"/>
          </w:tcPr>
          <w:p>
            <w:pPr>
              <w:spacing w:after="0"/>
              <w:rPr>
                <w:sz w:val="5"/>
                <w:szCs w:val="5"/>
                <w:color w:val="auto"/>
              </w:rPr>
            </w:pPr>
          </w:p>
        </w:tc>
        <w:tc>
          <w:tcPr>
            <w:tcW w:w="4060" w:type="dxa"/>
            <w:vAlign w:val="bottom"/>
            <w:vMerge w:val="continue"/>
          </w:tcPr>
          <w:p>
            <w:pPr>
              <w:spacing w:after="0"/>
              <w:rPr>
                <w:sz w:val="5"/>
                <w:szCs w:val="5"/>
                <w:color w:val="auto"/>
              </w:rPr>
            </w:pPr>
          </w:p>
        </w:tc>
        <w:tc>
          <w:tcPr>
            <w:tcW w:w="3620" w:type="dxa"/>
            <w:vAlign w:val="bottom"/>
            <w:tcBorders>
              <w:right w:val="single" w:sz="8" w:color="CB233C"/>
            </w:tcBorders>
            <w:vMerge w:val="restart"/>
          </w:tcPr>
          <w:p>
            <w:pPr>
              <w:ind w:left="460"/>
              <w:spacing w:after="0"/>
              <w:rPr>
                <w:sz w:val="20"/>
                <w:szCs w:val="20"/>
                <w:color w:val="auto"/>
              </w:rPr>
            </w:pPr>
            <w:r>
              <w:rPr>
                <w:rFonts w:ascii="Arial" w:cs="Arial" w:eastAsia="Arial" w:hAnsi="Arial"/>
                <w:sz w:val="16"/>
                <w:szCs w:val="16"/>
                <w:color w:val="auto"/>
              </w:rPr>
              <w:t>December to January to align with grants</w:t>
            </w:r>
          </w:p>
        </w:tc>
        <w:tc>
          <w:tcPr>
            <w:tcW w:w="0" w:type="dxa"/>
            <w:vAlign w:val="bottom"/>
          </w:tcPr>
          <w:p>
            <w:pPr>
              <w:spacing w:after="0"/>
              <w:rPr>
                <w:sz w:val="1"/>
                <w:szCs w:val="1"/>
                <w:color w:val="auto"/>
              </w:rPr>
            </w:pPr>
          </w:p>
        </w:tc>
      </w:tr>
      <w:tr>
        <w:trPr>
          <w:trHeight w:val="80"/>
        </w:trPr>
        <w:tc>
          <w:tcPr>
            <w:tcW w:w="3580" w:type="dxa"/>
            <w:vAlign w:val="bottom"/>
            <w:tcBorders>
              <w:left w:val="single" w:sz="8" w:color="CB233C"/>
            </w:tcBorders>
            <w:gridSpan w:val="3"/>
            <w:vMerge w:val="restart"/>
          </w:tcPr>
          <w:p>
            <w:pPr>
              <w:ind w:left="420"/>
              <w:spacing w:after="0"/>
              <w:rPr>
                <w:sz w:val="20"/>
                <w:szCs w:val="20"/>
                <w:color w:val="auto"/>
              </w:rPr>
            </w:pPr>
            <w:r>
              <w:rPr>
                <w:rFonts w:ascii="Arial" w:cs="Arial" w:eastAsia="Arial" w:hAnsi="Arial"/>
                <w:sz w:val="16"/>
                <w:szCs w:val="16"/>
                <w:color w:val="auto"/>
              </w:rPr>
              <w:t>including:</w:t>
            </w:r>
          </w:p>
        </w:tc>
        <w:tc>
          <w:tcPr>
            <w:tcW w:w="4060" w:type="dxa"/>
            <w:vAlign w:val="bottom"/>
            <w:vMerge w:val="continue"/>
          </w:tcPr>
          <w:p>
            <w:pPr>
              <w:spacing w:after="0"/>
              <w:rPr>
                <w:sz w:val="6"/>
                <w:szCs w:val="6"/>
                <w:color w:val="auto"/>
              </w:rPr>
            </w:pPr>
          </w:p>
        </w:tc>
        <w:tc>
          <w:tcPr>
            <w:tcW w:w="3620" w:type="dxa"/>
            <w:vAlign w:val="bottom"/>
            <w:tcBorders>
              <w:right w:val="single" w:sz="8" w:color="CB233C"/>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3580" w:type="dxa"/>
            <w:vAlign w:val="bottom"/>
            <w:tcBorders>
              <w:left w:val="single" w:sz="8" w:color="CB233C"/>
            </w:tcBorders>
            <w:gridSpan w:val="3"/>
            <w:vMerge w:val="continue"/>
          </w:tcPr>
          <w:p>
            <w:pPr>
              <w:spacing w:after="0"/>
              <w:rPr>
                <w:sz w:val="3"/>
                <w:szCs w:val="3"/>
                <w:color w:val="auto"/>
              </w:rPr>
            </w:pPr>
          </w:p>
        </w:tc>
        <w:tc>
          <w:tcPr>
            <w:tcW w:w="4060" w:type="dxa"/>
            <w:vAlign w:val="bottom"/>
          </w:tcPr>
          <w:p>
            <w:pPr>
              <w:spacing w:after="0"/>
              <w:rPr>
                <w:sz w:val="3"/>
                <w:szCs w:val="3"/>
                <w:color w:val="auto"/>
              </w:rPr>
            </w:pPr>
          </w:p>
        </w:tc>
        <w:tc>
          <w:tcPr>
            <w:tcW w:w="3620" w:type="dxa"/>
            <w:vAlign w:val="bottom"/>
            <w:tcBorders>
              <w:right w:val="single" w:sz="8" w:color="CB233C"/>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3580" w:type="dxa"/>
            <w:vAlign w:val="bottom"/>
            <w:tcBorders>
              <w:left w:val="single" w:sz="8" w:color="CB233C"/>
            </w:tcBorders>
            <w:gridSpan w:val="3"/>
            <w:vMerge w:val="continue"/>
          </w:tcPr>
          <w:p>
            <w:pPr>
              <w:spacing w:after="0"/>
              <w:rPr>
                <w:sz w:val="5"/>
                <w:szCs w:val="5"/>
                <w:color w:val="auto"/>
              </w:rPr>
            </w:pPr>
          </w:p>
        </w:tc>
        <w:tc>
          <w:tcPr>
            <w:tcW w:w="4060" w:type="dxa"/>
            <w:vAlign w:val="bottom"/>
            <w:vMerge w:val="restart"/>
          </w:tcPr>
          <w:p>
            <w:pPr>
              <w:ind w:left="680"/>
              <w:spacing w:after="0"/>
              <w:rPr>
                <w:sz w:val="20"/>
                <w:szCs w:val="20"/>
                <w:color w:val="auto"/>
              </w:rPr>
            </w:pPr>
            <w:r>
              <w:rPr>
                <w:rFonts w:ascii="Arial" w:cs="Arial" w:eastAsia="Arial" w:hAnsi="Arial"/>
                <w:sz w:val="16"/>
                <w:szCs w:val="16"/>
                <w:color w:val="auto"/>
              </w:rPr>
              <w:t>Changed performance unit mix from 100%</w:t>
            </w:r>
          </w:p>
        </w:tc>
        <w:tc>
          <w:tcPr>
            <w:tcW w:w="3620" w:type="dxa"/>
            <w:vAlign w:val="bottom"/>
            <w:tcBorders>
              <w:right w:val="single" w:sz="8" w:color="CB233C"/>
            </w:tcBorders>
            <w:vMerge w:val="restart"/>
          </w:tcPr>
          <w:p>
            <w:pPr>
              <w:ind w:left="460"/>
              <w:spacing w:after="0"/>
              <w:rPr>
                <w:sz w:val="20"/>
                <w:szCs w:val="20"/>
                <w:color w:val="auto"/>
              </w:rPr>
            </w:pPr>
            <w:r>
              <w:rPr>
                <w:rFonts w:ascii="Arial" w:cs="Arial" w:eastAsia="Arial" w:hAnsi="Arial"/>
                <w:sz w:val="16"/>
                <w:szCs w:val="16"/>
                <w:color w:val="auto"/>
              </w:rPr>
              <w:t>of performance units</w:t>
            </w:r>
          </w:p>
        </w:tc>
        <w:tc>
          <w:tcPr>
            <w:tcW w:w="0" w:type="dxa"/>
            <w:vAlign w:val="bottom"/>
          </w:tcPr>
          <w:p>
            <w:pPr>
              <w:spacing w:after="0"/>
              <w:rPr>
                <w:sz w:val="1"/>
                <w:szCs w:val="1"/>
                <w:color w:val="auto"/>
              </w:rPr>
            </w:pPr>
          </w:p>
        </w:tc>
      </w:tr>
      <w:tr>
        <w:trPr>
          <w:trHeight w:val="121"/>
        </w:trPr>
        <w:tc>
          <w:tcPr>
            <w:tcW w:w="3580" w:type="dxa"/>
            <w:vAlign w:val="bottom"/>
            <w:tcBorders>
              <w:left w:val="single" w:sz="8" w:color="CB233C"/>
            </w:tcBorders>
            <w:gridSpan w:val="3"/>
            <w:vMerge w:val="restart"/>
          </w:tcPr>
          <w:p>
            <w:pPr>
              <w:ind w:left="420"/>
              <w:spacing w:after="0"/>
              <w:rPr>
                <w:sz w:val="20"/>
                <w:szCs w:val="20"/>
                <w:color w:val="auto"/>
              </w:rPr>
            </w:pPr>
            <w:r>
              <w:rPr>
                <w:rFonts w:ascii="Arial" w:cs="Arial" w:eastAsia="Arial" w:hAnsi="Arial"/>
                <w:sz w:val="16"/>
                <w:szCs w:val="16"/>
                <w:color w:val="auto"/>
              </w:rPr>
              <w:t>•  Country club membership dues</w:t>
            </w:r>
          </w:p>
        </w:tc>
        <w:tc>
          <w:tcPr>
            <w:tcW w:w="4060" w:type="dxa"/>
            <w:vAlign w:val="bottom"/>
            <w:vMerge w:val="continue"/>
          </w:tcPr>
          <w:p>
            <w:pPr>
              <w:spacing w:after="0"/>
              <w:rPr>
                <w:sz w:val="10"/>
                <w:szCs w:val="10"/>
                <w:color w:val="auto"/>
              </w:rPr>
            </w:pPr>
          </w:p>
        </w:tc>
        <w:tc>
          <w:tcPr>
            <w:tcW w:w="3620" w:type="dxa"/>
            <w:vAlign w:val="bottom"/>
            <w:tcBorders>
              <w:right w:val="single" w:sz="8" w:color="CB233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580" w:type="dxa"/>
            <w:vAlign w:val="bottom"/>
            <w:tcBorders>
              <w:left w:val="single" w:sz="8" w:color="CB233C"/>
            </w:tcBorders>
            <w:gridSpan w:val="3"/>
            <w:vMerge w:val="continue"/>
          </w:tcPr>
          <w:p>
            <w:pPr>
              <w:spacing w:after="0"/>
              <w:rPr>
                <w:sz w:val="5"/>
                <w:szCs w:val="5"/>
                <w:color w:val="auto"/>
              </w:rPr>
            </w:pPr>
          </w:p>
        </w:tc>
        <w:tc>
          <w:tcPr>
            <w:tcW w:w="4060" w:type="dxa"/>
            <w:vAlign w:val="bottom"/>
            <w:vMerge w:val="restart"/>
          </w:tcPr>
          <w:p>
            <w:pPr>
              <w:ind w:left="680"/>
              <w:spacing w:after="0"/>
              <w:rPr>
                <w:sz w:val="20"/>
                <w:szCs w:val="20"/>
                <w:color w:val="auto"/>
              </w:rPr>
            </w:pPr>
            <w:r>
              <w:rPr>
                <w:rFonts w:ascii="Arial" w:cs="Arial" w:eastAsia="Arial" w:hAnsi="Arial"/>
                <w:sz w:val="16"/>
                <w:szCs w:val="16"/>
                <w:color w:val="auto"/>
              </w:rPr>
              <w:t>cash to 50% cash and 50% performance</w:t>
            </w:r>
          </w:p>
        </w:tc>
        <w:tc>
          <w:tcPr>
            <w:tcW w:w="3620" w:type="dxa"/>
            <w:vAlign w:val="bottom"/>
            <w:tcBorders>
              <w:right w:val="single" w:sz="8" w:color="CB233C"/>
            </w:tcBorders>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540" w:type="dxa"/>
            <w:vAlign w:val="bottom"/>
            <w:tcBorders>
              <w:left w:val="single" w:sz="8" w:color="CB233C"/>
            </w:tcBorders>
            <w:vMerge w:val="restart"/>
          </w:tcPr>
          <w:p>
            <w:pPr>
              <w:ind w:left="420"/>
              <w:spacing w:after="0"/>
              <w:rPr>
                <w:sz w:val="20"/>
                <w:szCs w:val="20"/>
                <w:color w:val="auto"/>
              </w:rPr>
            </w:pPr>
            <w:r>
              <w:rPr>
                <w:rFonts w:ascii="Arial" w:cs="Arial" w:eastAsia="Arial" w:hAnsi="Arial"/>
                <w:sz w:val="16"/>
                <w:szCs w:val="16"/>
                <w:color w:val="auto"/>
              </w:rPr>
              <w:t>•</w:t>
            </w:r>
          </w:p>
        </w:tc>
        <w:tc>
          <w:tcPr>
            <w:tcW w:w="3040" w:type="dxa"/>
            <w:vAlign w:val="bottom"/>
            <w:gridSpan w:val="2"/>
            <w:vMerge w:val="restart"/>
          </w:tcPr>
          <w:p>
            <w:pPr>
              <w:ind w:left="60"/>
              <w:spacing w:after="0"/>
              <w:rPr>
                <w:sz w:val="20"/>
                <w:szCs w:val="20"/>
                <w:color w:val="auto"/>
              </w:rPr>
            </w:pPr>
            <w:r>
              <w:rPr>
                <w:rFonts w:ascii="Arial" w:cs="Arial" w:eastAsia="Arial" w:hAnsi="Arial"/>
                <w:sz w:val="16"/>
                <w:szCs w:val="16"/>
                <w:color w:val="auto"/>
              </w:rPr>
              <w:t>Financial planning</w:t>
            </w:r>
          </w:p>
        </w:tc>
        <w:tc>
          <w:tcPr>
            <w:tcW w:w="4060" w:type="dxa"/>
            <w:vAlign w:val="bottom"/>
            <w:vMerge w:val="continue"/>
          </w:tcPr>
          <w:p>
            <w:pPr>
              <w:spacing w:after="0"/>
              <w:rPr>
                <w:sz w:val="10"/>
                <w:szCs w:val="10"/>
                <w:color w:val="auto"/>
              </w:rPr>
            </w:pPr>
          </w:p>
        </w:tc>
        <w:tc>
          <w:tcPr>
            <w:tcW w:w="3620" w:type="dxa"/>
            <w:vAlign w:val="bottom"/>
            <w:tcBorders>
              <w:right w:val="single" w:sz="8" w:color="CB233C"/>
            </w:tcBorders>
            <w:vMerge w:val="restart"/>
          </w:tcPr>
          <w:p>
            <w:pPr>
              <w:ind w:left="460"/>
              <w:spacing w:after="0"/>
              <w:rPr>
                <w:sz w:val="20"/>
                <w:szCs w:val="20"/>
                <w:color w:val="auto"/>
              </w:rPr>
            </w:pPr>
            <w:r>
              <w:rPr>
                <w:rFonts w:ascii="Arial" w:cs="Arial" w:eastAsia="Arial" w:hAnsi="Arial"/>
                <w:sz w:val="16"/>
                <w:szCs w:val="16"/>
                <w:color w:val="auto"/>
              </w:rPr>
              <w:t>Added to this CD&amp;A answers to</w:t>
            </w:r>
          </w:p>
        </w:tc>
        <w:tc>
          <w:tcPr>
            <w:tcW w:w="0" w:type="dxa"/>
            <w:vAlign w:val="bottom"/>
          </w:tcPr>
          <w:p>
            <w:pPr>
              <w:spacing w:after="0"/>
              <w:rPr>
                <w:sz w:val="1"/>
                <w:szCs w:val="1"/>
                <w:color w:val="auto"/>
              </w:rPr>
            </w:pPr>
          </w:p>
        </w:tc>
      </w:tr>
      <w:tr>
        <w:trPr>
          <w:trHeight w:val="68"/>
        </w:trPr>
        <w:tc>
          <w:tcPr>
            <w:tcW w:w="540" w:type="dxa"/>
            <w:vAlign w:val="bottom"/>
            <w:tcBorders>
              <w:left w:val="single" w:sz="8" w:color="CB233C"/>
            </w:tcBorders>
            <w:vMerge w:val="continue"/>
          </w:tcPr>
          <w:p>
            <w:pPr>
              <w:spacing w:after="0"/>
              <w:rPr>
                <w:sz w:val="5"/>
                <w:szCs w:val="5"/>
                <w:color w:val="auto"/>
              </w:rPr>
            </w:pPr>
          </w:p>
        </w:tc>
        <w:tc>
          <w:tcPr>
            <w:tcW w:w="3040" w:type="dxa"/>
            <w:vAlign w:val="bottom"/>
            <w:gridSpan w:val="2"/>
            <w:vMerge w:val="continue"/>
          </w:tcPr>
          <w:p>
            <w:pPr>
              <w:spacing w:after="0"/>
              <w:rPr>
                <w:sz w:val="5"/>
                <w:szCs w:val="5"/>
                <w:color w:val="auto"/>
              </w:rPr>
            </w:pPr>
          </w:p>
        </w:tc>
        <w:tc>
          <w:tcPr>
            <w:tcW w:w="4060" w:type="dxa"/>
            <w:vAlign w:val="bottom"/>
            <w:vMerge w:val="restart"/>
          </w:tcPr>
          <w:p>
            <w:pPr>
              <w:ind w:left="680"/>
              <w:spacing w:after="0"/>
              <w:rPr>
                <w:sz w:val="20"/>
                <w:szCs w:val="20"/>
                <w:color w:val="auto"/>
              </w:rPr>
            </w:pPr>
            <w:r>
              <w:rPr>
                <w:rFonts w:ascii="Arial" w:cs="Arial" w:eastAsia="Arial" w:hAnsi="Arial"/>
                <w:sz w:val="16"/>
                <w:szCs w:val="16"/>
                <w:color w:val="auto"/>
              </w:rPr>
              <w:t>shares</w:t>
            </w:r>
          </w:p>
        </w:tc>
        <w:tc>
          <w:tcPr>
            <w:tcW w:w="3620" w:type="dxa"/>
            <w:vAlign w:val="bottom"/>
            <w:tcBorders>
              <w:right w:val="single" w:sz="8" w:color="CB233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40" w:type="dxa"/>
            <w:vAlign w:val="bottom"/>
            <w:tcBorders>
              <w:left w:val="single" w:sz="8" w:color="CB233C"/>
            </w:tcBorders>
            <w:vMerge w:val="restart"/>
          </w:tcPr>
          <w:p>
            <w:pPr>
              <w:ind w:left="420"/>
              <w:spacing w:after="0"/>
              <w:rPr>
                <w:sz w:val="20"/>
                <w:szCs w:val="20"/>
                <w:color w:val="auto"/>
              </w:rPr>
            </w:pPr>
            <w:r>
              <w:rPr>
                <w:rFonts w:ascii="Arial" w:cs="Arial" w:eastAsia="Arial" w:hAnsi="Arial"/>
                <w:sz w:val="16"/>
                <w:szCs w:val="16"/>
                <w:color w:val="auto"/>
              </w:rPr>
              <w:t>•</w:t>
            </w:r>
          </w:p>
        </w:tc>
        <w:tc>
          <w:tcPr>
            <w:tcW w:w="3040" w:type="dxa"/>
            <w:vAlign w:val="bottom"/>
            <w:gridSpan w:val="2"/>
            <w:vMerge w:val="restart"/>
          </w:tcPr>
          <w:p>
            <w:pPr>
              <w:ind w:left="60"/>
              <w:spacing w:after="0"/>
              <w:rPr>
                <w:sz w:val="20"/>
                <w:szCs w:val="20"/>
                <w:color w:val="auto"/>
              </w:rPr>
            </w:pPr>
            <w:r>
              <w:rPr>
                <w:rFonts w:ascii="Arial" w:cs="Arial" w:eastAsia="Arial" w:hAnsi="Arial"/>
                <w:sz w:val="16"/>
                <w:szCs w:val="16"/>
                <w:color w:val="auto"/>
              </w:rPr>
              <w:t>Executive physicals</w:t>
            </w:r>
          </w:p>
        </w:tc>
        <w:tc>
          <w:tcPr>
            <w:tcW w:w="4060" w:type="dxa"/>
            <w:vAlign w:val="bottom"/>
            <w:vMerge w:val="continue"/>
          </w:tcPr>
          <w:p>
            <w:pPr>
              <w:spacing w:after="0"/>
              <w:rPr>
                <w:sz w:val="12"/>
                <w:szCs w:val="12"/>
                <w:color w:val="auto"/>
              </w:rPr>
            </w:pPr>
          </w:p>
        </w:tc>
        <w:tc>
          <w:tcPr>
            <w:tcW w:w="3620" w:type="dxa"/>
            <w:vAlign w:val="bottom"/>
            <w:tcBorders>
              <w:right w:val="single" w:sz="8" w:color="CB233C"/>
            </w:tcBorders>
            <w:vMerge w:val="restart"/>
          </w:tcPr>
          <w:p>
            <w:pPr>
              <w:ind w:left="460"/>
              <w:spacing w:after="0"/>
              <w:rPr>
                <w:sz w:val="20"/>
                <w:szCs w:val="20"/>
                <w:color w:val="auto"/>
              </w:rPr>
            </w:pPr>
            <w:r>
              <w:rPr>
                <w:rFonts w:ascii="Arial" w:cs="Arial" w:eastAsia="Arial" w:hAnsi="Arial"/>
                <w:sz w:val="16"/>
                <w:szCs w:val="16"/>
                <w:color w:val="auto"/>
              </w:rPr>
              <w:t>representative shareholder questions from</w:t>
            </w:r>
          </w:p>
        </w:tc>
        <w:tc>
          <w:tcPr>
            <w:tcW w:w="0" w:type="dxa"/>
            <w:vAlign w:val="bottom"/>
          </w:tcPr>
          <w:p>
            <w:pPr>
              <w:spacing w:after="0"/>
              <w:rPr>
                <w:sz w:val="1"/>
                <w:szCs w:val="1"/>
                <w:color w:val="auto"/>
              </w:rPr>
            </w:pPr>
          </w:p>
        </w:tc>
      </w:tr>
      <w:tr>
        <w:trPr>
          <w:trHeight w:val="42"/>
        </w:trPr>
        <w:tc>
          <w:tcPr>
            <w:tcW w:w="540" w:type="dxa"/>
            <w:vAlign w:val="bottom"/>
            <w:tcBorders>
              <w:left w:val="single" w:sz="8" w:color="CB233C"/>
            </w:tcBorders>
            <w:vMerge w:val="continue"/>
          </w:tcPr>
          <w:p>
            <w:pPr>
              <w:spacing w:after="0"/>
              <w:rPr>
                <w:sz w:val="3"/>
                <w:szCs w:val="3"/>
                <w:color w:val="auto"/>
              </w:rPr>
            </w:pPr>
          </w:p>
        </w:tc>
        <w:tc>
          <w:tcPr>
            <w:tcW w:w="3040" w:type="dxa"/>
            <w:vAlign w:val="bottom"/>
            <w:gridSpan w:val="2"/>
            <w:vMerge w:val="continue"/>
          </w:tcPr>
          <w:p>
            <w:pPr>
              <w:spacing w:after="0"/>
              <w:rPr>
                <w:sz w:val="3"/>
                <w:szCs w:val="3"/>
                <w:color w:val="auto"/>
              </w:rPr>
            </w:pPr>
          </w:p>
        </w:tc>
        <w:tc>
          <w:tcPr>
            <w:tcW w:w="4060" w:type="dxa"/>
            <w:vAlign w:val="bottom"/>
          </w:tcPr>
          <w:p>
            <w:pPr>
              <w:spacing w:after="0"/>
              <w:rPr>
                <w:sz w:val="3"/>
                <w:szCs w:val="3"/>
                <w:color w:val="auto"/>
              </w:rPr>
            </w:pPr>
          </w:p>
        </w:tc>
        <w:tc>
          <w:tcPr>
            <w:tcW w:w="3620" w:type="dxa"/>
            <w:vAlign w:val="bottom"/>
            <w:tcBorders>
              <w:right w:val="single" w:sz="8" w:color="CB233C"/>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580" w:type="dxa"/>
            <w:vAlign w:val="bottom"/>
            <w:tcBorders>
              <w:left w:val="single" w:sz="8" w:color="CB233C"/>
            </w:tcBorders>
            <w:gridSpan w:val="3"/>
          </w:tcPr>
          <w:p>
            <w:pPr>
              <w:ind w:left="420"/>
              <w:spacing w:after="0"/>
              <w:rPr>
                <w:sz w:val="20"/>
                <w:szCs w:val="20"/>
                <w:color w:val="auto"/>
              </w:rPr>
            </w:pPr>
            <w:r>
              <w:rPr>
                <w:rFonts w:ascii="Arial" w:cs="Arial" w:eastAsia="Arial" w:hAnsi="Arial"/>
                <w:sz w:val="16"/>
                <w:szCs w:val="16"/>
                <w:color w:val="auto"/>
              </w:rPr>
              <w:t>•  Tax gross ups for personal use of</w:t>
            </w:r>
          </w:p>
        </w:tc>
        <w:tc>
          <w:tcPr>
            <w:tcW w:w="4060" w:type="dxa"/>
            <w:vAlign w:val="bottom"/>
          </w:tcPr>
          <w:p>
            <w:pPr>
              <w:ind w:left="660"/>
              <w:spacing w:after="0"/>
              <w:rPr>
                <w:sz w:val="20"/>
                <w:szCs w:val="20"/>
                <w:color w:val="auto"/>
              </w:rPr>
            </w:pPr>
            <w:r>
              <w:rPr>
                <w:rFonts w:ascii="Arial" w:cs="Arial" w:eastAsia="Arial" w:hAnsi="Arial"/>
                <w:sz w:val="16"/>
                <w:szCs w:val="16"/>
                <w:color w:val="auto"/>
              </w:rPr>
              <w:t>Added relative TSR modifier metric for</w:t>
            </w:r>
          </w:p>
        </w:tc>
        <w:tc>
          <w:tcPr>
            <w:tcW w:w="3620" w:type="dxa"/>
            <w:vAlign w:val="bottom"/>
            <w:tcBorders>
              <w:right w:val="single" w:sz="8" w:color="CB233C"/>
            </w:tcBorders>
          </w:tcPr>
          <w:p>
            <w:pPr>
              <w:ind w:left="460"/>
              <w:spacing w:after="0"/>
              <w:rPr>
                <w:sz w:val="20"/>
                <w:szCs w:val="20"/>
                <w:color w:val="auto"/>
              </w:rPr>
            </w:pPr>
            <w:r>
              <w:rPr>
                <w:rFonts w:ascii="Arial" w:cs="Arial" w:eastAsia="Arial" w:hAnsi="Arial"/>
                <w:sz w:val="16"/>
                <w:szCs w:val="16"/>
                <w:color w:val="auto"/>
              </w:rPr>
              <w:t>Murry S. Gerber, the Chair of our</w:t>
            </w:r>
          </w:p>
        </w:tc>
        <w:tc>
          <w:tcPr>
            <w:tcW w:w="0" w:type="dxa"/>
            <w:vAlign w:val="bottom"/>
          </w:tcPr>
          <w:p>
            <w:pPr>
              <w:spacing w:after="0"/>
              <w:rPr>
                <w:sz w:val="1"/>
                <w:szCs w:val="1"/>
                <w:color w:val="auto"/>
              </w:rPr>
            </w:pPr>
          </w:p>
        </w:tc>
      </w:tr>
      <w:tr>
        <w:trPr>
          <w:trHeight w:val="189"/>
        </w:trPr>
        <w:tc>
          <w:tcPr>
            <w:tcW w:w="540" w:type="dxa"/>
            <w:vAlign w:val="bottom"/>
            <w:tcBorders>
              <w:left w:val="single" w:sz="8" w:color="CB233C"/>
            </w:tcBorders>
          </w:tcPr>
          <w:p>
            <w:pPr>
              <w:spacing w:after="0"/>
              <w:rPr>
                <w:sz w:val="16"/>
                <w:szCs w:val="16"/>
                <w:color w:val="auto"/>
              </w:rPr>
            </w:pPr>
          </w:p>
        </w:tc>
        <w:tc>
          <w:tcPr>
            <w:tcW w:w="3040" w:type="dxa"/>
            <w:vAlign w:val="bottom"/>
            <w:gridSpan w:val="2"/>
          </w:tcPr>
          <w:p>
            <w:pPr>
              <w:ind w:left="100"/>
              <w:spacing w:after="0"/>
              <w:rPr>
                <w:sz w:val="20"/>
                <w:szCs w:val="20"/>
                <w:color w:val="auto"/>
              </w:rPr>
            </w:pPr>
            <w:r>
              <w:rPr>
                <w:rFonts w:ascii="Arial" w:cs="Arial" w:eastAsia="Arial" w:hAnsi="Arial"/>
                <w:sz w:val="16"/>
                <w:szCs w:val="16"/>
                <w:color w:val="auto"/>
              </w:rPr>
              <w:t>corporate aircraft</w:t>
            </w:r>
          </w:p>
        </w:tc>
        <w:tc>
          <w:tcPr>
            <w:tcW w:w="4060" w:type="dxa"/>
            <w:vAlign w:val="bottom"/>
          </w:tcPr>
          <w:p>
            <w:pPr>
              <w:ind w:left="680"/>
              <w:spacing w:after="0"/>
              <w:rPr>
                <w:sz w:val="20"/>
                <w:szCs w:val="20"/>
                <w:color w:val="auto"/>
              </w:rPr>
            </w:pPr>
            <w:r>
              <w:rPr>
                <w:rFonts w:ascii="Arial" w:cs="Arial" w:eastAsia="Arial" w:hAnsi="Arial"/>
                <w:sz w:val="16"/>
                <w:szCs w:val="16"/>
                <w:color w:val="auto"/>
              </w:rPr>
              <w:t>determining long-term performance-based</w:t>
            </w:r>
          </w:p>
        </w:tc>
        <w:tc>
          <w:tcPr>
            <w:tcW w:w="3620" w:type="dxa"/>
            <w:vAlign w:val="bottom"/>
            <w:tcBorders>
              <w:right w:val="single" w:sz="8" w:color="CB233C"/>
            </w:tcBorders>
          </w:tcPr>
          <w:p>
            <w:pPr>
              <w:ind w:left="460"/>
              <w:spacing w:after="0"/>
              <w:rPr>
                <w:sz w:val="20"/>
                <w:szCs w:val="20"/>
                <w:color w:val="auto"/>
              </w:rPr>
            </w:pPr>
            <w:r>
              <w:rPr>
                <w:rFonts w:ascii="Arial" w:cs="Arial" w:eastAsia="Arial" w:hAnsi="Arial"/>
                <w:sz w:val="16"/>
                <w:szCs w:val="16"/>
                <w:color w:val="auto"/>
              </w:rPr>
              <w:t>Compensation Committee, to provide</w:t>
            </w:r>
          </w:p>
        </w:tc>
        <w:tc>
          <w:tcPr>
            <w:tcW w:w="0" w:type="dxa"/>
            <w:vAlign w:val="bottom"/>
          </w:tcPr>
          <w:p>
            <w:pPr>
              <w:spacing w:after="0"/>
              <w:rPr>
                <w:sz w:val="1"/>
                <w:szCs w:val="1"/>
                <w:color w:val="auto"/>
              </w:rPr>
            </w:pPr>
          </w:p>
        </w:tc>
      </w:tr>
      <w:tr>
        <w:trPr>
          <w:trHeight w:val="189"/>
        </w:trPr>
        <w:tc>
          <w:tcPr>
            <w:tcW w:w="540" w:type="dxa"/>
            <w:vAlign w:val="bottom"/>
            <w:tcBorders>
              <w:left w:val="single" w:sz="8" w:color="CB233C"/>
            </w:tcBorders>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60" w:type="dxa"/>
            <w:vAlign w:val="bottom"/>
          </w:tcPr>
          <w:p>
            <w:pPr>
              <w:ind w:left="680"/>
              <w:spacing w:after="0"/>
              <w:rPr>
                <w:sz w:val="20"/>
                <w:szCs w:val="20"/>
                <w:color w:val="auto"/>
              </w:rPr>
            </w:pPr>
            <w:r>
              <w:rPr>
                <w:rFonts w:ascii="Arial" w:cs="Arial" w:eastAsia="Arial" w:hAnsi="Arial"/>
                <w:sz w:val="16"/>
                <w:szCs w:val="16"/>
                <w:color w:val="auto"/>
              </w:rPr>
              <w:t>awards</w:t>
            </w:r>
          </w:p>
        </w:tc>
        <w:tc>
          <w:tcPr>
            <w:tcW w:w="3620" w:type="dxa"/>
            <w:vAlign w:val="bottom"/>
            <w:tcBorders>
              <w:right w:val="single" w:sz="8" w:color="CB233C"/>
            </w:tcBorders>
          </w:tcPr>
          <w:p>
            <w:pPr>
              <w:ind w:left="460"/>
              <w:spacing w:after="0"/>
              <w:rPr>
                <w:sz w:val="20"/>
                <w:szCs w:val="20"/>
                <w:color w:val="auto"/>
              </w:rPr>
            </w:pPr>
            <w:r>
              <w:rPr>
                <w:rFonts w:ascii="Arial" w:cs="Arial" w:eastAsia="Arial" w:hAnsi="Arial"/>
                <w:sz w:val="16"/>
                <w:szCs w:val="16"/>
                <w:color w:val="auto"/>
              </w:rPr>
              <w:t>additional clarity around the rationale for</w:t>
            </w:r>
          </w:p>
        </w:tc>
        <w:tc>
          <w:tcPr>
            <w:tcW w:w="0" w:type="dxa"/>
            <w:vAlign w:val="bottom"/>
          </w:tcPr>
          <w:p>
            <w:pPr>
              <w:spacing w:after="0"/>
              <w:rPr>
                <w:sz w:val="1"/>
                <w:szCs w:val="1"/>
                <w:color w:val="auto"/>
              </w:rPr>
            </w:pPr>
          </w:p>
        </w:tc>
      </w:tr>
      <w:tr>
        <w:trPr>
          <w:trHeight w:val="189"/>
        </w:trPr>
        <w:tc>
          <w:tcPr>
            <w:tcW w:w="540" w:type="dxa"/>
            <w:vAlign w:val="bottom"/>
            <w:tcBorders>
              <w:left w:val="single" w:sz="8" w:color="CB233C"/>
            </w:tcBorders>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60" w:type="dxa"/>
            <w:vAlign w:val="bottom"/>
            <w:vMerge w:val="restart"/>
          </w:tcPr>
          <w:p>
            <w:pPr>
              <w:ind w:left="680"/>
              <w:spacing w:after="0"/>
              <w:rPr>
                <w:sz w:val="20"/>
                <w:szCs w:val="20"/>
                <w:color w:val="auto"/>
              </w:rPr>
            </w:pPr>
            <w:r>
              <w:rPr>
                <w:rFonts w:ascii="Arial" w:cs="Arial" w:eastAsia="Arial" w:hAnsi="Arial"/>
                <w:sz w:val="16"/>
                <w:szCs w:val="16"/>
                <w:color w:val="auto"/>
              </w:rPr>
              <w:t>Modified short-term incentive metrics to</w:t>
            </w:r>
          </w:p>
        </w:tc>
        <w:tc>
          <w:tcPr>
            <w:tcW w:w="3620" w:type="dxa"/>
            <w:vAlign w:val="bottom"/>
            <w:tcBorders>
              <w:right w:val="single" w:sz="8" w:color="CB233C"/>
            </w:tcBorders>
          </w:tcPr>
          <w:p>
            <w:pPr>
              <w:ind w:left="460"/>
              <w:spacing w:after="0"/>
              <w:rPr>
                <w:sz w:val="20"/>
                <w:szCs w:val="20"/>
                <w:color w:val="auto"/>
              </w:rPr>
            </w:pPr>
            <w:r>
              <w:rPr>
                <w:rFonts w:ascii="Arial" w:cs="Arial" w:eastAsia="Arial" w:hAnsi="Arial"/>
                <w:sz w:val="16"/>
                <w:szCs w:val="16"/>
                <w:color w:val="auto"/>
              </w:rPr>
              <w:t>our approach to executive pay (see pages</w:t>
            </w:r>
          </w:p>
        </w:tc>
        <w:tc>
          <w:tcPr>
            <w:tcW w:w="0" w:type="dxa"/>
            <w:vAlign w:val="bottom"/>
          </w:tcPr>
          <w:p>
            <w:pPr>
              <w:spacing w:after="0"/>
              <w:rPr>
                <w:sz w:val="1"/>
                <w:szCs w:val="1"/>
                <w:color w:val="auto"/>
              </w:rPr>
            </w:pPr>
          </w:p>
        </w:tc>
      </w:tr>
      <w:tr>
        <w:trPr>
          <w:trHeight w:val="68"/>
        </w:trPr>
        <w:tc>
          <w:tcPr>
            <w:tcW w:w="540" w:type="dxa"/>
            <w:vAlign w:val="bottom"/>
            <w:tcBorders>
              <w:left w:val="single" w:sz="8" w:color="CB233C"/>
            </w:tcBorders>
          </w:tcPr>
          <w:p>
            <w:pPr>
              <w:spacing w:after="0"/>
              <w:rPr>
                <w:sz w:val="5"/>
                <w:szCs w:val="5"/>
                <w:color w:val="auto"/>
              </w:rPr>
            </w:pPr>
          </w:p>
        </w:tc>
        <w:tc>
          <w:tcPr>
            <w:tcW w:w="12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4060" w:type="dxa"/>
            <w:vAlign w:val="bottom"/>
            <w:vMerge w:val="continue"/>
          </w:tcPr>
          <w:p>
            <w:pPr>
              <w:spacing w:after="0"/>
              <w:rPr>
                <w:sz w:val="5"/>
                <w:szCs w:val="5"/>
                <w:color w:val="auto"/>
              </w:rPr>
            </w:pPr>
          </w:p>
        </w:tc>
        <w:tc>
          <w:tcPr>
            <w:tcW w:w="3620" w:type="dxa"/>
            <w:vAlign w:val="bottom"/>
            <w:tcBorders>
              <w:right w:val="single" w:sz="8" w:color="CB233C"/>
            </w:tcBorders>
            <w:vMerge w:val="restart"/>
          </w:tcPr>
          <w:p>
            <w:pPr>
              <w:ind w:left="460"/>
              <w:spacing w:after="0"/>
              <w:rPr>
                <w:sz w:val="20"/>
                <w:szCs w:val="20"/>
                <w:color w:val="auto"/>
              </w:rPr>
            </w:pPr>
            <w:r>
              <w:rPr>
                <w:rFonts w:ascii="Arial" w:cs="Arial" w:eastAsia="Arial" w:hAnsi="Arial"/>
                <w:sz w:val="16"/>
                <w:szCs w:val="16"/>
                <w:color w:val="auto"/>
              </w:rPr>
              <w:t>33-34)</w:t>
            </w:r>
          </w:p>
        </w:tc>
        <w:tc>
          <w:tcPr>
            <w:tcW w:w="0" w:type="dxa"/>
            <w:vAlign w:val="bottom"/>
          </w:tcPr>
          <w:p>
            <w:pPr>
              <w:spacing w:after="0"/>
              <w:rPr>
                <w:sz w:val="1"/>
                <w:szCs w:val="1"/>
                <w:color w:val="auto"/>
              </w:rPr>
            </w:pPr>
          </w:p>
        </w:tc>
      </w:tr>
      <w:tr>
        <w:trPr>
          <w:trHeight w:val="147"/>
        </w:trPr>
        <w:tc>
          <w:tcPr>
            <w:tcW w:w="540" w:type="dxa"/>
            <w:vAlign w:val="bottom"/>
            <w:tcBorders>
              <w:left w:val="single" w:sz="8" w:color="CB233C"/>
            </w:tcBorders>
          </w:tcPr>
          <w:p>
            <w:pPr>
              <w:spacing w:after="0"/>
              <w:rPr>
                <w:sz w:val="12"/>
                <w:szCs w:val="12"/>
                <w:color w:val="auto"/>
              </w:rPr>
            </w:pPr>
          </w:p>
        </w:tc>
        <w:tc>
          <w:tcPr>
            <w:tcW w:w="1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60" w:type="dxa"/>
            <w:vAlign w:val="bottom"/>
            <w:vMerge w:val="restart"/>
          </w:tcPr>
          <w:p>
            <w:pPr>
              <w:ind w:left="680"/>
              <w:spacing w:after="0"/>
              <w:rPr>
                <w:sz w:val="20"/>
                <w:szCs w:val="20"/>
                <w:color w:val="auto"/>
              </w:rPr>
            </w:pPr>
            <w:r>
              <w:rPr>
                <w:rFonts w:ascii="Arial" w:cs="Arial" w:eastAsia="Arial" w:hAnsi="Arial"/>
                <w:sz w:val="16"/>
                <w:szCs w:val="16"/>
                <w:color w:val="auto"/>
              </w:rPr>
              <w:t>increase emphasis on free cash flow and</w:t>
            </w:r>
          </w:p>
        </w:tc>
        <w:tc>
          <w:tcPr>
            <w:tcW w:w="3620" w:type="dxa"/>
            <w:vAlign w:val="bottom"/>
            <w:tcBorders>
              <w:right w:val="single" w:sz="8" w:color="CB233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540" w:type="dxa"/>
            <w:vAlign w:val="bottom"/>
            <w:tcBorders>
              <w:left w:val="single" w:sz="8" w:color="CB233C"/>
            </w:tcBorders>
          </w:tcPr>
          <w:p>
            <w:pPr>
              <w:spacing w:after="0"/>
              <w:rPr>
                <w:sz w:val="3"/>
                <w:szCs w:val="3"/>
                <w:color w:val="auto"/>
              </w:rPr>
            </w:pPr>
          </w:p>
        </w:tc>
        <w:tc>
          <w:tcPr>
            <w:tcW w:w="12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4060" w:type="dxa"/>
            <w:vAlign w:val="bottom"/>
            <w:vMerge w:val="continue"/>
          </w:tcPr>
          <w:p>
            <w:pPr>
              <w:spacing w:after="0"/>
              <w:rPr>
                <w:sz w:val="3"/>
                <w:szCs w:val="3"/>
                <w:color w:val="auto"/>
              </w:rPr>
            </w:pPr>
          </w:p>
        </w:tc>
        <w:tc>
          <w:tcPr>
            <w:tcW w:w="3620" w:type="dxa"/>
            <w:vAlign w:val="bottom"/>
            <w:tcBorders>
              <w:right w:val="single" w:sz="8" w:color="CB233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CB233C"/>
            </w:tcBorders>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60" w:type="dxa"/>
            <w:vAlign w:val="bottom"/>
          </w:tcPr>
          <w:p>
            <w:pPr>
              <w:ind w:left="680"/>
              <w:spacing w:after="0"/>
              <w:rPr>
                <w:sz w:val="20"/>
                <w:szCs w:val="20"/>
                <w:color w:val="auto"/>
              </w:rPr>
            </w:pPr>
            <w:r>
              <w:rPr>
                <w:rFonts w:ascii="Arial" w:cs="Arial" w:eastAsia="Arial" w:hAnsi="Arial"/>
                <w:sz w:val="16"/>
                <w:szCs w:val="16"/>
                <w:color w:val="auto"/>
              </w:rPr>
              <w:t>capital discipline</w:t>
            </w:r>
          </w:p>
        </w:tc>
        <w:tc>
          <w:tcPr>
            <w:tcW w:w="3620" w:type="dxa"/>
            <w:vAlign w:val="bottom"/>
            <w:tcBorders>
              <w:right w:val="single" w:sz="8" w:color="CB233C"/>
            </w:tcBorders>
          </w:tcPr>
          <w:p>
            <w:pPr>
              <w:ind w:left="460"/>
              <w:spacing w:after="0"/>
              <w:rPr>
                <w:sz w:val="20"/>
                <w:szCs w:val="20"/>
                <w:color w:val="auto"/>
              </w:rPr>
            </w:pPr>
            <w:r>
              <w:rPr>
                <w:rFonts w:ascii="Arial" w:cs="Arial" w:eastAsia="Arial" w:hAnsi="Arial"/>
                <w:sz w:val="16"/>
                <w:szCs w:val="16"/>
                <w:color w:val="auto"/>
              </w:rPr>
              <w:t>Added disclosure to explain increase in</w:t>
            </w:r>
          </w:p>
        </w:tc>
        <w:tc>
          <w:tcPr>
            <w:tcW w:w="0" w:type="dxa"/>
            <w:vAlign w:val="bottom"/>
          </w:tcPr>
          <w:p>
            <w:pPr>
              <w:spacing w:after="0"/>
              <w:rPr>
                <w:sz w:val="1"/>
                <w:szCs w:val="1"/>
                <w:color w:val="auto"/>
              </w:rPr>
            </w:pPr>
          </w:p>
        </w:tc>
      </w:tr>
      <w:tr>
        <w:trPr>
          <w:trHeight w:val="189"/>
        </w:trPr>
        <w:tc>
          <w:tcPr>
            <w:tcW w:w="540" w:type="dxa"/>
            <w:vAlign w:val="bottom"/>
            <w:tcBorders>
              <w:left w:val="single" w:sz="8" w:color="CB233C"/>
            </w:tcBorders>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620" w:type="dxa"/>
            <w:vAlign w:val="bottom"/>
            <w:tcBorders>
              <w:right w:val="single" w:sz="8" w:color="CB233C"/>
            </w:tcBorders>
          </w:tcPr>
          <w:p>
            <w:pPr>
              <w:ind w:left="460"/>
              <w:spacing w:after="0"/>
              <w:rPr>
                <w:sz w:val="20"/>
                <w:szCs w:val="20"/>
                <w:color w:val="auto"/>
              </w:rPr>
            </w:pPr>
            <w:r>
              <w:rPr>
                <w:rFonts w:ascii="Arial" w:cs="Arial" w:eastAsia="Arial" w:hAnsi="Arial"/>
                <w:sz w:val="16"/>
                <w:szCs w:val="16"/>
                <w:color w:val="auto"/>
              </w:rPr>
              <w:t>CEO Summary Compensation Table</w:t>
            </w:r>
          </w:p>
        </w:tc>
        <w:tc>
          <w:tcPr>
            <w:tcW w:w="0" w:type="dxa"/>
            <w:vAlign w:val="bottom"/>
          </w:tcPr>
          <w:p>
            <w:pPr>
              <w:spacing w:after="0"/>
              <w:rPr>
                <w:sz w:val="1"/>
                <w:szCs w:val="1"/>
                <w:color w:val="auto"/>
              </w:rPr>
            </w:pPr>
          </w:p>
        </w:tc>
      </w:tr>
      <w:tr>
        <w:trPr>
          <w:trHeight w:val="189"/>
        </w:trPr>
        <w:tc>
          <w:tcPr>
            <w:tcW w:w="540" w:type="dxa"/>
            <w:vAlign w:val="bottom"/>
            <w:tcBorders>
              <w:left w:val="single" w:sz="8" w:color="CB233C"/>
            </w:tcBorders>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620" w:type="dxa"/>
            <w:vAlign w:val="bottom"/>
            <w:tcBorders>
              <w:right w:val="single" w:sz="8" w:color="CB233C"/>
            </w:tcBorders>
          </w:tcPr>
          <w:p>
            <w:pPr>
              <w:ind w:left="460"/>
              <w:spacing w:after="0"/>
              <w:rPr>
                <w:sz w:val="20"/>
                <w:szCs w:val="20"/>
                <w:color w:val="auto"/>
              </w:rPr>
            </w:pPr>
            <w:r>
              <w:rPr>
                <w:rFonts w:ascii="Arial" w:cs="Arial" w:eastAsia="Arial" w:hAnsi="Arial"/>
                <w:sz w:val="16"/>
                <w:szCs w:val="16"/>
                <w:color w:val="auto"/>
              </w:rPr>
              <w:t>compensation resulting from the 2020</w:t>
            </w:r>
          </w:p>
        </w:tc>
        <w:tc>
          <w:tcPr>
            <w:tcW w:w="0" w:type="dxa"/>
            <w:vAlign w:val="bottom"/>
          </w:tcPr>
          <w:p>
            <w:pPr>
              <w:spacing w:after="0"/>
              <w:rPr>
                <w:sz w:val="1"/>
                <w:szCs w:val="1"/>
                <w:color w:val="auto"/>
              </w:rPr>
            </w:pPr>
          </w:p>
        </w:tc>
      </w:tr>
      <w:tr>
        <w:trPr>
          <w:trHeight w:val="189"/>
        </w:trPr>
        <w:tc>
          <w:tcPr>
            <w:tcW w:w="540" w:type="dxa"/>
            <w:vAlign w:val="bottom"/>
            <w:tcBorders>
              <w:left w:val="single" w:sz="8" w:color="CB233C"/>
            </w:tcBorders>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620" w:type="dxa"/>
            <w:vAlign w:val="bottom"/>
            <w:tcBorders>
              <w:right w:val="single" w:sz="8" w:color="CB233C"/>
            </w:tcBorders>
          </w:tcPr>
          <w:p>
            <w:pPr>
              <w:ind w:left="460"/>
              <w:spacing w:after="0"/>
              <w:rPr>
                <w:sz w:val="20"/>
                <w:szCs w:val="20"/>
                <w:color w:val="auto"/>
              </w:rPr>
            </w:pPr>
            <w:r>
              <w:rPr>
                <w:rFonts w:ascii="Arial" w:cs="Arial" w:eastAsia="Arial" w:hAnsi="Arial"/>
                <w:sz w:val="16"/>
                <w:szCs w:val="16"/>
                <w:color w:val="auto"/>
              </w:rPr>
              <w:t>changes to our long-term incentive</w:t>
            </w:r>
          </w:p>
        </w:tc>
        <w:tc>
          <w:tcPr>
            <w:tcW w:w="0" w:type="dxa"/>
            <w:vAlign w:val="bottom"/>
          </w:tcPr>
          <w:p>
            <w:pPr>
              <w:spacing w:after="0"/>
              <w:rPr>
                <w:sz w:val="1"/>
                <w:szCs w:val="1"/>
                <w:color w:val="auto"/>
              </w:rPr>
            </w:pPr>
          </w:p>
        </w:tc>
      </w:tr>
      <w:tr>
        <w:trPr>
          <w:trHeight w:val="215"/>
        </w:trPr>
        <w:tc>
          <w:tcPr>
            <w:tcW w:w="540" w:type="dxa"/>
            <w:vAlign w:val="bottom"/>
            <w:tcBorders>
              <w:left w:val="single" w:sz="8" w:color="CB233C"/>
            </w:tcBorders>
          </w:tcPr>
          <w:p>
            <w:pPr>
              <w:spacing w:after="0"/>
              <w:rPr>
                <w:sz w:val="18"/>
                <w:szCs w:val="18"/>
                <w:color w:val="auto"/>
              </w:rPr>
            </w:pPr>
          </w:p>
        </w:tc>
        <w:tc>
          <w:tcPr>
            <w:tcW w:w="1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20" w:type="dxa"/>
            <w:vAlign w:val="bottom"/>
            <w:tcBorders>
              <w:right w:val="single" w:sz="8" w:color="CB233C"/>
            </w:tcBorders>
          </w:tcPr>
          <w:p>
            <w:pPr>
              <w:ind w:left="460"/>
              <w:spacing w:after="0"/>
              <w:rPr>
                <w:sz w:val="20"/>
                <w:szCs w:val="20"/>
                <w:color w:val="auto"/>
              </w:rPr>
            </w:pPr>
            <w:r>
              <w:rPr>
                <w:rFonts w:ascii="Arial" w:cs="Arial" w:eastAsia="Arial" w:hAnsi="Arial"/>
                <w:sz w:val="16"/>
                <w:szCs w:val="16"/>
                <w:color w:val="auto"/>
              </w:rPr>
              <w:t>program (see page 36)</w:t>
            </w:r>
          </w:p>
        </w:tc>
        <w:tc>
          <w:tcPr>
            <w:tcW w:w="0" w:type="dxa"/>
            <w:vAlign w:val="bottom"/>
          </w:tcPr>
          <w:p>
            <w:pPr>
              <w:spacing w:after="0"/>
              <w:rPr>
                <w:sz w:val="1"/>
                <w:szCs w:val="1"/>
                <w:color w:val="auto"/>
              </w:rPr>
            </w:pPr>
          </w:p>
        </w:tc>
      </w:tr>
      <w:tr>
        <w:trPr>
          <w:trHeight w:val="43"/>
        </w:trPr>
        <w:tc>
          <w:tcPr>
            <w:tcW w:w="1740" w:type="dxa"/>
            <w:vAlign w:val="bottom"/>
            <w:tcBorders>
              <w:left w:val="single" w:sz="8" w:color="CB233C"/>
              <w:bottom w:val="single" w:sz="8" w:color="CB233C"/>
            </w:tcBorders>
            <w:gridSpan w:val="2"/>
          </w:tcPr>
          <w:p>
            <w:pPr>
              <w:spacing w:after="0"/>
              <w:rPr>
                <w:sz w:val="3"/>
                <w:szCs w:val="3"/>
                <w:color w:val="auto"/>
              </w:rPr>
            </w:pPr>
          </w:p>
        </w:tc>
        <w:tc>
          <w:tcPr>
            <w:tcW w:w="1840" w:type="dxa"/>
            <w:vAlign w:val="bottom"/>
            <w:tcBorders>
              <w:bottom w:val="single" w:sz="8" w:color="CB233C"/>
            </w:tcBorders>
          </w:tcPr>
          <w:p>
            <w:pPr>
              <w:spacing w:after="0"/>
              <w:rPr>
                <w:sz w:val="3"/>
                <w:szCs w:val="3"/>
                <w:color w:val="auto"/>
              </w:rPr>
            </w:pPr>
          </w:p>
        </w:tc>
        <w:tc>
          <w:tcPr>
            <w:tcW w:w="4060" w:type="dxa"/>
            <w:vAlign w:val="bottom"/>
            <w:tcBorders>
              <w:bottom w:val="single" w:sz="8" w:color="CB233C"/>
            </w:tcBorders>
          </w:tcPr>
          <w:p>
            <w:pPr>
              <w:spacing w:after="0"/>
              <w:rPr>
                <w:sz w:val="3"/>
                <w:szCs w:val="3"/>
                <w:color w:val="auto"/>
              </w:rPr>
            </w:pPr>
          </w:p>
        </w:tc>
        <w:tc>
          <w:tcPr>
            <w:tcW w:w="3620" w:type="dxa"/>
            <w:vAlign w:val="bottom"/>
            <w:tcBorders>
              <w:bottom w:val="single" w:sz="8" w:color="CB233C"/>
              <w:right w:val="single" w:sz="8" w:color="CB233C"/>
            </w:tcBorders>
          </w:tcPr>
          <w:p>
            <w:pPr>
              <w:spacing w:after="0"/>
              <w:rPr>
                <w:sz w:val="3"/>
                <w:szCs w:val="3"/>
                <w:color w:val="auto"/>
              </w:rPr>
            </w:pPr>
          </w:p>
        </w:tc>
        <w:tc>
          <w:tcPr>
            <w:tcW w:w="0" w:type="dxa"/>
            <w:vAlign w:val="bottom"/>
          </w:tcPr>
          <w:p>
            <w:pPr>
              <w:spacing w:after="0"/>
              <w:rPr>
                <w:sz w:val="1"/>
                <w:szCs w:val="1"/>
                <w:color w:val="auto"/>
              </w:rPr>
            </w:pPr>
          </w:p>
        </w:tc>
      </w:tr>
      <w:tr>
        <w:trPr>
          <w:trHeight w:val="371"/>
        </w:trPr>
        <w:tc>
          <w:tcPr>
            <w:tcW w:w="1740" w:type="dxa"/>
            <w:vAlign w:val="bottom"/>
            <w:gridSpan w:val="2"/>
            <w:vMerge w:val="restart"/>
          </w:tcPr>
          <w:p>
            <w:pPr>
              <w:spacing w:after="0"/>
              <w:rPr>
                <w:sz w:val="20"/>
                <w:szCs w:val="20"/>
                <w:color w:val="auto"/>
              </w:rPr>
            </w:pPr>
            <w:r>
              <w:rPr>
                <w:rFonts w:ascii="Arial" w:cs="Arial" w:eastAsia="Arial" w:hAnsi="Arial"/>
                <w:sz w:val="16"/>
                <w:szCs w:val="16"/>
                <w:b w:val="1"/>
                <w:bCs w:val="1"/>
                <w:color w:val="CB233C"/>
              </w:rPr>
              <w:t>www.halliburton.com</w:t>
            </w:r>
          </w:p>
        </w:tc>
        <w:tc>
          <w:tcPr>
            <w:tcW w:w="18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3620" w:type="dxa"/>
            <w:vAlign w:val="bottom"/>
            <w:vMerge w:val="restart"/>
          </w:tcPr>
          <w:p>
            <w:pPr>
              <w:ind w:left="100"/>
              <w:spacing w:after="0"/>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   32</w:t>
            </w:r>
          </w:p>
        </w:tc>
        <w:tc>
          <w:tcPr>
            <w:tcW w:w="0" w:type="dxa"/>
            <w:vAlign w:val="bottom"/>
          </w:tcPr>
          <w:p>
            <w:pPr>
              <w:spacing w:after="0"/>
              <w:rPr>
                <w:sz w:val="1"/>
                <w:szCs w:val="1"/>
                <w:color w:val="auto"/>
              </w:rPr>
            </w:pPr>
          </w:p>
        </w:tc>
      </w:tr>
      <w:tr>
        <w:trPr>
          <w:trHeight w:val="94"/>
        </w:trPr>
        <w:tc>
          <w:tcPr>
            <w:tcW w:w="1740" w:type="dxa"/>
            <w:vAlign w:val="bottom"/>
            <w:gridSpan w:val="2"/>
            <w:vMerge w:val="continue"/>
          </w:tcPr>
          <w:p>
            <w:pPr>
              <w:spacing w:after="0"/>
              <w:rPr>
                <w:sz w:val="8"/>
                <w:szCs w:val="8"/>
                <w:color w:val="auto"/>
              </w:rPr>
            </w:pPr>
          </w:p>
        </w:tc>
        <w:tc>
          <w:tcPr>
            <w:tcW w:w="18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540" w:type="dxa"/>
            <w:vAlign w:val="bottom"/>
            <w:tcBorders>
              <w:bottom w:val="single" w:sz="8" w:color="C0C0C0"/>
            </w:tcBorders>
          </w:tcPr>
          <w:p>
            <w:pPr>
              <w:spacing w:after="0"/>
              <w:rPr>
                <w:sz w:val="24"/>
                <w:szCs w:val="24"/>
                <w:color w:val="auto"/>
              </w:rPr>
            </w:pPr>
          </w:p>
        </w:tc>
        <w:tc>
          <w:tcPr>
            <w:tcW w:w="1200" w:type="dxa"/>
            <w:vAlign w:val="bottom"/>
            <w:tcBorders>
              <w:bottom w:val="single" w:sz="8" w:color="C0C0C0"/>
            </w:tcBorders>
          </w:tcPr>
          <w:p>
            <w:pPr>
              <w:spacing w:after="0"/>
              <w:rPr>
                <w:sz w:val="24"/>
                <w:szCs w:val="24"/>
                <w:color w:val="auto"/>
              </w:rPr>
            </w:pPr>
          </w:p>
        </w:tc>
        <w:tc>
          <w:tcPr>
            <w:tcW w:w="1840" w:type="dxa"/>
            <w:vAlign w:val="bottom"/>
            <w:tcBorders>
              <w:bottom w:val="single" w:sz="8" w:color="C0C0C0"/>
            </w:tcBorders>
          </w:tcPr>
          <w:p>
            <w:pPr>
              <w:spacing w:after="0"/>
              <w:rPr>
                <w:sz w:val="24"/>
                <w:szCs w:val="24"/>
                <w:color w:val="auto"/>
              </w:rPr>
            </w:pPr>
          </w:p>
        </w:tc>
        <w:tc>
          <w:tcPr>
            <w:tcW w:w="4060" w:type="dxa"/>
            <w:vAlign w:val="bottom"/>
            <w:tcBorders>
              <w:bottom w:val="single" w:sz="8" w:color="C0C0C0"/>
            </w:tcBorders>
          </w:tcPr>
          <w:p>
            <w:pPr>
              <w:spacing w:after="0"/>
              <w:rPr>
                <w:sz w:val="24"/>
                <w:szCs w:val="24"/>
                <w:color w:val="auto"/>
              </w:rPr>
            </w:pPr>
          </w:p>
        </w:tc>
        <w:tc>
          <w:tcPr>
            <w:tcW w:w="3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-3291205</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-3051175</wp:posOffset>
            </wp:positionV>
            <wp:extent cx="13716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-2767965</wp:posOffset>
            </wp:positionV>
            <wp:extent cx="13716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-2485390</wp:posOffset>
            </wp:positionV>
            <wp:extent cx="13716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-2862580</wp:posOffset>
            </wp:positionV>
            <wp:extent cx="196850" cy="2654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96850" cy="26543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-3051175</wp:posOffset>
            </wp:positionV>
            <wp:extent cx="13716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-2287905</wp:posOffset>
            </wp:positionV>
            <wp:extent cx="13716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-1885315</wp:posOffset>
            </wp:positionV>
            <wp:extent cx="13716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-1482090</wp:posOffset>
            </wp:positionV>
            <wp:extent cx="13716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-2862580</wp:posOffset>
            </wp:positionV>
            <wp:extent cx="196850" cy="2654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96850" cy="26543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-3051175</wp:posOffset>
            </wp:positionV>
            <wp:extent cx="13716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-2527935</wp:posOffset>
            </wp:positionV>
            <wp:extent cx="13716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-2125345</wp:posOffset>
            </wp:positionV>
            <wp:extent cx="13716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-1242060</wp:posOffset>
            </wp:positionV>
            <wp:extent cx="13716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60"/>
          </w:cols>
          <w:pgMar w:left="320" w:top="238" w:right="31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Straight from the Boardroom: Talking with Murry S.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899795" cy="1036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99795" cy="10369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both"/>
        <w:ind w:left="1660"/>
        <w:spacing w:after="0" w:line="236" w:lineRule="auto"/>
        <w:rPr>
          <w:sz w:val="20"/>
          <w:szCs w:val="20"/>
          <w:color w:val="auto"/>
        </w:rPr>
      </w:pPr>
      <w:r>
        <w:rPr>
          <w:rFonts w:ascii="Arial" w:cs="Arial" w:eastAsia="Arial" w:hAnsi="Arial"/>
          <w:sz w:val="22"/>
          <w:szCs w:val="22"/>
          <w:color w:val="auto"/>
        </w:rPr>
        <w:t>Over the last few years, robust discussions with investors have led to meaningful and well-received changes to our executive compensation program. After the May 2021 say-on-pay advisory vote results, we reinvested in and refreshed our investor outreach efforts. Through direct shareholder engagement, we received excellent questions and feedback about aspects of our program. Below are the answers to representative shareholder questions from Murry S. Gerber, Chair of our Compensation Committee:</w:t>
      </w:r>
    </w:p>
    <w:p>
      <w:pPr>
        <w:spacing w:after="0" w:line="26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What steps did you take to enhance your shareholder outreach and engagement efforts?</w:t>
      </w:r>
    </w:p>
    <w:p>
      <w:pPr>
        <w:spacing w:after="0" w:line="194" w:lineRule="exact"/>
        <w:rPr>
          <w:sz w:val="20"/>
          <w:szCs w:val="20"/>
          <w:color w:val="auto"/>
        </w:rPr>
      </w:pPr>
    </w:p>
    <w:p>
      <w:pPr>
        <w:jc w:val="both"/>
        <w:ind w:left="340" w:hanging="332"/>
        <w:spacing w:after="0" w:line="253" w:lineRule="auto"/>
        <w:tabs>
          <w:tab w:leader="none" w:pos="340" w:val="left"/>
        </w:tabs>
        <w:numPr>
          <w:ilvl w:val="0"/>
          <w:numId w:val="38"/>
        </w:numPr>
        <w:rPr>
          <w:rFonts w:ascii="Arial" w:cs="Arial" w:eastAsia="Arial" w:hAnsi="Arial"/>
          <w:sz w:val="16"/>
          <w:szCs w:val="16"/>
          <w:b w:val="1"/>
          <w:bCs w:val="1"/>
          <w:color w:val="CB233C"/>
        </w:rPr>
      </w:pPr>
      <w:r>
        <w:rPr>
          <w:rFonts w:ascii="Arial" w:cs="Arial" w:eastAsia="Arial" w:hAnsi="Arial"/>
          <w:sz w:val="16"/>
          <w:szCs w:val="16"/>
          <w:color w:val="auto"/>
        </w:rPr>
        <w:t>During 2021, our Board directed a complete review and renewal of our approach to shareholder outreach and engagement. Our goal was to have substantive discussions with as many of our shareholders as possible, both active and passive, about all aspects of our program, and bring that feedback to our full Board. With a fresh approach and new outside input, we thoroughly reworked our presentation materials to focus on the most pressing shareholder concerns, primarily related to executive compensation and ESG. We also expanded the scope of our one-on-one engagements by adding Bob Malone, our Lead Director, to our outreach team that previously included myself and senior management. To enhance transparency and outreach, we provided our presentation and a commitment to follow up with those shareholders who could not engage directly with us. Several asked for a meeting after reviewing the presentation.</w:t>
      </w:r>
    </w:p>
    <w:p>
      <w:pPr>
        <w:spacing w:after="0" w:line="46" w:lineRule="exact"/>
        <w:rPr>
          <w:rFonts w:ascii="Arial" w:cs="Arial" w:eastAsia="Arial" w:hAnsi="Arial"/>
          <w:sz w:val="16"/>
          <w:szCs w:val="16"/>
          <w:b w:val="1"/>
          <w:bCs w:val="1"/>
          <w:color w:val="CB233C"/>
        </w:rPr>
      </w:pPr>
    </w:p>
    <w:p>
      <w:pPr>
        <w:ind w:left="340" w:right="20"/>
        <w:spacing w:after="0" w:line="286" w:lineRule="auto"/>
        <w:rPr>
          <w:rFonts w:ascii="Arial" w:cs="Arial" w:eastAsia="Arial" w:hAnsi="Arial"/>
          <w:sz w:val="16"/>
          <w:szCs w:val="16"/>
          <w:b w:val="1"/>
          <w:bCs w:val="1"/>
          <w:color w:val="CB233C"/>
        </w:rPr>
      </w:pPr>
      <w:r>
        <w:rPr>
          <w:rFonts w:ascii="Arial" w:cs="Arial" w:eastAsia="Arial" w:hAnsi="Arial"/>
          <w:sz w:val="16"/>
          <w:szCs w:val="16"/>
          <w:color w:val="auto"/>
        </w:rPr>
        <w:t>All this effort and these changes resulted in the most expansive shareholder outreach effort in Halliburton’s history and gave us a new perspective on important issues for the Board to consider. We will continue this refreshed approach in 2022 and beyond.</w:t>
      </w:r>
    </w:p>
    <w:p>
      <w:pPr>
        <w:spacing w:after="0" w:line="129" w:lineRule="exact"/>
        <w:rPr>
          <w:sz w:val="20"/>
          <w:szCs w:val="20"/>
          <w:color w:val="auto"/>
        </w:rPr>
      </w:pPr>
    </w:p>
    <w:p>
      <w:pPr>
        <w:ind w:left="340" w:hanging="332"/>
        <w:spacing w:after="0" w:line="296" w:lineRule="auto"/>
        <w:tabs>
          <w:tab w:leader="none" w:pos="34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How is measuring long-term performance using 100% relative Return on Capital Employed (ROCE) — and not a mix of absolute and relative metrics — in the best interests of shareholders?</w:t>
      </w:r>
    </w:p>
    <w:p>
      <w:pPr>
        <w:spacing w:after="0" w:line="113" w:lineRule="exact"/>
        <w:rPr>
          <w:sz w:val="20"/>
          <w:szCs w:val="20"/>
          <w:color w:val="auto"/>
        </w:rPr>
      </w:pPr>
    </w:p>
    <w:p>
      <w:pPr>
        <w:jc w:val="both"/>
        <w:ind w:left="340" w:hanging="332"/>
        <w:spacing w:after="0" w:line="259" w:lineRule="auto"/>
        <w:tabs>
          <w:tab w:leader="none" w:pos="340" w:val="left"/>
        </w:tabs>
        <w:numPr>
          <w:ilvl w:val="0"/>
          <w:numId w:val="40"/>
        </w:numPr>
        <w:rPr>
          <w:rFonts w:ascii="Arial" w:cs="Arial" w:eastAsia="Arial" w:hAnsi="Arial"/>
          <w:sz w:val="16"/>
          <w:szCs w:val="16"/>
          <w:b w:val="1"/>
          <w:bCs w:val="1"/>
          <w:color w:val="CB233C"/>
        </w:rPr>
      </w:pPr>
      <w:r>
        <w:rPr>
          <w:rFonts w:ascii="Arial" w:cs="Arial" w:eastAsia="Arial" w:hAnsi="Arial"/>
          <w:sz w:val="16"/>
          <w:szCs w:val="16"/>
          <w:color w:val="auto"/>
        </w:rPr>
        <w:t>At Halliburton, we compete to win. Any company can perform well when markets are favorable, but only the best companies can outperform when market conditions are difficult. Our Board has directed Jeff Miller and his team to execute on strategies that drive superior returns (ROCE) — regardless of market conditions. Simply stated, we expect outperformance from Halliburton in all market scenarios and this expectation drives our thoughtful and disciplined deployment of capital.</w:t>
      </w:r>
    </w:p>
    <w:p>
      <w:pPr>
        <w:spacing w:after="0" w:line="42" w:lineRule="exact"/>
        <w:rPr>
          <w:rFonts w:ascii="Arial" w:cs="Arial" w:eastAsia="Arial" w:hAnsi="Arial"/>
          <w:sz w:val="16"/>
          <w:szCs w:val="16"/>
          <w:b w:val="1"/>
          <w:bCs w:val="1"/>
          <w:color w:val="CB233C"/>
        </w:rPr>
      </w:pPr>
    </w:p>
    <w:p>
      <w:pPr>
        <w:ind w:left="340"/>
        <w:spacing w:after="0" w:line="286" w:lineRule="auto"/>
        <w:rPr>
          <w:rFonts w:ascii="Arial" w:cs="Arial" w:eastAsia="Arial" w:hAnsi="Arial"/>
          <w:sz w:val="16"/>
          <w:szCs w:val="16"/>
          <w:b w:val="1"/>
          <w:bCs w:val="1"/>
          <w:color w:val="CB233C"/>
        </w:rPr>
      </w:pPr>
      <w:r>
        <w:rPr>
          <w:rFonts w:ascii="Arial" w:cs="Arial" w:eastAsia="Arial" w:hAnsi="Arial"/>
          <w:sz w:val="16"/>
          <w:szCs w:val="16"/>
          <w:color w:val="auto"/>
        </w:rPr>
        <w:t>Shareholders have historically agreed with this philosophy and supported us in 2015 when we changed long-term incentives from a mix of absolute and relative ROCE metrics to an exclusively relative ROCE metric.</w:t>
      </w:r>
    </w:p>
    <w:p>
      <w:pPr>
        <w:spacing w:after="0" w:line="12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886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Why does your Performance Unit Plan (PUP) allow for maximum pay-outs when returns are negative? Why don’t you “cap” pay-outs?</w:t>
      </w:r>
    </w:p>
    <w:p>
      <w:pPr>
        <w:spacing w:after="0" w:line="194" w:lineRule="exact"/>
        <w:rPr>
          <w:sz w:val="20"/>
          <w:szCs w:val="20"/>
          <w:color w:val="auto"/>
        </w:rPr>
      </w:pPr>
    </w:p>
    <w:p>
      <w:pPr>
        <w:jc w:val="both"/>
        <w:ind w:left="340" w:hanging="332"/>
        <w:spacing w:after="0" w:line="259" w:lineRule="auto"/>
        <w:tabs>
          <w:tab w:leader="none" w:pos="340" w:val="left"/>
        </w:tabs>
        <w:numPr>
          <w:ilvl w:val="0"/>
          <w:numId w:val="42"/>
        </w:numPr>
        <w:rPr>
          <w:rFonts w:ascii="Arial" w:cs="Arial" w:eastAsia="Arial" w:hAnsi="Arial"/>
          <w:sz w:val="16"/>
          <w:szCs w:val="16"/>
          <w:b w:val="1"/>
          <w:bCs w:val="1"/>
          <w:color w:val="CB233C"/>
        </w:rPr>
      </w:pPr>
      <w:r>
        <w:rPr>
          <w:rFonts w:ascii="Arial" w:cs="Arial" w:eastAsia="Arial" w:hAnsi="Arial"/>
          <w:sz w:val="16"/>
          <w:szCs w:val="16"/>
          <w:color w:val="auto"/>
        </w:rPr>
        <w:t>The Board believes a cap on long-term incentive awards in a highly volatile business like ours is a significant disincentive. Extreme stock price volatility driven by factors beyond management’s control is a consistent theme in our industry. We must balance this reality with our goal to keep senior management focused on driving superior performance against our Performance Peer Group, especially through business down cycles, so we remain strongly positioned when the markets rebound.</w:t>
      </w:r>
    </w:p>
    <w:p>
      <w:pPr>
        <w:spacing w:after="0" w:line="151"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Is it appropriate that the PUP has paid out at maximum?</w:t>
      </w:r>
    </w:p>
    <w:p>
      <w:pPr>
        <w:spacing w:after="0" w:line="194" w:lineRule="exact"/>
        <w:rPr>
          <w:sz w:val="20"/>
          <w:szCs w:val="20"/>
          <w:color w:val="auto"/>
        </w:rPr>
      </w:pPr>
    </w:p>
    <w:p>
      <w:pPr>
        <w:jc w:val="both"/>
        <w:ind w:left="340" w:hanging="332"/>
        <w:spacing w:after="0" w:line="266" w:lineRule="auto"/>
        <w:tabs>
          <w:tab w:leader="none" w:pos="340" w:val="left"/>
        </w:tabs>
        <w:numPr>
          <w:ilvl w:val="0"/>
          <w:numId w:val="44"/>
        </w:numPr>
        <w:rPr>
          <w:rFonts w:ascii="Arial" w:cs="Arial" w:eastAsia="Arial" w:hAnsi="Arial"/>
          <w:sz w:val="16"/>
          <w:szCs w:val="16"/>
          <w:b w:val="1"/>
          <w:bCs w:val="1"/>
          <w:color w:val="CB233C"/>
        </w:rPr>
      </w:pPr>
      <w:r>
        <w:rPr>
          <w:rFonts w:ascii="Arial" w:cs="Arial" w:eastAsia="Arial" w:hAnsi="Arial"/>
          <w:sz w:val="16"/>
          <w:szCs w:val="16"/>
          <w:color w:val="auto"/>
        </w:rPr>
        <w:t>Our incentive plans work together to help ensure that our executives’ target incentive opportunities are reasonable across economic cycles and that the actual incentive pay-outs deliver appropriate levels of value based on a mix of absolute and relative performance results. That’s why when the Board assesses pay, we reflect on the sum of annual and long-term incentives.</w:t>
      </w:r>
    </w:p>
    <w:p>
      <w:pPr>
        <w:spacing w:after="0" w:line="36" w:lineRule="exact"/>
        <w:rPr>
          <w:rFonts w:ascii="Arial" w:cs="Arial" w:eastAsia="Arial" w:hAnsi="Arial"/>
          <w:sz w:val="16"/>
          <w:szCs w:val="16"/>
          <w:b w:val="1"/>
          <w:bCs w:val="1"/>
          <w:color w:val="CB233C"/>
        </w:rPr>
      </w:pPr>
    </w:p>
    <w:p>
      <w:pPr>
        <w:jc w:val="both"/>
        <w:ind w:left="340"/>
        <w:spacing w:after="0" w:line="259" w:lineRule="auto"/>
        <w:rPr>
          <w:rFonts w:ascii="Arial" w:cs="Arial" w:eastAsia="Arial" w:hAnsi="Arial"/>
          <w:sz w:val="16"/>
          <w:szCs w:val="16"/>
          <w:b w:val="1"/>
          <w:bCs w:val="1"/>
          <w:color w:val="CB233C"/>
        </w:rPr>
      </w:pPr>
      <w:r>
        <w:rPr>
          <w:rFonts w:ascii="Arial" w:cs="Arial" w:eastAsia="Arial" w:hAnsi="Arial"/>
          <w:sz w:val="16"/>
          <w:szCs w:val="16"/>
          <w:color w:val="auto"/>
        </w:rPr>
        <w:t>Our PUP plan is designed to ensure long-term superior relative ROCE versus a specific energy peer group and the Board expects senior management to maintain those strong relative returns. Recently, our relative ROCE has consistently been in the top quartile of our Performance Peer Group, resulting in strong pay-outs in those PUP cycles. But our Annual Performance Plan is affected by difficult-to-predict market price and demand variations, which can lead to less consistent award pay-outs. Taken together, the sum of pay-outs to management from the incentive plans has provided competitive pay.</w:t>
      </w:r>
    </w:p>
    <w:p>
      <w:pPr>
        <w:spacing w:after="0" w:line="151"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Why is Mr. Miller’s 2020 and 2021 reported pay so much higher than his 2019 reported pay?</w:t>
      </w:r>
    </w:p>
    <w:p>
      <w:pPr>
        <w:spacing w:after="0" w:line="194" w:lineRule="exact"/>
        <w:rPr>
          <w:sz w:val="20"/>
          <w:szCs w:val="20"/>
          <w:color w:val="auto"/>
        </w:rPr>
      </w:pPr>
    </w:p>
    <w:p>
      <w:pPr>
        <w:ind w:left="340" w:hanging="332"/>
        <w:spacing w:after="0" w:line="286" w:lineRule="auto"/>
        <w:tabs>
          <w:tab w:leader="none" w:pos="340" w:val="left"/>
        </w:tabs>
        <w:numPr>
          <w:ilvl w:val="0"/>
          <w:numId w:val="46"/>
        </w:numPr>
        <w:rPr>
          <w:rFonts w:ascii="Arial" w:cs="Arial" w:eastAsia="Arial" w:hAnsi="Arial"/>
          <w:sz w:val="16"/>
          <w:szCs w:val="16"/>
          <w:b w:val="1"/>
          <w:bCs w:val="1"/>
          <w:color w:val="CB233C"/>
        </w:rPr>
      </w:pPr>
      <w:r>
        <w:rPr>
          <w:rFonts w:ascii="Arial" w:cs="Arial" w:eastAsia="Arial" w:hAnsi="Arial"/>
          <w:sz w:val="16"/>
          <w:szCs w:val="16"/>
          <w:color w:val="auto"/>
        </w:rPr>
        <w:t>This question has provoked more confusion than we thought it would. I am sorry about that. I assure you the Board’s intentions are in alignment with shareholder feedback and the strong support we received for the new design of our program. The confusion comes in two parts:</w:t>
      </w:r>
    </w:p>
    <w:p>
      <w:pPr>
        <w:spacing w:after="0" w:line="20" w:lineRule="exact"/>
        <w:rPr>
          <w:rFonts w:ascii="Arial" w:cs="Arial" w:eastAsia="Arial" w:hAnsi="Arial"/>
          <w:sz w:val="16"/>
          <w:szCs w:val="16"/>
          <w:b w:val="1"/>
          <w:bCs w:val="1"/>
          <w:color w:val="CB233C"/>
        </w:rPr>
      </w:pPr>
    </w:p>
    <w:p>
      <w:pPr>
        <w:ind w:left="340"/>
        <w:spacing w:after="0"/>
        <w:rPr>
          <w:rFonts w:ascii="Arial" w:cs="Arial" w:eastAsia="Arial" w:hAnsi="Arial"/>
          <w:sz w:val="16"/>
          <w:szCs w:val="16"/>
          <w:b w:val="1"/>
          <w:bCs w:val="1"/>
          <w:color w:val="CB233C"/>
        </w:rPr>
      </w:pPr>
      <w:r>
        <w:rPr>
          <w:rFonts w:ascii="Arial" w:cs="Arial" w:eastAsia="Arial" w:hAnsi="Arial"/>
          <w:sz w:val="16"/>
          <w:szCs w:val="16"/>
          <w:color w:val="auto"/>
        </w:rPr>
        <w:t>First, Jeff Miller’s pay increased from 2019 due to his promotion to CEO.</w:t>
      </w:r>
    </w:p>
    <w:p>
      <w:pPr>
        <w:spacing w:after="0" w:line="86" w:lineRule="exact"/>
        <w:rPr>
          <w:rFonts w:ascii="Arial" w:cs="Arial" w:eastAsia="Arial" w:hAnsi="Arial"/>
          <w:sz w:val="16"/>
          <w:szCs w:val="16"/>
          <w:b w:val="1"/>
          <w:bCs w:val="1"/>
          <w:color w:val="CB233C"/>
        </w:rPr>
      </w:pPr>
    </w:p>
    <w:p>
      <w:pPr>
        <w:ind w:left="340" w:right="20"/>
        <w:spacing w:after="0" w:line="286" w:lineRule="auto"/>
        <w:rPr>
          <w:rFonts w:ascii="Arial" w:cs="Arial" w:eastAsia="Arial" w:hAnsi="Arial"/>
          <w:sz w:val="16"/>
          <w:szCs w:val="16"/>
          <w:b w:val="1"/>
          <w:bCs w:val="1"/>
          <w:color w:val="CB233C"/>
        </w:rPr>
      </w:pPr>
      <w:r>
        <w:rPr>
          <w:rFonts w:ascii="Arial" w:cs="Arial" w:eastAsia="Arial" w:hAnsi="Arial"/>
          <w:sz w:val="16"/>
          <w:szCs w:val="16"/>
          <w:color w:val="auto"/>
        </w:rPr>
        <w:t>Second, in 2020, the Board decided (supported by shareholder feedback) to restructure the PUP to significantly reduce the cash part of any award. The new plan pays awards, if any, using a mix of stock (50%) and cash (50%). The prior plan paid entirely in cash.</w:t>
      </w:r>
    </w:p>
    <w:p>
      <w:pPr>
        <w:spacing w:after="0" w:line="20" w:lineRule="exact"/>
        <w:rPr>
          <w:rFonts w:ascii="Arial" w:cs="Arial" w:eastAsia="Arial" w:hAnsi="Arial"/>
          <w:sz w:val="16"/>
          <w:szCs w:val="16"/>
          <w:b w:val="1"/>
          <w:bCs w:val="1"/>
          <w:color w:val="CB233C"/>
        </w:rPr>
      </w:pPr>
    </w:p>
    <w:p>
      <w:pPr>
        <w:jc w:val="both"/>
        <w:ind w:left="340"/>
        <w:spacing w:after="0" w:line="259" w:lineRule="auto"/>
        <w:rPr>
          <w:rFonts w:ascii="Arial" w:cs="Arial" w:eastAsia="Arial" w:hAnsi="Arial"/>
          <w:sz w:val="16"/>
          <w:szCs w:val="16"/>
          <w:b w:val="1"/>
          <w:bCs w:val="1"/>
          <w:color w:val="CB233C"/>
        </w:rPr>
      </w:pPr>
      <w:r>
        <w:rPr>
          <w:rFonts w:ascii="Arial" w:cs="Arial" w:eastAsia="Arial" w:hAnsi="Arial"/>
          <w:sz w:val="16"/>
          <w:szCs w:val="16"/>
          <w:color w:val="auto"/>
        </w:rPr>
        <w:t>This change, which shareholders overwhelmingly supported, created a reporting challenge. Specifically, the proxy statement rules require cash awards to be booked on receipt, while stock awards are booked on grant date. In simple terms, the proxy statement rules require two cycles of PUP compensation to be reported in one year. Starting on page 36 of the Compensation Discussion and Analysis, we present more information about this issue with illustrations of the transition.</w:t>
      </w:r>
    </w:p>
    <w:p>
      <w:pPr>
        <w:spacing w:after="0" w:line="42" w:lineRule="exact"/>
        <w:rPr>
          <w:rFonts w:ascii="Arial" w:cs="Arial" w:eastAsia="Arial" w:hAnsi="Arial"/>
          <w:sz w:val="16"/>
          <w:szCs w:val="16"/>
          <w:b w:val="1"/>
          <w:bCs w:val="1"/>
          <w:color w:val="CB233C"/>
        </w:rPr>
      </w:pPr>
    </w:p>
    <w:p>
      <w:pPr>
        <w:ind w:left="340"/>
        <w:spacing w:after="0"/>
        <w:rPr>
          <w:rFonts w:ascii="Arial" w:cs="Arial" w:eastAsia="Arial" w:hAnsi="Arial"/>
          <w:sz w:val="16"/>
          <w:szCs w:val="16"/>
          <w:b w:val="1"/>
          <w:bCs w:val="1"/>
          <w:color w:val="CB233C"/>
        </w:rPr>
      </w:pPr>
      <w:r>
        <w:rPr>
          <w:rFonts w:ascii="Arial" w:cs="Arial" w:eastAsia="Arial" w:hAnsi="Arial"/>
          <w:sz w:val="16"/>
          <w:szCs w:val="16"/>
          <w:color w:val="auto"/>
        </w:rPr>
        <w:t>The transition ends with this 2022 proxy statement and will not reappear in the 2023 proxy statement.</w:t>
      </w:r>
    </w:p>
    <w:p>
      <w:pPr>
        <w:spacing w:after="0" w:line="194"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What was your approach to setting performance targets for the 2021 Annual Performance Pay Plan?</w:t>
      </w:r>
    </w:p>
    <w:p>
      <w:pPr>
        <w:spacing w:after="0" w:line="194" w:lineRule="exact"/>
        <w:rPr>
          <w:sz w:val="20"/>
          <w:szCs w:val="20"/>
          <w:color w:val="auto"/>
        </w:rPr>
      </w:pPr>
    </w:p>
    <w:p>
      <w:pPr>
        <w:jc w:val="both"/>
        <w:ind w:left="340" w:hanging="332"/>
        <w:spacing w:after="0" w:line="207" w:lineRule="auto"/>
        <w:tabs>
          <w:tab w:leader="none" w:pos="340" w:val="left"/>
        </w:tabs>
        <w:numPr>
          <w:ilvl w:val="0"/>
          <w:numId w:val="48"/>
        </w:numPr>
        <w:rPr>
          <w:rFonts w:ascii="Arial" w:cs="Arial" w:eastAsia="Arial" w:hAnsi="Arial"/>
          <w:sz w:val="16"/>
          <w:szCs w:val="16"/>
          <w:b w:val="1"/>
          <w:bCs w:val="1"/>
          <w:color w:val="CB233C"/>
        </w:rPr>
      </w:pPr>
      <w:r>
        <w:rPr>
          <w:rFonts w:ascii="Arial" w:cs="Arial" w:eastAsia="Arial" w:hAnsi="Arial"/>
          <w:sz w:val="16"/>
          <w:szCs w:val="16"/>
          <w:color w:val="auto"/>
        </w:rPr>
        <w:t>Given the continuing business challenges driven by the COVID-19 pandemic, the Board decided at the outset of 2021 that it would replace the traditional 12-month performance period with two six-month performance periods: January 1, 2021, through June 30, 2021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performance period); and July 1, 2021, through December 31, 2021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performance period). Given the economic uncertainty, this half-year plan approach provided the Board the agility mid-year to ensure that the performance goals for the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performance period were appropriately rigorous. Specifically, the Board set the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half performance goals higher than both the maximum performance goals and actual results for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performance period. The approach worked because during these uncertain times had the Board set a 12-month performance goal, it would have been lower than what we set for each of the two six-month periods, which were higher goals.</w:t>
      </w:r>
    </w:p>
    <w:p>
      <w:pPr>
        <w:spacing w:after="0" w:line="166"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How does ESG influence executive compensation decisions?</w:t>
      </w:r>
    </w:p>
    <w:p>
      <w:pPr>
        <w:spacing w:after="0" w:line="194" w:lineRule="exact"/>
        <w:rPr>
          <w:sz w:val="20"/>
          <w:szCs w:val="20"/>
          <w:color w:val="auto"/>
        </w:rPr>
      </w:pPr>
    </w:p>
    <w:p>
      <w:pPr>
        <w:jc w:val="both"/>
        <w:ind w:left="340" w:hanging="332"/>
        <w:spacing w:after="0" w:line="256" w:lineRule="auto"/>
        <w:tabs>
          <w:tab w:leader="none" w:pos="340" w:val="left"/>
        </w:tabs>
        <w:numPr>
          <w:ilvl w:val="0"/>
          <w:numId w:val="50"/>
        </w:numPr>
        <w:rPr>
          <w:rFonts w:ascii="Arial" w:cs="Arial" w:eastAsia="Arial" w:hAnsi="Arial"/>
          <w:sz w:val="16"/>
          <w:szCs w:val="16"/>
          <w:b w:val="1"/>
          <w:bCs w:val="1"/>
          <w:color w:val="CB233C"/>
        </w:rPr>
      </w:pPr>
      <w:r>
        <w:rPr>
          <w:rFonts w:ascii="Arial" w:cs="Arial" w:eastAsia="Arial" w:hAnsi="Arial"/>
          <w:sz w:val="16"/>
          <w:szCs w:val="16"/>
          <w:color w:val="auto"/>
        </w:rPr>
        <w:t>The Board expects our senior executives to lead by example and drive results on both our principal financial and strategic objectives. Effective January 1, 2022, the Annual Performance Pay Plan includes ESG-related metrics focused on sustainability and DE&amp;I, two of our main strategic priorities. ESG-related metrics will comprise 20% of the total award (weighted equally), while 80% of the total award will continue to focus on the achievement of NOPAT and Asset Turns performance goals. As part of adding ESG-related metrics, we also listened to shareholder feedback and set objective metrics that are clearly measurable and directly linked to our overall strategy.</w:t>
      </w:r>
    </w:p>
    <w:p>
      <w:pPr>
        <w:spacing w:after="0" w:line="247" w:lineRule="exact"/>
        <w:rPr>
          <w:sz w:val="20"/>
          <w:szCs w:val="20"/>
          <w:color w:val="auto"/>
        </w:r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2021 CEO Compensation Overview</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Target vs. Realized Pay</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Compensation Committee looks at CEO compensation through various lenses to ensure that it is setting appropriate and competitive total target compensation opportunities and approving actual compensation outcomes that are aligned with actual performance results and shareholder expectations. This type of analysis is important to study, especially when plan designs are transitioning from one approach to a new approach — like shifting from all cash awards to a mix of cash and equity.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Total target compensation </w:t>
      </w:r>
      <w:r>
        <w:rPr>
          <w:rFonts w:ascii="Arial" w:cs="Arial" w:eastAsia="Arial" w:hAnsi="Arial"/>
          <w:sz w:val="16"/>
          <w:szCs w:val="16"/>
          <w:color w:val="auto"/>
        </w:rPr>
        <w:t>is structured to target market competitive pay levels in base salary and short- and long-term incentive opportunities. An</w:t>
      </w:r>
    </w:p>
    <w:p>
      <w:pPr>
        <w:spacing w:after="0" w:line="18"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emphasis is placed on variable pay at risk, which enables the compensation structure to position actual pay above or below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our Comparator Peer Group depending on performance. Total target compensation opportunities are set by the Compensation Committee at the beginning of each performance period and are intended to be forward looking. Since 2018, Mr. Miller’s first full year as CEO, his target compensation has increased commensurate with the market and is appropriately aligned with his role and responsibilities as CEO, as well as his individual performance.</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auto"/>
        </w:rPr>
        <w:t xml:space="preserve">Realized pay </w:t>
      </w:r>
      <w:r>
        <w:rPr>
          <w:rFonts w:ascii="Arial" w:cs="Arial" w:eastAsia="Arial" w:hAnsi="Arial"/>
          <w:sz w:val="16"/>
          <w:szCs w:val="16"/>
          <w:color w:val="auto"/>
        </w:rPr>
        <w:t>represents the amount of compensation actually paid during the year, as opposed to amounts that may or may not be paid in the future.</w:t>
      </w:r>
      <w:r>
        <w:rPr>
          <w:rFonts w:ascii="Arial" w:cs="Arial" w:eastAsia="Arial" w:hAnsi="Arial"/>
          <w:sz w:val="16"/>
          <w:szCs w:val="16"/>
          <w:b w:val="1"/>
          <w:bCs w:val="1"/>
          <w:color w:val="auto"/>
        </w:rPr>
        <w:t xml:space="preserve"> </w:t>
      </w:r>
      <w:r>
        <w:rPr>
          <w:rFonts w:ascii="Arial" w:cs="Arial" w:eastAsia="Arial" w:hAnsi="Arial"/>
          <w:sz w:val="16"/>
          <w:szCs w:val="16"/>
          <w:color w:val="auto"/>
        </w:rPr>
        <w:t>Realized pay incorporates the amounts actually received during the year upon the vesting of restricted stock and the exercise of stock options. Evaluating realized pay provides the Compensation Committee with an additional measure to assess the robustness of our pay for performance. Realized pay demonstrates the positive correlation between high cash and equity payouts in years of strong performance and low cash and equity payouts in years of weak performance. In the illustration below, total realized pay consisted of the following:</w:t>
      </w:r>
    </w:p>
    <w:p>
      <w:pPr>
        <w:spacing w:after="0" w:line="153"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16"/>
          <w:szCs w:val="16"/>
          <w:color w:val="CB233C"/>
        </w:rPr>
      </w:pPr>
      <w:r>
        <w:rPr>
          <w:rFonts w:ascii="Arial" w:cs="Arial" w:eastAsia="Arial" w:hAnsi="Arial"/>
          <w:sz w:val="16"/>
          <w:szCs w:val="16"/>
          <w:color w:val="auto"/>
        </w:rPr>
        <w:t>base salary paid;</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51"/>
        </w:numPr>
        <w:rPr>
          <w:rFonts w:ascii="Arial" w:cs="Arial" w:eastAsia="Arial" w:hAnsi="Arial"/>
          <w:sz w:val="16"/>
          <w:szCs w:val="16"/>
          <w:color w:val="CB233C"/>
        </w:rPr>
      </w:pPr>
      <w:r>
        <w:rPr>
          <w:rFonts w:ascii="Arial" w:cs="Arial" w:eastAsia="Arial" w:hAnsi="Arial"/>
          <w:sz w:val="16"/>
          <w:szCs w:val="16"/>
          <w:color w:val="auto"/>
        </w:rPr>
        <w:t>cash incentive payouts under the Halliburton Annual Performance Pay Plan;</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51"/>
        </w:numPr>
        <w:rPr>
          <w:rFonts w:ascii="Arial" w:cs="Arial" w:eastAsia="Arial" w:hAnsi="Arial"/>
          <w:sz w:val="16"/>
          <w:szCs w:val="16"/>
          <w:color w:val="CB233C"/>
        </w:rPr>
      </w:pPr>
      <w:r>
        <w:rPr>
          <w:rFonts w:ascii="Arial" w:cs="Arial" w:eastAsia="Arial" w:hAnsi="Arial"/>
          <w:sz w:val="16"/>
          <w:szCs w:val="16"/>
          <w:color w:val="auto"/>
        </w:rPr>
        <w:t>value realized upon exercise of stock options;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51"/>
        </w:numPr>
        <w:rPr>
          <w:rFonts w:ascii="Arial" w:cs="Arial" w:eastAsia="Arial" w:hAnsi="Arial"/>
          <w:sz w:val="16"/>
          <w:szCs w:val="16"/>
          <w:color w:val="CB233C"/>
        </w:rPr>
      </w:pPr>
      <w:r>
        <w:rPr>
          <w:rFonts w:ascii="Arial" w:cs="Arial" w:eastAsia="Arial" w:hAnsi="Arial"/>
          <w:sz w:val="16"/>
          <w:szCs w:val="16"/>
          <w:color w:val="auto"/>
        </w:rPr>
        <w:t>value of restricted stock vested during the year; and</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51"/>
        </w:numPr>
        <w:rPr>
          <w:rFonts w:ascii="Arial" w:cs="Arial" w:eastAsia="Arial" w:hAnsi="Arial"/>
          <w:sz w:val="16"/>
          <w:szCs w:val="16"/>
          <w:color w:val="CB233C"/>
        </w:rPr>
      </w:pPr>
      <w:r>
        <w:rPr>
          <w:rFonts w:ascii="Arial" w:cs="Arial" w:eastAsia="Arial" w:hAnsi="Arial"/>
          <w:sz w:val="16"/>
          <w:szCs w:val="16"/>
          <w:color w:val="auto"/>
        </w:rPr>
        <w:t>incentive payouts under the Performance Unit Program.</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From 2019 to 2021, Mr. Miller’s realized pay was consistently lower than total target compensation, demonstrating the “at-risk” nature of a substantial portion of his compensation and our program’s pay-for-performance design. Our compensation programs are designed to closely align our executives’ interests to those of our shareholders and to the long-term performance of the Company. A significant portion of executive pay is delivered in the form of long-term incentives with strong alignment to the stock price returns our shareholders’ experience. As shown in the below chart, our CEO’s average three-year realized pay has declined by a greater extent than the Company’s TSR, demonstrating this alignment and the Compensation Committee’s commitment to pay-for-performance.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107315</wp:posOffset>
            </wp:positionV>
            <wp:extent cx="4714875" cy="3317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714875"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886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 Closer Look at the Summary Compensation Table</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To understand the increase in CEO Summary Compensation Table compensation for 2021, there were two key factors to consider:</w:t>
      </w:r>
    </w:p>
    <w:p>
      <w:pPr>
        <w:spacing w:after="0" w:line="194" w:lineRule="exact"/>
        <w:rPr>
          <w:sz w:val="20"/>
          <w:szCs w:val="20"/>
          <w:color w:val="auto"/>
        </w:rPr>
      </w:pPr>
    </w:p>
    <w:p>
      <w:pPr>
        <w:ind w:left="180" w:right="260" w:hanging="172"/>
        <w:spacing w:after="0" w:line="286" w:lineRule="auto"/>
        <w:tabs>
          <w:tab w:leader="none" w:pos="180" w:val="left"/>
        </w:tabs>
        <w:numPr>
          <w:ilvl w:val="0"/>
          <w:numId w:val="52"/>
        </w:numPr>
        <w:rPr>
          <w:rFonts w:ascii="Arial" w:cs="Arial" w:eastAsia="Arial" w:hAnsi="Arial"/>
          <w:sz w:val="16"/>
          <w:szCs w:val="16"/>
          <w:color w:val="CB233C"/>
        </w:rPr>
      </w:pPr>
      <w:r>
        <w:rPr>
          <w:rFonts w:ascii="Arial" w:cs="Arial" w:eastAsia="Arial" w:hAnsi="Arial"/>
          <w:sz w:val="16"/>
          <w:szCs w:val="16"/>
          <w:color w:val="auto"/>
        </w:rPr>
        <w:t>Mr. Miller’s promotion to CEO, which increased his target market competitive pay levels, primarily impacting the amount earned under the Performance Unit Program (PUP) in 2020 and 2021 as compared to 2019; and</w:t>
      </w:r>
    </w:p>
    <w:p>
      <w:pPr>
        <w:spacing w:after="0" w:line="20" w:lineRule="exact"/>
        <w:rPr>
          <w:rFonts w:ascii="Arial" w:cs="Arial" w:eastAsia="Arial" w:hAnsi="Arial"/>
          <w:sz w:val="16"/>
          <w:szCs w:val="16"/>
          <w:color w:val="CB233C"/>
        </w:rPr>
      </w:pPr>
    </w:p>
    <w:p>
      <w:pPr>
        <w:jc w:val="both"/>
        <w:ind w:left="180" w:hanging="172"/>
        <w:spacing w:after="0" w:line="253" w:lineRule="auto"/>
        <w:tabs>
          <w:tab w:leader="none" w:pos="180" w:val="left"/>
        </w:tabs>
        <w:numPr>
          <w:ilvl w:val="0"/>
          <w:numId w:val="52"/>
        </w:numPr>
        <w:rPr>
          <w:rFonts w:ascii="Arial" w:cs="Arial" w:eastAsia="Arial" w:hAnsi="Arial"/>
          <w:sz w:val="16"/>
          <w:szCs w:val="16"/>
          <w:color w:val="CB233C"/>
        </w:rPr>
      </w:pPr>
      <w:r>
        <w:rPr>
          <w:rFonts w:ascii="Arial" w:cs="Arial" w:eastAsia="Arial" w:hAnsi="Arial"/>
          <w:sz w:val="16"/>
          <w:szCs w:val="16"/>
          <w:color w:val="auto"/>
        </w:rPr>
        <w:t>Based on shareholder feedback, we fundamentally changed the structure of our long-term incentives. As a result, we are required to report two cycles of the performance awards for 2020 and 2021 in the 2021 and 2022 proxy statements, respectively. Because we are required to show for each year the cash awards actually earned and the performance-based equity awards granted, though not yet earned, the total compensation presented in our Summary Compensation Table appears “inflated” or “double counted” for 2020 and 2021 – when cash awards under our old performance structure were earned and equity awards under our revised structure were granted even though the equity cannot be earned until future years, if at all. Had we maintained our old performance award structure and the PUP continued to be awarded 100% in cash, the awards would be reflected in the Summary Compensation Table only at the time they are earned and this issue would not occur.</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an example, in the 2021 proxy statement the Summary Compensation Table included both the cash earned in 2020 for the 2018 PUP cycle and target level equity granted for the 2020 PUP cycle, resulting in an additional $5M reported in the Stock Awards column of the Summary Compensation Table that remained subject to performance vesting. And in the 2022 proxy statement the Summary Compensation Table includes both the cash earned for the 2019 PUP cycle and target level equity granted for the 2021 PUP cycle, resulting in an additional $6.3M reported in the Stock Awards column of the Summary Compensation Table that remained subject to performance vesting. Following the 2021 plan year and the 2022 proxy statement, this “double counting” issue of the compensation reported in the Summary Compensation Table will no longer occur.</w:t>
      </w:r>
    </w:p>
    <w:p>
      <w:pPr>
        <w:spacing w:after="0" w:line="15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$17.3M reflected in both tables is aligned with the total compensation for Mr. Miller as determined by the Compensation Committee when setting his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90805</wp:posOffset>
            </wp:positionV>
            <wp:extent cx="4688840" cy="45262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688840" cy="452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 w:hanging="332"/>
        <w:spacing w:after="0" w:line="192" w:lineRule="auto"/>
        <w:tabs>
          <w:tab w:leader="none" w:pos="340" w:val="left"/>
        </w:tabs>
        <w:numPr>
          <w:ilvl w:val="0"/>
          <w:numId w:val="53"/>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Amount reflects the change in the 2018 cycle PUP award payout as compared to the 2017 cycle of the PUP. This increase in target compensation for the 2018 PUP was commensurate with Mr. Miller’s promotion from COO to CEO.</w:t>
      </w:r>
    </w:p>
    <w:p>
      <w:pPr>
        <w:spacing w:after="0" w:line="28" w:lineRule="exact"/>
        <w:rPr>
          <w:rFonts w:ascii="Arial" w:cs="Arial" w:eastAsia="Arial" w:hAnsi="Arial"/>
          <w:sz w:val="24"/>
          <w:szCs w:val="24"/>
          <w:i w:val="1"/>
          <w:iCs w:val="1"/>
          <w:color w:val="auto"/>
          <w:vertAlign w:val="superscript"/>
        </w:rPr>
      </w:pPr>
    </w:p>
    <w:p>
      <w:pPr>
        <w:ind w:left="340" w:hanging="332"/>
        <w:spacing w:after="0" w:line="192" w:lineRule="auto"/>
        <w:tabs>
          <w:tab w:leader="none" w:pos="340" w:val="left"/>
        </w:tabs>
        <w:numPr>
          <w:ilvl w:val="0"/>
          <w:numId w:val="53"/>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Amount reflects the change in the 2019 cycle PUP award payout as compared to the 2017 cycle of the PUP. This increase in target compensation for the 2019 PUP was commensurate with Mr. Miller’s promotion from COO to CEO.</w:t>
      </w:r>
    </w:p>
    <w:p>
      <w:pPr>
        <w:spacing w:after="0" w:line="157" w:lineRule="exact"/>
        <w:rPr>
          <w:sz w:val="20"/>
          <w:szCs w:val="20"/>
          <w:color w:val="auto"/>
        </w:r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754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Individual Performance Highlights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Mr. Miller’s individual performance highlights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B233C"/>
        </w:rPr>
        <w:t>LEADERSHIP AND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4"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6"/>
          <w:szCs w:val="16"/>
          <w:color w:val="CB233C"/>
        </w:rPr>
      </w:pPr>
      <w:r>
        <w:rPr>
          <w:rFonts w:ascii="Arial" w:cs="Arial" w:eastAsia="Arial" w:hAnsi="Arial"/>
          <w:sz w:val="16"/>
          <w:szCs w:val="16"/>
          <w:color w:val="auto"/>
        </w:rPr>
        <w:t>Led the organization through a transitional year as the industry began an uneven recovery from the global COVID-19 pandemic</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54"/>
        </w:numPr>
        <w:rPr>
          <w:rFonts w:ascii="Arial" w:cs="Arial" w:eastAsia="Arial" w:hAnsi="Arial"/>
          <w:sz w:val="16"/>
          <w:szCs w:val="16"/>
          <w:color w:val="CB233C"/>
        </w:rPr>
      </w:pPr>
      <w:r>
        <w:rPr>
          <w:rFonts w:ascii="Arial" w:cs="Arial" w:eastAsia="Arial" w:hAnsi="Arial"/>
          <w:sz w:val="16"/>
          <w:szCs w:val="16"/>
          <w:color w:val="auto"/>
        </w:rPr>
        <w:t>Prioritized stakeholder communication and maintained high visibility with employees, shareholders, and customers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54"/>
        </w:numPr>
        <w:rPr>
          <w:rFonts w:ascii="Arial" w:cs="Arial" w:eastAsia="Arial" w:hAnsi="Arial"/>
          <w:sz w:val="16"/>
          <w:szCs w:val="16"/>
          <w:color w:val="CB233C"/>
        </w:rPr>
      </w:pPr>
      <w:r>
        <w:rPr>
          <w:rFonts w:ascii="Arial" w:cs="Arial" w:eastAsia="Arial" w:hAnsi="Arial"/>
          <w:sz w:val="16"/>
          <w:szCs w:val="16"/>
          <w:color w:val="auto"/>
        </w:rPr>
        <w:t>Facilitated the addition of one new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B233C"/>
        </w:rPr>
        <w:t>INTEGRITY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4"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6"/>
          <w:szCs w:val="16"/>
          <w:color w:val="CB233C"/>
        </w:rPr>
      </w:pPr>
      <w:r>
        <w:rPr>
          <w:rFonts w:ascii="Arial" w:cs="Arial" w:eastAsia="Arial" w:hAnsi="Arial"/>
          <w:sz w:val="16"/>
          <w:szCs w:val="16"/>
          <w:color w:val="auto"/>
        </w:rPr>
        <w:t>Stressed and upheld Halliburton’s Code of Business Conduct (COBC) as non-negotiable at all levels throughout the organization</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55"/>
        </w:numPr>
        <w:rPr>
          <w:rFonts w:ascii="Arial" w:cs="Arial" w:eastAsia="Arial" w:hAnsi="Arial"/>
          <w:sz w:val="16"/>
          <w:szCs w:val="16"/>
          <w:color w:val="CB233C"/>
        </w:rPr>
      </w:pPr>
      <w:r>
        <w:rPr>
          <w:rFonts w:ascii="Arial" w:cs="Arial" w:eastAsia="Arial" w:hAnsi="Arial"/>
          <w:sz w:val="16"/>
          <w:szCs w:val="16"/>
          <w:color w:val="auto"/>
        </w:rPr>
        <w:t>Continued to prioritize and advocate for the Local Ethics Officer (LEO) program, which continues to be at the cutting edge of compliance initiatives</w:t>
      </w:r>
    </w:p>
    <w:p>
      <w:pPr>
        <w:spacing w:after="0" w:line="86" w:lineRule="exact"/>
        <w:rPr>
          <w:rFonts w:ascii="Arial" w:cs="Arial" w:eastAsia="Arial" w:hAnsi="Arial"/>
          <w:sz w:val="16"/>
          <w:szCs w:val="16"/>
          <w:color w:val="CB233C"/>
        </w:rPr>
      </w:pPr>
    </w:p>
    <w:p>
      <w:pPr>
        <w:ind w:left="180" w:hanging="172"/>
        <w:spacing w:after="0" w:line="286" w:lineRule="auto"/>
        <w:tabs>
          <w:tab w:leader="none" w:pos="180" w:val="left"/>
        </w:tabs>
        <w:numPr>
          <w:ilvl w:val="0"/>
          <w:numId w:val="55"/>
        </w:numPr>
        <w:rPr>
          <w:rFonts w:ascii="Arial" w:cs="Arial" w:eastAsia="Arial" w:hAnsi="Arial"/>
          <w:sz w:val="16"/>
          <w:szCs w:val="16"/>
          <w:color w:val="CB233C"/>
        </w:rPr>
      </w:pPr>
      <w:r>
        <w:rPr>
          <w:rFonts w:ascii="Arial" w:cs="Arial" w:eastAsia="Arial" w:hAnsi="Arial"/>
          <w:sz w:val="16"/>
          <w:szCs w:val="16"/>
          <w:color w:val="auto"/>
        </w:rPr>
        <w:t>Led efforts and underscored the importance of making significant progress on increasing gender and ethnic/racial diversity, inclusion, and respect, all core elements of our COBC and imperative to the culture within Halliburton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B233C"/>
        </w:rPr>
        <w:t>KEEPING THE BOARD INFORMED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4" w:lineRule="exact"/>
        <w:rPr>
          <w:sz w:val="20"/>
          <w:szCs w:val="20"/>
          <w:color w:val="auto"/>
        </w:rPr>
      </w:pPr>
    </w:p>
    <w:p>
      <w:pPr>
        <w:ind w:left="180" w:hanging="172"/>
        <w:spacing w:after="0" w:line="263" w:lineRule="auto"/>
        <w:tabs>
          <w:tab w:leader="none" w:pos="180" w:val="left"/>
        </w:tabs>
        <w:numPr>
          <w:ilvl w:val="0"/>
          <w:numId w:val="56"/>
        </w:numPr>
        <w:rPr>
          <w:rFonts w:ascii="Arial" w:cs="Arial" w:eastAsia="Arial" w:hAnsi="Arial"/>
          <w:sz w:val="16"/>
          <w:szCs w:val="16"/>
          <w:color w:val="CB233C"/>
        </w:rPr>
      </w:pPr>
      <w:r>
        <w:rPr>
          <w:rFonts w:ascii="Arial" w:cs="Arial" w:eastAsia="Arial" w:hAnsi="Arial"/>
          <w:sz w:val="16"/>
          <w:szCs w:val="16"/>
          <w:color w:val="auto"/>
        </w:rPr>
        <w:t>Communicated regularly with the Board, providing updates on business issues and providing unfettered access to management and subject matter experts</w:t>
      </w:r>
    </w:p>
    <w:p>
      <w:pPr>
        <w:spacing w:after="0" w:line="257" w:lineRule="exact"/>
        <w:rPr>
          <w:rFonts w:ascii="Arial" w:cs="Arial" w:eastAsia="Arial" w:hAnsi="Arial"/>
          <w:sz w:val="16"/>
          <w:szCs w:val="16"/>
          <w:color w:val="CB233C"/>
        </w:rPr>
      </w:pPr>
    </w:p>
    <w:p>
      <w:pPr>
        <w:ind w:left="180" w:hanging="172"/>
        <w:spacing w:after="0"/>
        <w:tabs>
          <w:tab w:leader="none" w:pos="180" w:val="left"/>
        </w:tabs>
        <w:numPr>
          <w:ilvl w:val="0"/>
          <w:numId w:val="56"/>
        </w:numPr>
        <w:rPr>
          <w:rFonts w:ascii="Arial" w:cs="Arial" w:eastAsia="Arial" w:hAnsi="Arial"/>
          <w:sz w:val="16"/>
          <w:szCs w:val="16"/>
          <w:color w:val="CB233C"/>
        </w:rPr>
      </w:pPr>
      <w:r>
        <w:rPr>
          <w:rFonts w:ascii="Arial" w:cs="Arial" w:eastAsia="Arial" w:hAnsi="Arial"/>
          <w:sz w:val="16"/>
          <w:szCs w:val="16"/>
          <w:color w:val="auto"/>
        </w:rPr>
        <w:t>Led the Board in sharpening its focus on ESG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B233C"/>
        </w:rPr>
        <w:t>PERFORMANCE OF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4"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6"/>
          <w:szCs w:val="16"/>
          <w:color w:val="CB233C"/>
        </w:rPr>
      </w:pPr>
      <w:r>
        <w:rPr>
          <w:rFonts w:ascii="Arial" w:cs="Arial" w:eastAsia="Arial" w:hAnsi="Arial"/>
          <w:sz w:val="16"/>
          <w:szCs w:val="16"/>
          <w:color w:val="auto"/>
        </w:rPr>
        <w:t>Consistently strengthened our balance sheet, reducing gross debt by $1.2 billion during the pandemic</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57"/>
        </w:numPr>
        <w:rPr>
          <w:rFonts w:ascii="Arial" w:cs="Arial" w:eastAsia="Arial" w:hAnsi="Arial"/>
          <w:sz w:val="16"/>
          <w:szCs w:val="16"/>
          <w:color w:val="CB233C"/>
        </w:rPr>
      </w:pPr>
      <w:r>
        <w:rPr>
          <w:rFonts w:ascii="Arial" w:cs="Arial" w:eastAsia="Arial" w:hAnsi="Arial"/>
          <w:sz w:val="16"/>
          <w:szCs w:val="16"/>
          <w:color w:val="auto"/>
        </w:rPr>
        <w:t>Generated over $1.3 billion of free cash flow in 2021, demonstrating our ability to generate strong free cash flow in different business environments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57"/>
        </w:numPr>
        <w:rPr>
          <w:rFonts w:ascii="Arial" w:cs="Arial" w:eastAsia="Arial" w:hAnsi="Arial"/>
          <w:sz w:val="16"/>
          <w:szCs w:val="16"/>
          <w:color w:val="CB233C"/>
        </w:rPr>
      </w:pPr>
      <w:r>
        <w:rPr>
          <w:rFonts w:ascii="Arial" w:cs="Arial" w:eastAsia="Arial" w:hAnsi="Arial"/>
          <w:sz w:val="16"/>
          <w:szCs w:val="16"/>
          <w:color w:val="auto"/>
        </w:rPr>
        <w:t>Outperformed primary competitors on ROCE</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57"/>
        </w:numPr>
        <w:rPr>
          <w:rFonts w:ascii="Arial" w:cs="Arial" w:eastAsia="Arial" w:hAnsi="Arial"/>
          <w:sz w:val="16"/>
          <w:szCs w:val="16"/>
          <w:color w:val="CB233C"/>
        </w:rPr>
      </w:pPr>
      <w:r>
        <w:rPr>
          <w:rFonts w:ascii="Arial" w:cs="Arial" w:eastAsia="Arial" w:hAnsi="Arial"/>
          <w:sz w:val="16"/>
          <w:szCs w:val="16"/>
          <w:color w:val="auto"/>
        </w:rPr>
        <w:t>Maintained unwavering commitment to our Health, Safety and Environment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B233C"/>
        </w:rPr>
        <w:t>DEVELOP AND IMPLEMENT INITIATIVES THAT PROVIDE LONG-TERM ECONOMIC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4"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6"/>
          <w:szCs w:val="16"/>
          <w:color w:val="CB233C"/>
        </w:rPr>
      </w:pPr>
      <w:r>
        <w:rPr>
          <w:rFonts w:ascii="Arial" w:cs="Arial" w:eastAsia="Arial" w:hAnsi="Arial"/>
          <w:sz w:val="16"/>
          <w:szCs w:val="16"/>
          <w:color w:val="auto"/>
        </w:rPr>
        <w:t>Continued Company focus on evolving market trends and advancing digitalization and automation</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58"/>
        </w:numPr>
        <w:rPr>
          <w:rFonts w:ascii="Arial" w:cs="Arial" w:eastAsia="Arial" w:hAnsi="Arial"/>
          <w:sz w:val="16"/>
          <w:szCs w:val="16"/>
          <w:color w:val="CB233C"/>
        </w:rPr>
      </w:pPr>
      <w:r>
        <w:rPr>
          <w:rFonts w:ascii="Arial" w:cs="Arial" w:eastAsia="Arial" w:hAnsi="Arial"/>
          <w:sz w:val="16"/>
          <w:szCs w:val="16"/>
          <w:color w:val="auto"/>
        </w:rPr>
        <w:t>Continued to institutionalize Continuous Improvement which drives profitability, capacity, and greater flexibility</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58"/>
        </w:numPr>
        <w:rPr>
          <w:rFonts w:ascii="Arial" w:cs="Arial" w:eastAsia="Arial" w:hAnsi="Arial"/>
          <w:sz w:val="16"/>
          <w:szCs w:val="16"/>
          <w:color w:val="CB233C"/>
        </w:rPr>
      </w:pPr>
      <w:r>
        <w:rPr>
          <w:rFonts w:ascii="Arial" w:cs="Arial" w:eastAsia="Arial" w:hAnsi="Arial"/>
          <w:sz w:val="16"/>
          <w:szCs w:val="16"/>
          <w:color w:val="auto"/>
        </w:rPr>
        <w:t>Executed key steps to increase environmental, social, and governance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CB233C"/>
        </w:rPr>
        <w:t>ACCOMPLISHMENT OF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4"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6"/>
          <w:szCs w:val="16"/>
          <w:color w:val="CB233C"/>
        </w:rPr>
      </w:pPr>
      <w:r>
        <w:rPr>
          <w:rFonts w:ascii="Arial" w:cs="Arial" w:eastAsia="Arial" w:hAnsi="Arial"/>
          <w:sz w:val="16"/>
          <w:szCs w:val="16"/>
          <w:color w:val="auto"/>
        </w:rPr>
        <w:t>Deployed key future technologies demonstrating focus on structural capital efficiency</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59"/>
        </w:numPr>
        <w:rPr>
          <w:rFonts w:ascii="Arial" w:cs="Arial" w:eastAsia="Arial" w:hAnsi="Arial"/>
          <w:sz w:val="16"/>
          <w:szCs w:val="16"/>
          <w:color w:val="CB233C"/>
        </w:rPr>
      </w:pPr>
      <w:r>
        <w:rPr>
          <w:rFonts w:ascii="Arial" w:cs="Arial" w:eastAsia="Arial" w:hAnsi="Arial"/>
          <w:sz w:val="16"/>
          <w:szCs w:val="16"/>
          <w:color w:val="auto"/>
        </w:rPr>
        <w:t>Delivered the industry’s first full electric completion operation providing unprecedented operational control and precision</w:t>
      </w:r>
    </w:p>
    <w:p>
      <w:pPr>
        <w:spacing w:after="0" w:line="86" w:lineRule="exact"/>
        <w:rPr>
          <w:rFonts w:ascii="Arial" w:cs="Arial" w:eastAsia="Arial" w:hAnsi="Arial"/>
          <w:sz w:val="16"/>
          <w:szCs w:val="16"/>
          <w:color w:val="CB233C"/>
        </w:rPr>
      </w:pPr>
    </w:p>
    <w:p>
      <w:pPr>
        <w:jc w:val="both"/>
        <w:ind w:left="180" w:hanging="172"/>
        <w:spacing w:after="0" w:line="266" w:lineRule="auto"/>
        <w:tabs>
          <w:tab w:leader="none" w:pos="180" w:val="left"/>
        </w:tabs>
        <w:numPr>
          <w:ilvl w:val="0"/>
          <w:numId w:val="59"/>
        </w:numPr>
        <w:rPr>
          <w:rFonts w:ascii="Arial" w:cs="Arial" w:eastAsia="Arial" w:hAnsi="Arial"/>
          <w:sz w:val="16"/>
          <w:szCs w:val="16"/>
          <w:color w:val="CB233C"/>
        </w:rPr>
      </w:pPr>
      <w:r>
        <w:rPr>
          <w:rFonts w:ascii="Arial" w:cs="Arial" w:eastAsia="Arial" w:hAnsi="Arial"/>
          <w:sz w:val="16"/>
          <w:szCs w:val="16"/>
          <w:color w:val="auto"/>
        </w:rPr>
        <w:t>Advanced a sustainable energy future through published science-based emission reduction targets; the addition of eleven new companies to Halliburton Labs which are focused on energy generation, storage, conservation, and industrial decarbonization; and Halliburton’s being named to the Dow Jones Sustainability Index highlighting the top 10% most sustainable companies in each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B233C"/>
        </w:rPr>
        <w:t>DEVELOPMENT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4" w:lineRule="exact"/>
        <w:rPr>
          <w:sz w:val="20"/>
          <w:szCs w:val="20"/>
          <w:color w:val="auto"/>
        </w:rPr>
      </w:pPr>
    </w:p>
    <w:p>
      <w:pPr>
        <w:ind w:left="180" w:hanging="172"/>
        <w:spacing w:after="0" w:line="286" w:lineRule="auto"/>
        <w:tabs>
          <w:tab w:leader="none" w:pos="180" w:val="left"/>
        </w:tabs>
        <w:numPr>
          <w:ilvl w:val="0"/>
          <w:numId w:val="60"/>
        </w:numPr>
        <w:rPr>
          <w:rFonts w:ascii="Arial" w:cs="Arial" w:eastAsia="Arial" w:hAnsi="Arial"/>
          <w:sz w:val="16"/>
          <w:szCs w:val="16"/>
          <w:color w:val="CB233C"/>
        </w:rPr>
      </w:pPr>
      <w:r>
        <w:rPr>
          <w:rFonts w:ascii="Arial" w:cs="Arial" w:eastAsia="Arial" w:hAnsi="Arial"/>
          <w:sz w:val="16"/>
          <w:szCs w:val="16"/>
          <w:color w:val="auto"/>
        </w:rPr>
        <w:t>Increased management exposure to the Board via spotlight presentations, continued commitment to our robust succession management process, and remained focused on talent development with an emphasis on diversity, equity, inclusion, and respect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886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2021 Performance Overview</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Business Highlights</w:t>
      </w:r>
    </w:p>
    <w:p>
      <w:pPr>
        <w:spacing w:after="0" w:line="26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employees delivered solid execution across every part of our business in 2021 – safety, service quality, and financial results. Despite the challenges of working during a pandemic and global energy demand complexity, they again outperformed and delivered what the world needs – affordable and reliable energy provided by oil and gas – in a safe, efficient, and ethical manner – while minimizing our environmental impact. Here are the highlights for 2021:</w:t>
      </w:r>
    </w:p>
    <w:p>
      <w:pPr>
        <w:spacing w:after="0" w:line="144" w:lineRule="exact"/>
        <w:rPr>
          <w:sz w:val="20"/>
          <w:szCs w:val="20"/>
          <w:color w:val="auto"/>
        </w:rPr>
      </w:pPr>
    </w:p>
    <w:p>
      <w:pPr>
        <w:jc w:val="both"/>
        <w:ind w:left="180" w:hanging="172"/>
        <w:spacing w:after="0" w:line="262" w:lineRule="auto"/>
        <w:tabs>
          <w:tab w:leader="none" w:pos="180" w:val="left"/>
        </w:tabs>
        <w:numPr>
          <w:ilvl w:val="0"/>
          <w:numId w:val="61"/>
        </w:numPr>
        <w:rPr>
          <w:rFonts w:ascii="Arial" w:cs="Arial" w:eastAsia="Arial" w:hAnsi="Arial"/>
          <w:sz w:val="16"/>
          <w:szCs w:val="16"/>
          <w:color w:val="CB233C"/>
        </w:rPr>
      </w:pPr>
      <w:r>
        <w:rPr>
          <w:rFonts w:ascii="Arial" w:cs="Arial" w:eastAsia="Arial" w:hAnsi="Arial"/>
          <w:sz w:val="16"/>
          <w:szCs w:val="16"/>
          <w:b w:val="1"/>
          <w:bCs w:val="1"/>
          <w:color w:val="CB233C"/>
        </w:rPr>
        <w:t xml:space="preserve">Financial: </w:t>
      </w:r>
      <w:r>
        <w:rPr>
          <w:rFonts w:ascii="Arial" w:cs="Arial" w:eastAsia="Arial" w:hAnsi="Arial"/>
          <w:sz w:val="16"/>
          <w:szCs w:val="16"/>
          <w:color w:val="000000"/>
        </w:rPr>
        <w:t>Internationally we delivered profitable growth with revenue and operating income increasing every quarter in 2021. In North America, strong</w:t>
      </w:r>
      <w:r>
        <w:rPr>
          <w:rFonts w:ascii="Arial" w:cs="Arial" w:eastAsia="Arial" w:hAnsi="Arial"/>
          <w:sz w:val="16"/>
          <w:szCs w:val="16"/>
          <w:b w:val="1"/>
          <w:bCs w:val="1"/>
          <w:color w:val="CB233C"/>
        </w:rPr>
        <w:t xml:space="preserve"> </w:t>
      </w:r>
      <w:r>
        <w:rPr>
          <w:rFonts w:ascii="Arial" w:cs="Arial" w:eastAsia="Arial" w:hAnsi="Arial"/>
          <w:sz w:val="16"/>
          <w:szCs w:val="16"/>
          <w:color w:val="000000"/>
        </w:rPr>
        <w:t>operating leverage allowed us to maximize the value of our business as U.S. land activity rebounded. Overall, our Completion and Production and Drilling and Evaluation operating segments finished the year with 15% and 12% operating margins, respectively, and generated strong cash flows from operations.</w:t>
      </w:r>
    </w:p>
    <w:p>
      <w:pPr>
        <w:spacing w:after="0" w:line="234" w:lineRule="exact"/>
        <w:rPr>
          <w:rFonts w:ascii="Arial" w:cs="Arial" w:eastAsia="Arial" w:hAnsi="Arial"/>
          <w:sz w:val="16"/>
          <w:szCs w:val="16"/>
          <w:color w:val="CB233C"/>
        </w:rPr>
      </w:pPr>
    </w:p>
    <w:p>
      <w:pPr>
        <w:ind w:left="180" w:hanging="172"/>
        <w:spacing w:after="0" w:line="286" w:lineRule="auto"/>
        <w:tabs>
          <w:tab w:leader="none" w:pos="180" w:val="left"/>
        </w:tabs>
        <w:numPr>
          <w:ilvl w:val="0"/>
          <w:numId w:val="61"/>
        </w:numPr>
        <w:rPr>
          <w:rFonts w:ascii="Arial" w:cs="Arial" w:eastAsia="Arial" w:hAnsi="Arial"/>
          <w:sz w:val="16"/>
          <w:szCs w:val="16"/>
          <w:color w:val="CB233C"/>
        </w:rPr>
      </w:pPr>
      <w:r>
        <w:rPr>
          <w:rFonts w:ascii="Arial" w:cs="Arial" w:eastAsia="Arial" w:hAnsi="Arial"/>
          <w:sz w:val="16"/>
          <w:szCs w:val="16"/>
          <w:b w:val="1"/>
          <w:bCs w:val="1"/>
          <w:color w:val="CB233C"/>
        </w:rPr>
        <w:t xml:space="preserve">Digital: </w:t>
      </w:r>
      <w:r>
        <w:rPr>
          <w:rFonts w:ascii="Arial" w:cs="Arial" w:eastAsia="Arial" w:hAnsi="Arial"/>
          <w:sz w:val="16"/>
          <w:szCs w:val="16"/>
          <w:color w:val="000000"/>
        </w:rPr>
        <w:t>Our accelerated deployment and integration of digitally enabled technologies created technical differentiation in the market and contributed to our</w:t>
      </w:r>
      <w:r>
        <w:rPr>
          <w:rFonts w:ascii="Arial" w:cs="Arial" w:eastAsia="Arial" w:hAnsi="Arial"/>
          <w:sz w:val="16"/>
          <w:szCs w:val="16"/>
          <w:b w:val="1"/>
          <w:bCs w:val="1"/>
          <w:color w:val="CB233C"/>
        </w:rPr>
        <w:t xml:space="preserve"> </w:t>
      </w:r>
      <w:r>
        <w:rPr>
          <w:rFonts w:ascii="Arial" w:cs="Arial" w:eastAsia="Arial" w:hAnsi="Arial"/>
          <w:sz w:val="16"/>
          <w:szCs w:val="16"/>
          <w:color w:val="000000"/>
        </w:rPr>
        <w:t>higher margins.</w:t>
      </w:r>
    </w:p>
    <w:p>
      <w:pPr>
        <w:spacing w:after="0" w:line="20" w:lineRule="exact"/>
        <w:rPr>
          <w:rFonts w:ascii="Arial" w:cs="Arial" w:eastAsia="Arial" w:hAnsi="Arial"/>
          <w:sz w:val="16"/>
          <w:szCs w:val="16"/>
          <w:color w:val="CB233C"/>
        </w:rPr>
      </w:pPr>
    </w:p>
    <w:p>
      <w:pPr>
        <w:ind w:left="180" w:hanging="172"/>
        <w:spacing w:after="0" w:line="286" w:lineRule="auto"/>
        <w:tabs>
          <w:tab w:leader="none" w:pos="180" w:val="left"/>
        </w:tabs>
        <w:numPr>
          <w:ilvl w:val="0"/>
          <w:numId w:val="61"/>
        </w:numPr>
        <w:rPr>
          <w:rFonts w:ascii="Arial" w:cs="Arial" w:eastAsia="Arial" w:hAnsi="Arial"/>
          <w:sz w:val="16"/>
          <w:szCs w:val="16"/>
          <w:color w:val="CB233C"/>
        </w:rPr>
      </w:pPr>
      <w:r>
        <w:rPr>
          <w:rFonts w:ascii="Arial" w:cs="Arial" w:eastAsia="Arial" w:hAnsi="Arial"/>
          <w:sz w:val="16"/>
          <w:szCs w:val="16"/>
          <w:b w:val="1"/>
          <w:bCs w:val="1"/>
          <w:color w:val="CB233C"/>
        </w:rPr>
        <w:t xml:space="preserve">Capital efficiency: </w:t>
      </w:r>
      <w:r>
        <w:rPr>
          <w:rFonts w:ascii="Arial" w:cs="Arial" w:eastAsia="Arial" w:hAnsi="Arial"/>
          <w:sz w:val="16"/>
          <w:szCs w:val="16"/>
          <w:color w:val="000000"/>
        </w:rPr>
        <w:t>We advanced technologies and made strategic choices that kept our capital expenditures to 5.2% of revenue, which is in the range of</w:t>
      </w:r>
      <w:r>
        <w:rPr>
          <w:rFonts w:ascii="Arial" w:cs="Arial" w:eastAsia="Arial" w:hAnsi="Arial"/>
          <w:sz w:val="16"/>
          <w:szCs w:val="16"/>
          <w:b w:val="1"/>
          <w:bCs w:val="1"/>
          <w:color w:val="CB233C"/>
        </w:rPr>
        <w:t xml:space="preserve"> </w:t>
      </w:r>
      <w:r>
        <w:rPr>
          <w:rFonts w:ascii="Arial" w:cs="Arial" w:eastAsia="Arial" w:hAnsi="Arial"/>
          <w:sz w:val="16"/>
          <w:szCs w:val="16"/>
          <w:color w:val="000000"/>
        </w:rPr>
        <w:t>our 5-6% of revenue target.</w:t>
      </w:r>
    </w:p>
    <w:p>
      <w:pPr>
        <w:spacing w:after="0" w:line="20" w:lineRule="exact"/>
        <w:rPr>
          <w:rFonts w:ascii="Arial" w:cs="Arial" w:eastAsia="Arial" w:hAnsi="Arial"/>
          <w:sz w:val="16"/>
          <w:szCs w:val="16"/>
          <w:color w:val="CB233C"/>
        </w:rPr>
      </w:pPr>
    </w:p>
    <w:p>
      <w:pPr>
        <w:jc w:val="both"/>
        <w:ind w:left="180" w:hanging="172"/>
        <w:spacing w:after="0" w:line="259" w:lineRule="auto"/>
        <w:tabs>
          <w:tab w:leader="none" w:pos="180" w:val="left"/>
        </w:tabs>
        <w:numPr>
          <w:ilvl w:val="0"/>
          <w:numId w:val="61"/>
        </w:numPr>
        <w:rPr>
          <w:rFonts w:ascii="Arial" w:cs="Arial" w:eastAsia="Arial" w:hAnsi="Arial"/>
          <w:sz w:val="16"/>
          <w:szCs w:val="16"/>
          <w:color w:val="CB233C"/>
        </w:rPr>
      </w:pPr>
      <w:r>
        <w:rPr>
          <w:rFonts w:ascii="Arial" w:cs="Arial" w:eastAsia="Arial" w:hAnsi="Arial"/>
          <w:sz w:val="16"/>
          <w:szCs w:val="16"/>
          <w:b w:val="1"/>
          <w:bCs w:val="1"/>
          <w:color w:val="CB233C"/>
        </w:rPr>
        <w:t xml:space="preserve">Sustainable energy: </w:t>
      </w:r>
      <w:r>
        <w:rPr>
          <w:rFonts w:ascii="Arial" w:cs="Arial" w:eastAsia="Arial" w:hAnsi="Arial"/>
          <w:sz w:val="16"/>
          <w:szCs w:val="16"/>
          <w:color w:val="000000"/>
        </w:rPr>
        <w:t>We announced our science-based emission reduction targets, added eleven new participating companies to Halliburton Labs, our</w:t>
      </w:r>
      <w:r>
        <w:rPr>
          <w:rFonts w:ascii="Arial" w:cs="Arial" w:eastAsia="Arial" w:hAnsi="Arial"/>
          <w:sz w:val="16"/>
          <w:szCs w:val="16"/>
          <w:b w:val="1"/>
          <w:bCs w:val="1"/>
          <w:color w:val="CB233C"/>
        </w:rPr>
        <w:t xml:space="preserve"> </w:t>
      </w:r>
      <w:r>
        <w:rPr>
          <w:rFonts w:ascii="Arial" w:cs="Arial" w:eastAsia="Arial" w:hAnsi="Arial"/>
          <w:sz w:val="16"/>
          <w:szCs w:val="16"/>
          <w:color w:val="000000"/>
        </w:rPr>
        <w:t>clean energy accelerator, and were named to the Dow Jones Sustainability Index North America for Energy Equipment and Services, which highlights the top 10% most sustainable North America companies in identified industries as determined by S&amp;P Global through their Corporate Sustainability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CB233C"/>
        </w:rPr>
        <w:t>Geographic Revenue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jc w:val="both"/>
        <w:ind w:left="5840"/>
        <w:spacing w:after="0" w:line="275" w:lineRule="auto"/>
        <w:rPr>
          <w:sz w:val="20"/>
          <w:szCs w:val="20"/>
          <w:color w:val="auto"/>
        </w:rPr>
      </w:pPr>
      <w:r>
        <w:rPr>
          <w:rFonts w:ascii="Arial" w:cs="Arial" w:eastAsia="Arial" w:hAnsi="Arial"/>
          <w:sz w:val="16"/>
          <w:szCs w:val="16"/>
          <w:color w:val="auto"/>
        </w:rPr>
        <w:t>In 2021, Halliburton earned the majority of our revenue internationally. We reset our earnings power and improved margins in several key end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9202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CB233C"/>
        </w:rPr>
        <w:t>Cash Flow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jc w:val="both"/>
        <w:ind w:left="5840"/>
        <w:spacing w:after="0" w:line="254" w:lineRule="auto"/>
        <w:rPr>
          <w:sz w:val="20"/>
          <w:szCs w:val="20"/>
          <w:color w:val="auto"/>
        </w:rPr>
      </w:pPr>
      <w:r>
        <w:rPr>
          <w:rFonts w:ascii="Arial" w:cs="Arial" w:eastAsia="Arial" w:hAnsi="Arial"/>
          <w:sz w:val="16"/>
          <w:szCs w:val="16"/>
          <w:color w:val="auto"/>
        </w:rPr>
        <w:t>During 2021, we generated $1.9 billion of operating cash flow and had $799 million of capital expenditures and $257 million of proceeds from sales of property, plant, and equipment, resulting in over $1.3 billion of free cash flow. This demonstrates our ability to generate strong free cash flow in different business environments. We additionally returned $161 million to shareholders through dividends and repaid $700 million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-732155</wp:posOffset>
            </wp:positionV>
            <wp:extent cx="2451735" cy="20656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451735" cy="2065655"/>
                    </a:xfrm>
                    <a:prstGeom prst="rect">
                      <a:avLst/>
                    </a:prstGeom>
                    <a:noFill/>
                  </pic:spPr>
                </pic:pic>
              </a:graphicData>
            </a:graphic>
          </wp:anchor>
        </w:drawing>
      </w:r>
    </w:p>
    <w:p>
      <w:pPr>
        <w:spacing w:after="0" w:line="142" w:lineRule="exact"/>
        <w:rPr>
          <w:sz w:val="20"/>
          <w:szCs w:val="20"/>
          <w:color w:val="auto"/>
        </w:rPr>
      </w:pPr>
    </w:p>
    <w:p>
      <w:pPr>
        <w:jc w:val="both"/>
        <w:ind w:left="6020" w:hanging="179"/>
        <w:spacing w:after="0" w:line="255" w:lineRule="auto"/>
        <w:tabs>
          <w:tab w:leader="none" w:pos="6000" w:val="left"/>
        </w:tabs>
        <w:rPr>
          <w:sz w:val="20"/>
          <w:szCs w:val="20"/>
          <w:color w:val="auto"/>
        </w:rPr>
      </w:pPr>
      <w:r>
        <w:rPr>
          <w:rFonts w:ascii="Arial" w:cs="Arial" w:eastAsia="Arial" w:hAnsi="Arial"/>
          <w:sz w:val="14"/>
          <w:szCs w:val="14"/>
          <w:i w:val="1"/>
          <w:iCs w:val="1"/>
          <w:color w:val="auto"/>
        </w:rPr>
        <w:t>*</w:t>
        <w:tab/>
        <w:t>Management believes that free cash flow, defined as “operating cash flow” less “capital expenditures” plus “proceeds from sale of property, plant, and equipment” is an important liquidity measure that is useful to investors and management for assessing the business’s ability to generate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754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CB233C"/>
        </w:rPr>
        <w:t>Debt Reduction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jc w:val="both"/>
        <w:ind w:left="5840"/>
        <w:spacing w:after="0" w:line="266" w:lineRule="auto"/>
        <w:rPr>
          <w:sz w:val="20"/>
          <w:szCs w:val="20"/>
          <w:color w:val="auto"/>
        </w:rPr>
      </w:pPr>
      <w:r>
        <w:rPr>
          <w:rFonts w:ascii="Arial" w:cs="Arial" w:eastAsia="Arial" w:hAnsi="Arial"/>
          <w:sz w:val="16"/>
          <w:szCs w:val="16"/>
          <w:color w:val="auto"/>
        </w:rPr>
        <w:t>Halliburton has strengthened our balance sheet, reducing gross debt by $1.2 billion during the pandemic, with another $600 million reduction in the first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-379095</wp:posOffset>
            </wp:positionV>
            <wp:extent cx="2322830" cy="17570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322830"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delivered superior ROCE performance over the one-, three-, and five-year periods ending December 31, 2021, relative to the Oilfield Services Index (OSX), our two largest competitors, and our Performance Peer Group. The details are depicted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90805</wp:posOffset>
            </wp:positionV>
            <wp:extent cx="6643370" cy="26917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64337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886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The Foundation of Our Executive Compensation Program</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2021 Named Executive Officers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960" w:type="dxa"/>
            <w:vAlign w:val="bottom"/>
            <w:tcBorders>
              <w:bottom w:val="single" w:sz="8" w:color="CB233C"/>
            </w:tcBorders>
          </w:tcPr>
          <w:p>
            <w:pPr>
              <w:ind w:left="60"/>
              <w:spacing w:after="0"/>
              <w:rPr>
                <w:sz w:val="20"/>
                <w:szCs w:val="20"/>
                <w:color w:val="auto"/>
              </w:rPr>
            </w:pPr>
            <w:r>
              <w:rPr>
                <w:rFonts w:ascii="Arial" w:cs="Arial" w:eastAsia="Arial" w:hAnsi="Arial"/>
                <w:sz w:val="16"/>
                <w:szCs w:val="16"/>
                <w:b w:val="1"/>
                <w:bCs w:val="1"/>
                <w:color w:val="auto"/>
              </w:rPr>
              <w:t>Name</w:t>
            </w:r>
          </w:p>
        </w:tc>
        <w:tc>
          <w:tcPr>
            <w:tcW w:w="108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auto"/>
              </w:rPr>
              <w:t>Age</w:t>
            </w:r>
          </w:p>
        </w:tc>
        <w:tc>
          <w:tcPr>
            <w:tcW w:w="8200" w:type="dxa"/>
            <w:vAlign w:val="bottom"/>
            <w:tcBorders>
              <w:bottom w:val="single" w:sz="8" w:color="CB233C"/>
            </w:tcBorders>
          </w:tcPr>
          <w:p>
            <w:pPr>
              <w:ind w:left="120"/>
              <w:spacing w:after="0"/>
              <w:rPr>
                <w:sz w:val="20"/>
                <w:szCs w:val="20"/>
                <w:color w:val="auto"/>
              </w:rPr>
            </w:pPr>
            <w:r>
              <w:rPr>
                <w:rFonts w:ascii="Arial" w:cs="Arial" w:eastAsia="Arial" w:hAnsi="Arial"/>
                <w:sz w:val="16"/>
                <w:szCs w:val="16"/>
                <w:b w:val="1"/>
                <w:bCs w:val="1"/>
                <w:color w:val="auto"/>
              </w:rPr>
              <w:t>Occupation</w:t>
            </w:r>
          </w:p>
        </w:tc>
      </w:tr>
      <w:tr>
        <w:trPr>
          <w:trHeight w:val="240"/>
        </w:trPr>
        <w:tc>
          <w:tcPr>
            <w:tcW w:w="1960" w:type="dxa"/>
            <w:vAlign w:val="bottom"/>
            <w:shd w:val="clear" w:color="auto" w:fill="EBECEE"/>
          </w:tcPr>
          <w:p>
            <w:pPr>
              <w:ind w:left="60"/>
              <w:spacing w:after="0"/>
              <w:rPr>
                <w:sz w:val="20"/>
                <w:szCs w:val="20"/>
                <w:color w:val="auto"/>
              </w:rPr>
            </w:pPr>
            <w:r>
              <w:rPr>
                <w:rFonts w:ascii="Arial" w:cs="Arial" w:eastAsia="Arial" w:hAnsi="Arial"/>
                <w:sz w:val="16"/>
                <w:szCs w:val="16"/>
                <w:b w:val="1"/>
                <w:bCs w:val="1"/>
                <w:color w:val="auto"/>
              </w:rPr>
              <w:t>Jeffrey A. Miller</w:t>
            </w:r>
          </w:p>
        </w:tc>
        <w:tc>
          <w:tcPr>
            <w:tcW w:w="1080" w:type="dxa"/>
            <w:vAlign w:val="bottom"/>
            <w:shd w:val="clear" w:color="auto" w:fill="EBECEE"/>
          </w:tcPr>
          <w:p>
            <w:pPr>
              <w:jc w:val="right"/>
              <w:ind w:right="19"/>
              <w:spacing w:after="0"/>
              <w:rPr>
                <w:sz w:val="20"/>
                <w:szCs w:val="20"/>
                <w:color w:val="auto"/>
              </w:rPr>
            </w:pPr>
            <w:r>
              <w:rPr>
                <w:rFonts w:ascii="Arial" w:cs="Arial" w:eastAsia="Arial" w:hAnsi="Arial"/>
                <w:sz w:val="16"/>
                <w:szCs w:val="16"/>
                <w:color w:val="auto"/>
              </w:rPr>
              <w:t>58</w:t>
            </w:r>
          </w:p>
        </w:tc>
        <w:tc>
          <w:tcPr>
            <w:tcW w:w="8200" w:type="dxa"/>
            <w:vAlign w:val="bottom"/>
            <w:shd w:val="clear" w:color="auto" w:fill="EBECEE"/>
          </w:tcPr>
          <w:p>
            <w:pPr>
              <w:ind w:left="120"/>
              <w:spacing w:after="0"/>
              <w:rPr>
                <w:sz w:val="20"/>
                <w:szCs w:val="20"/>
                <w:color w:val="auto"/>
              </w:rPr>
            </w:pPr>
            <w:r>
              <w:rPr>
                <w:rFonts w:ascii="Arial" w:cs="Arial" w:eastAsia="Arial" w:hAnsi="Arial"/>
                <w:sz w:val="16"/>
                <w:szCs w:val="16"/>
                <w:color w:val="auto"/>
              </w:rPr>
              <w:t>Chairman, President and Chief Executive Officer</w:t>
            </w:r>
          </w:p>
        </w:tc>
      </w:tr>
      <w:tr>
        <w:trPr>
          <w:trHeight w:val="239"/>
        </w:trPr>
        <w:tc>
          <w:tcPr>
            <w:tcW w:w="1960" w:type="dxa"/>
            <w:vAlign w:val="bottom"/>
          </w:tcPr>
          <w:p>
            <w:pPr>
              <w:ind w:left="60"/>
              <w:spacing w:after="0"/>
              <w:rPr>
                <w:sz w:val="20"/>
                <w:szCs w:val="20"/>
                <w:color w:val="auto"/>
              </w:rPr>
            </w:pPr>
            <w:r>
              <w:rPr>
                <w:rFonts w:ascii="Arial" w:cs="Arial" w:eastAsia="Arial" w:hAnsi="Arial"/>
                <w:sz w:val="16"/>
                <w:szCs w:val="16"/>
                <w:b w:val="1"/>
                <w:bCs w:val="1"/>
                <w:color w:val="auto"/>
              </w:rPr>
              <w:t>Lance Loeffler</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8200" w:type="dxa"/>
            <w:vAlign w:val="bottom"/>
          </w:tcPr>
          <w:p>
            <w:pPr>
              <w:ind w:left="120"/>
              <w:spacing w:after="0"/>
              <w:rPr>
                <w:sz w:val="20"/>
                <w:szCs w:val="20"/>
                <w:color w:val="auto"/>
              </w:rPr>
            </w:pPr>
            <w:r>
              <w:rPr>
                <w:rFonts w:ascii="Arial" w:cs="Arial" w:eastAsia="Arial" w:hAnsi="Arial"/>
                <w:sz w:val="16"/>
                <w:szCs w:val="16"/>
                <w:color w:val="auto"/>
              </w:rPr>
              <w:t>Executive Vice President and Chief Financial Officer</w:t>
            </w:r>
          </w:p>
        </w:tc>
      </w:tr>
      <w:tr>
        <w:trPr>
          <w:trHeight w:val="247"/>
        </w:trPr>
        <w:tc>
          <w:tcPr>
            <w:tcW w:w="1960" w:type="dxa"/>
            <w:vAlign w:val="bottom"/>
            <w:shd w:val="clear" w:color="auto" w:fill="EBECEE"/>
          </w:tcPr>
          <w:p>
            <w:pPr>
              <w:ind w:left="60"/>
              <w:spacing w:after="0"/>
              <w:rPr>
                <w:sz w:val="20"/>
                <w:szCs w:val="20"/>
                <w:color w:val="auto"/>
              </w:rPr>
            </w:pPr>
            <w:r>
              <w:rPr>
                <w:rFonts w:ascii="Arial" w:cs="Arial" w:eastAsia="Arial" w:hAnsi="Arial"/>
                <w:sz w:val="16"/>
                <w:szCs w:val="16"/>
                <w:b w:val="1"/>
                <w:bCs w:val="1"/>
                <w:color w:val="auto"/>
              </w:rPr>
              <w:t>Eric J. Carre</w:t>
            </w:r>
          </w:p>
        </w:tc>
        <w:tc>
          <w:tcPr>
            <w:tcW w:w="1080" w:type="dxa"/>
            <w:vAlign w:val="bottom"/>
            <w:shd w:val="clear" w:color="auto" w:fill="EBECEE"/>
          </w:tcPr>
          <w:p>
            <w:pPr>
              <w:jc w:val="right"/>
              <w:ind w:right="19"/>
              <w:spacing w:after="0"/>
              <w:rPr>
                <w:sz w:val="20"/>
                <w:szCs w:val="20"/>
                <w:color w:val="auto"/>
              </w:rPr>
            </w:pPr>
            <w:r>
              <w:rPr>
                <w:rFonts w:ascii="Arial" w:cs="Arial" w:eastAsia="Arial" w:hAnsi="Arial"/>
                <w:sz w:val="16"/>
                <w:szCs w:val="16"/>
                <w:color w:val="auto"/>
              </w:rPr>
              <w:t>56</w:t>
            </w:r>
          </w:p>
        </w:tc>
        <w:tc>
          <w:tcPr>
            <w:tcW w:w="8200" w:type="dxa"/>
            <w:vAlign w:val="bottom"/>
            <w:shd w:val="clear" w:color="auto" w:fill="EBECEE"/>
          </w:tcPr>
          <w:p>
            <w:pPr>
              <w:ind w:left="120"/>
              <w:spacing w:after="0"/>
              <w:rPr>
                <w:sz w:val="20"/>
                <w:szCs w:val="20"/>
                <w:color w:val="auto"/>
              </w:rPr>
            </w:pPr>
            <w:r>
              <w:rPr>
                <w:rFonts w:ascii="Arial" w:cs="Arial" w:eastAsia="Arial" w:hAnsi="Arial"/>
                <w:sz w:val="16"/>
                <w:szCs w:val="16"/>
                <w:color w:val="auto"/>
              </w:rPr>
              <w:t>Executive Vice President – Global Business Lines</w:t>
            </w:r>
          </w:p>
        </w:tc>
      </w:tr>
      <w:tr>
        <w:trPr>
          <w:trHeight w:val="239"/>
        </w:trPr>
        <w:tc>
          <w:tcPr>
            <w:tcW w:w="1960" w:type="dxa"/>
            <w:vAlign w:val="bottom"/>
          </w:tcPr>
          <w:p>
            <w:pPr>
              <w:ind w:left="60"/>
              <w:spacing w:after="0"/>
              <w:rPr>
                <w:sz w:val="20"/>
                <w:szCs w:val="20"/>
                <w:color w:val="auto"/>
              </w:rPr>
            </w:pPr>
            <w:r>
              <w:rPr>
                <w:rFonts w:ascii="Arial" w:cs="Arial" w:eastAsia="Arial" w:hAnsi="Arial"/>
                <w:sz w:val="16"/>
                <w:szCs w:val="16"/>
                <w:b w:val="1"/>
                <w:bCs w:val="1"/>
                <w:color w:val="auto"/>
              </w:rPr>
              <w:t>Joe D. Rainey</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8200" w:type="dxa"/>
            <w:vAlign w:val="bottom"/>
          </w:tcPr>
          <w:p>
            <w:pPr>
              <w:ind w:left="120"/>
              <w:spacing w:after="0"/>
              <w:rPr>
                <w:sz w:val="20"/>
                <w:szCs w:val="20"/>
                <w:color w:val="auto"/>
              </w:rPr>
            </w:pPr>
            <w:r>
              <w:rPr>
                <w:rFonts w:ascii="Arial" w:cs="Arial" w:eastAsia="Arial" w:hAnsi="Arial"/>
                <w:sz w:val="16"/>
                <w:szCs w:val="16"/>
                <w:color w:val="auto"/>
              </w:rPr>
              <w:t>President – Eastern Hemisphere</w:t>
            </w:r>
          </w:p>
        </w:tc>
      </w:tr>
      <w:tr>
        <w:trPr>
          <w:trHeight w:val="243"/>
        </w:trPr>
        <w:tc>
          <w:tcPr>
            <w:tcW w:w="1960" w:type="dxa"/>
            <w:vAlign w:val="bottom"/>
            <w:tcBorders>
              <w:bottom w:val="single" w:sz="8" w:color="CB233C"/>
            </w:tcBorders>
            <w:shd w:val="clear" w:color="auto" w:fill="EBECEE"/>
          </w:tcPr>
          <w:p>
            <w:pPr>
              <w:ind w:left="60"/>
              <w:spacing w:after="0"/>
              <w:rPr>
                <w:sz w:val="20"/>
                <w:szCs w:val="20"/>
                <w:color w:val="auto"/>
              </w:rPr>
            </w:pPr>
            <w:r>
              <w:rPr>
                <w:rFonts w:ascii="Arial" w:cs="Arial" w:eastAsia="Arial" w:hAnsi="Arial"/>
                <w:sz w:val="16"/>
                <w:szCs w:val="16"/>
                <w:b w:val="1"/>
                <w:bCs w:val="1"/>
                <w:color w:val="auto"/>
              </w:rPr>
              <w:t>Mark J. Richard</w:t>
            </w:r>
          </w:p>
        </w:tc>
        <w:tc>
          <w:tcPr>
            <w:tcW w:w="1080" w:type="dxa"/>
            <w:vAlign w:val="bottom"/>
            <w:tcBorders>
              <w:bottom w:val="single" w:sz="8" w:color="CB233C"/>
            </w:tcBorders>
            <w:shd w:val="clear" w:color="auto" w:fill="EBECEE"/>
          </w:tcPr>
          <w:p>
            <w:pPr>
              <w:jc w:val="right"/>
              <w:ind w:right="19"/>
              <w:spacing w:after="0"/>
              <w:rPr>
                <w:sz w:val="20"/>
                <w:szCs w:val="20"/>
                <w:color w:val="auto"/>
              </w:rPr>
            </w:pPr>
            <w:r>
              <w:rPr>
                <w:rFonts w:ascii="Arial" w:cs="Arial" w:eastAsia="Arial" w:hAnsi="Arial"/>
                <w:sz w:val="16"/>
                <w:szCs w:val="16"/>
                <w:color w:val="auto"/>
              </w:rPr>
              <w:t>60</w:t>
            </w:r>
          </w:p>
        </w:tc>
        <w:tc>
          <w:tcPr>
            <w:tcW w:w="8200" w:type="dxa"/>
            <w:vAlign w:val="bottom"/>
            <w:tcBorders>
              <w:bottom w:val="single" w:sz="8" w:color="CB233C"/>
            </w:tcBorders>
            <w:shd w:val="clear" w:color="auto" w:fill="EBECEE"/>
          </w:tcPr>
          <w:p>
            <w:pPr>
              <w:ind w:left="120"/>
              <w:spacing w:after="0"/>
              <w:rPr>
                <w:sz w:val="20"/>
                <w:szCs w:val="20"/>
                <w:color w:val="auto"/>
              </w:rPr>
            </w:pPr>
            <w:r>
              <w:rPr>
                <w:rFonts w:ascii="Arial" w:cs="Arial" w:eastAsia="Arial" w:hAnsi="Arial"/>
                <w:sz w:val="16"/>
                <w:szCs w:val="16"/>
                <w:color w:val="auto"/>
              </w:rPr>
              <w:t>President – Western Hemisphere</w:t>
            </w:r>
          </w:p>
        </w:tc>
      </w:tr>
    </w:tbl>
    <w:p>
      <w:pPr>
        <w:spacing w:after="0" w:line="2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Our Executive Compensation Program Objectives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 is designed to achieve the following objectives:</w:t>
      </w:r>
    </w:p>
    <w:p>
      <w:pPr>
        <w:spacing w:after="0" w:line="194" w:lineRule="exact"/>
        <w:rPr>
          <w:sz w:val="20"/>
          <w:szCs w:val="20"/>
          <w:color w:val="auto"/>
        </w:rPr>
      </w:pPr>
    </w:p>
    <w:p>
      <w:pPr>
        <w:ind w:left="180" w:hanging="172"/>
        <w:spacing w:after="0"/>
        <w:tabs>
          <w:tab w:leader="none" w:pos="180" w:val="left"/>
        </w:tabs>
        <w:numPr>
          <w:ilvl w:val="0"/>
          <w:numId w:val="62"/>
        </w:numPr>
        <w:rPr>
          <w:rFonts w:ascii="Arial" w:cs="Arial" w:eastAsia="Arial" w:hAnsi="Arial"/>
          <w:sz w:val="16"/>
          <w:szCs w:val="16"/>
          <w:color w:val="CB233C"/>
        </w:rPr>
      </w:pPr>
      <w:r>
        <w:rPr>
          <w:rFonts w:ascii="Arial" w:cs="Arial" w:eastAsia="Arial" w:hAnsi="Arial"/>
          <w:sz w:val="16"/>
          <w:szCs w:val="16"/>
          <w:color w:val="auto"/>
        </w:rPr>
        <w:t>Provide a clear and direct relationship between executive pay and our performance on both a short-term and long-term basis;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62"/>
        </w:numPr>
        <w:rPr>
          <w:rFonts w:ascii="Arial" w:cs="Arial" w:eastAsia="Arial" w:hAnsi="Arial"/>
          <w:sz w:val="16"/>
          <w:szCs w:val="16"/>
          <w:color w:val="CB233C"/>
        </w:rPr>
      </w:pPr>
      <w:r>
        <w:rPr>
          <w:rFonts w:ascii="Arial" w:cs="Arial" w:eastAsia="Arial" w:hAnsi="Arial"/>
          <w:sz w:val="16"/>
          <w:szCs w:val="16"/>
          <w:color w:val="auto"/>
        </w:rPr>
        <w:t>Target market competitive pay levels with a comparator peer group;</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62"/>
        </w:numPr>
        <w:rPr>
          <w:rFonts w:ascii="Arial" w:cs="Arial" w:eastAsia="Arial" w:hAnsi="Arial"/>
          <w:sz w:val="16"/>
          <w:szCs w:val="16"/>
          <w:color w:val="CB233C"/>
        </w:rPr>
      </w:pPr>
      <w:r>
        <w:rPr>
          <w:rFonts w:ascii="Arial" w:cs="Arial" w:eastAsia="Arial" w:hAnsi="Arial"/>
          <w:sz w:val="16"/>
          <w:szCs w:val="16"/>
          <w:color w:val="auto"/>
        </w:rPr>
        <w:t>Emphasize operating performance drivers;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62"/>
        </w:numPr>
        <w:rPr>
          <w:rFonts w:ascii="Arial" w:cs="Arial" w:eastAsia="Arial" w:hAnsi="Arial"/>
          <w:sz w:val="16"/>
          <w:szCs w:val="16"/>
          <w:color w:val="CB233C"/>
        </w:rPr>
      </w:pPr>
      <w:r>
        <w:rPr>
          <w:rFonts w:ascii="Arial" w:cs="Arial" w:eastAsia="Arial" w:hAnsi="Arial"/>
          <w:sz w:val="16"/>
          <w:szCs w:val="16"/>
          <w:color w:val="auto"/>
        </w:rPr>
        <w:t>Link executive pay to measures that drive shareholder returns;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62"/>
        </w:numPr>
        <w:rPr>
          <w:rFonts w:ascii="Arial" w:cs="Arial" w:eastAsia="Arial" w:hAnsi="Arial"/>
          <w:sz w:val="16"/>
          <w:szCs w:val="16"/>
          <w:color w:val="CB233C"/>
        </w:rPr>
      </w:pPr>
      <w:r>
        <w:rPr>
          <w:rFonts w:ascii="Arial" w:cs="Arial" w:eastAsia="Arial" w:hAnsi="Arial"/>
          <w:sz w:val="16"/>
          <w:szCs w:val="16"/>
          <w:color w:val="auto"/>
        </w:rPr>
        <w:t>Support our business strategies; and</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62"/>
        </w:numPr>
        <w:rPr>
          <w:rFonts w:ascii="Arial" w:cs="Arial" w:eastAsia="Arial" w:hAnsi="Arial"/>
          <w:sz w:val="16"/>
          <w:szCs w:val="16"/>
          <w:color w:val="CB233C"/>
        </w:rPr>
      </w:pPr>
      <w:r>
        <w:rPr>
          <w:rFonts w:ascii="Arial" w:cs="Arial" w:eastAsia="Arial" w:hAnsi="Arial"/>
          <w:sz w:val="16"/>
          <w:szCs w:val="16"/>
          <w:color w:val="auto"/>
        </w:rPr>
        <w:t>Maximize the return on our human resource investment.</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Good Compensation Governance Practices At-A-Glance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Borders>
              <w:bottom w:val="single" w:sz="8" w:color="CB233C"/>
            </w:tcBorders>
            <w:gridSpan w:val="2"/>
          </w:tcPr>
          <w:p>
            <w:pPr>
              <w:ind w:left="2520"/>
              <w:spacing w:after="0"/>
              <w:rPr>
                <w:sz w:val="20"/>
                <w:szCs w:val="20"/>
                <w:color w:val="auto"/>
              </w:rPr>
            </w:pPr>
            <w:r>
              <w:rPr>
                <w:rFonts w:ascii="Arial" w:cs="Arial" w:eastAsia="Arial" w:hAnsi="Arial"/>
                <w:sz w:val="16"/>
                <w:szCs w:val="16"/>
                <w:b w:val="1"/>
                <w:bCs w:val="1"/>
                <w:color w:val="auto"/>
              </w:rPr>
              <w:t>What We Do</w:t>
            </w:r>
          </w:p>
        </w:tc>
        <w:tc>
          <w:tcPr>
            <w:tcW w:w="5500" w:type="dxa"/>
            <w:vAlign w:val="bottom"/>
            <w:tcBorders>
              <w:bottom w:val="single" w:sz="8" w:color="CB233C"/>
            </w:tcBorders>
          </w:tcPr>
          <w:p>
            <w:pPr>
              <w:ind w:left="2280"/>
              <w:spacing w:after="0"/>
              <w:rPr>
                <w:sz w:val="20"/>
                <w:szCs w:val="20"/>
                <w:color w:val="auto"/>
              </w:rPr>
            </w:pPr>
            <w:r>
              <w:rPr>
                <w:rFonts w:ascii="Arial" w:cs="Arial" w:eastAsia="Arial" w:hAnsi="Arial"/>
                <w:sz w:val="16"/>
                <w:szCs w:val="16"/>
                <w:b w:val="1"/>
                <w:bCs w:val="1"/>
                <w:color w:val="auto"/>
              </w:rPr>
              <w:t>What We Don’t Do</w:t>
            </w:r>
          </w:p>
        </w:tc>
        <w:tc>
          <w:tcPr>
            <w:tcW w:w="0" w:type="dxa"/>
            <w:vAlign w:val="bottom"/>
          </w:tcPr>
          <w:p>
            <w:pPr>
              <w:spacing w:after="0"/>
              <w:rPr>
                <w:sz w:val="1"/>
                <w:szCs w:val="1"/>
                <w:color w:val="auto"/>
              </w:rPr>
            </w:pPr>
          </w:p>
        </w:tc>
      </w:tr>
      <w:tr>
        <w:trPr>
          <w:trHeight w:val="208"/>
        </w:trPr>
        <w:tc>
          <w:tcPr>
            <w:tcW w:w="5740" w:type="dxa"/>
            <w:vAlign w:val="bottom"/>
            <w:gridSpan w:val="2"/>
          </w:tcPr>
          <w:p>
            <w:pPr>
              <w:ind w:left="460"/>
              <w:spacing w:after="0"/>
              <w:rPr>
                <w:sz w:val="20"/>
                <w:szCs w:val="20"/>
                <w:color w:val="auto"/>
              </w:rPr>
            </w:pPr>
            <w:r>
              <w:rPr>
                <w:rFonts w:ascii="Arial" w:cs="Arial" w:eastAsia="Arial" w:hAnsi="Arial"/>
                <w:sz w:val="16"/>
                <w:szCs w:val="16"/>
                <w:color w:val="auto"/>
              </w:rPr>
              <w:t>Use mix of relative and absolute financial metrics</w:t>
            </w:r>
          </w:p>
        </w:tc>
        <w:tc>
          <w:tcPr>
            <w:tcW w:w="5500" w:type="dxa"/>
            <w:vAlign w:val="bottom"/>
          </w:tcPr>
          <w:p>
            <w:pPr>
              <w:ind w:left="460"/>
              <w:spacing w:after="0"/>
              <w:rPr>
                <w:sz w:val="20"/>
                <w:szCs w:val="20"/>
                <w:color w:val="auto"/>
              </w:rPr>
            </w:pPr>
            <w:r>
              <w:rPr>
                <w:rFonts w:ascii="Arial" w:cs="Arial" w:eastAsia="Arial" w:hAnsi="Arial"/>
                <w:sz w:val="16"/>
                <w:szCs w:val="16"/>
                <w:color w:val="auto"/>
              </w:rPr>
              <w:t>No repricing of underwater stock options</w:t>
            </w:r>
          </w:p>
        </w:tc>
        <w:tc>
          <w:tcPr>
            <w:tcW w:w="0" w:type="dxa"/>
            <w:vAlign w:val="bottom"/>
          </w:tcPr>
          <w:p>
            <w:pPr>
              <w:spacing w:after="0"/>
              <w:rPr>
                <w:sz w:val="1"/>
                <w:szCs w:val="1"/>
                <w:color w:val="auto"/>
              </w:rPr>
            </w:pPr>
          </w:p>
        </w:tc>
      </w:tr>
      <w:tr>
        <w:trPr>
          <w:trHeight w:val="109"/>
        </w:trPr>
        <w:tc>
          <w:tcPr>
            <w:tcW w:w="5520" w:type="dxa"/>
            <w:vAlign w:val="bottom"/>
            <w:tcBorders>
              <w:bottom w:val="single" w:sz="8" w:color="A7A9AC"/>
            </w:tcBorders>
          </w:tcPr>
          <w:p>
            <w:pPr>
              <w:spacing w:after="0"/>
              <w:rPr>
                <w:sz w:val="9"/>
                <w:szCs w:val="9"/>
                <w:color w:val="auto"/>
              </w:rPr>
            </w:pPr>
          </w:p>
        </w:tc>
        <w:tc>
          <w:tcPr>
            <w:tcW w:w="220" w:type="dxa"/>
            <w:vAlign w:val="bottom"/>
            <w:vMerge w:val="restart"/>
          </w:tcPr>
          <w:p>
            <w:pPr>
              <w:spacing w:after="0"/>
              <w:rPr>
                <w:sz w:val="9"/>
                <w:szCs w:val="9"/>
                <w:color w:val="auto"/>
              </w:rPr>
            </w:pPr>
          </w:p>
        </w:tc>
        <w:tc>
          <w:tcPr>
            <w:tcW w:w="5500" w:type="dxa"/>
            <w:vAlign w:val="bottom"/>
            <w:tcBorders>
              <w:bottom w:val="single" w:sz="8" w:color="A7A9AC"/>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5520" w:type="dxa"/>
            <w:vAlign w:val="bottom"/>
          </w:tcPr>
          <w:p>
            <w:pPr>
              <w:ind w:left="460"/>
              <w:spacing w:after="0" w:line="168" w:lineRule="exact"/>
              <w:rPr>
                <w:sz w:val="20"/>
                <w:szCs w:val="20"/>
                <w:color w:val="auto"/>
              </w:rPr>
            </w:pPr>
            <w:r>
              <w:rPr>
                <w:rFonts w:ascii="Arial" w:cs="Arial" w:eastAsia="Arial" w:hAnsi="Arial"/>
                <w:sz w:val="16"/>
                <w:szCs w:val="16"/>
                <w:color w:val="auto"/>
              </w:rPr>
              <w:t>The majority of total direct compensation opportunity is performance-</w:t>
            </w:r>
          </w:p>
        </w:tc>
        <w:tc>
          <w:tcPr>
            <w:tcW w:w="220" w:type="dxa"/>
            <w:vAlign w:val="bottom"/>
            <w:vMerge w:val="continue"/>
          </w:tcPr>
          <w:p>
            <w:pPr>
              <w:spacing w:after="0"/>
              <w:rPr>
                <w:sz w:val="14"/>
                <w:szCs w:val="14"/>
                <w:color w:val="auto"/>
              </w:rPr>
            </w:pPr>
          </w:p>
        </w:tc>
        <w:tc>
          <w:tcPr>
            <w:tcW w:w="5500" w:type="dxa"/>
            <w:vAlign w:val="bottom"/>
          </w:tcPr>
          <w:p>
            <w:pPr>
              <w:ind w:left="460"/>
              <w:spacing w:after="0" w:line="168" w:lineRule="exact"/>
              <w:rPr>
                <w:sz w:val="20"/>
                <w:szCs w:val="20"/>
                <w:color w:val="auto"/>
              </w:rPr>
            </w:pPr>
            <w:r>
              <w:rPr>
                <w:rFonts w:ascii="Arial" w:cs="Arial" w:eastAsia="Arial" w:hAnsi="Arial"/>
                <w:sz w:val="16"/>
                <w:szCs w:val="16"/>
                <w:color w:val="auto"/>
              </w:rPr>
              <w:t>No excessive perquisites</w:t>
            </w:r>
          </w:p>
        </w:tc>
        <w:tc>
          <w:tcPr>
            <w:tcW w:w="0" w:type="dxa"/>
            <w:vAlign w:val="bottom"/>
          </w:tcPr>
          <w:p>
            <w:pPr>
              <w:spacing w:after="0"/>
              <w:rPr>
                <w:sz w:val="1"/>
                <w:szCs w:val="1"/>
                <w:color w:val="auto"/>
              </w:rPr>
            </w:pPr>
          </w:p>
        </w:tc>
      </w:tr>
      <w:tr>
        <w:trPr>
          <w:trHeight w:val="203"/>
        </w:trPr>
        <w:tc>
          <w:tcPr>
            <w:tcW w:w="5740" w:type="dxa"/>
            <w:vAlign w:val="bottom"/>
            <w:gridSpan w:val="2"/>
          </w:tcPr>
          <w:p>
            <w:pPr>
              <w:ind w:left="460"/>
              <w:spacing w:after="0"/>
              <w:rPr>
                <w:sz w:val="20"/>
                <w:szCs w:val="20"/>
                <w:color w:val="auto"/>
              </w:rPr>
            </w:pPr>
            <w:r>
              <w:rPr>
                <w:rFonts w:ascii="Arial" w:cs="Arial" w:eastAsia="Arial" w:hAnsi="Arial"/>
                <w:sz w:val="16"/>
                <w:szCs w:val="16"/>
                <w:color w:val="auto"/>
              </w:rPr>
              <w:t>based, at-risk, and long-term</w:t>
            </w:r>
          </w:p>
        </w:tc>
        <w:tc>
          <w:tcPr>
            <w:tcW w:w="5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520" w:type="dxa"/>
            <w:vAlign w:val="bottom"/>
            <w:tcBorders>
              <w:top w:val="single" w:sz="8" w:color="A7A9AC"/>
            </w:tcBorders>
          </w:tcPr>
          <w:p>
            <w:pPr>
              <w:ind w:left="460"/>
              <w:spacing w:after="0" w:line="168" w:lineRule="exact"/>
              <w:rPr>
                <w:sz w:val="20"/>
                <w:szCs w:val="20"/>
                <w:color w:val="auto"/>
              </w:rPr>
            </w:pPr>
            <w:r>
              <w:rPr>
                <w:rFonts w:ascii="Arial" w:cs="Arial" w:eastAsia="Arial" w:hAnsi="Arial"/>
                <w:sz w:val="16"/>
                <w:szCs w:val="16"/>
                <w:color w:val="auto"/>
              </w:rPr>
              <w:t>Deliver rewards that are based on the achievement of long-term</w:t>
            </w:r>
          </w:p>
        </w:tc>
        <w:tc>
          <w:tcPr>
            <w:tcW w:w="220" w:type="dxa"/>
            <w:vAlign w:val="bottom"/>
          </w:tcPr>
          <w:p>
            <w:pPr>
              <w:spacing w:after="0"/>
              <w:rPr>
                <w:sz w:val="14"/>
                <w:szCs w:val="14"/>
                <w:color w:val="auto"/>
              </w:rPr>
            </w:pPr>
          </w:p>
        </w:tc>
        <w:tc>
          <w:tcPr>
            <w:tcW w:w="5500" w:type="dxa"/>
            <w:vAlign w:val="bottom"/>
            <w:tcBorders>
              <w:top w:val="single" w:sz="8" w:color="A7A9AC"/>
            </w:tcBorders>
          </w:tcPr>
          <w:p>
            <w:pPr>
              <w:ind w:left="460"/>
              <w:spacing w:after="0" w:line="168" w:lineRule="exact"/>
              <w:rPr>
                <w:sz w:val="20"/>
                <w:szCs w:val="20"/>
                <w:color w:val="auto"/>
              </w:rPr>
            </w:pPr>
            <w:r>
              <w:rPr>
                <w:rFonts w:ascii="Arial" w:cs="Arial" w:eastAsia="Arial" w:hAnsi="Arial"/>
                <w:sz w:val="16"/>
                <w:szCs w:val="16"/>
                <w:color w:val="auto"/>
              </w:rPr>
              <w:t>No guaranteed bonuses or uncapped incentives</w:t>
            </w:r>
          </w:p>
        </w:tc>
        <w:tc>
          <w:tcPr>
            <w:tcW w:w="0" w:type="dxa"/>
            <w:vAlign w:val="bottom"/>
          </w:tcPr>
          <w:p>
            <w:pPr>
              <w:spacing w:after="0"/>
              <w:rPr>
                <w:sz w:val="1"/>
                <w:szCs w:val="1"/>
                <w:color w:val="auto"/>
              </w:rPr>
            </w:pPr>
          </w:p>
        </w:tc>
      </w:tr>
      <w:tr>
        <w:trPr>
          <w:trHeight w:val="215"/>
        </w:trPr>
        <w:tc>
          <w:tcPr>
            <w:tcW w:w="5740" w:type="dxa"/>
            <w:vAlign w:val="bottom"/>
            <w:gridSpan w:val="2"/>
          </w:tcPr>
          <w:p>
            <w:pPr>
              <w:ind w:left="460"/>
              <w:spacing w:after="0"/>
              <w:rPr>
                <w:sz w:val="20"/>
                <w:szCs w:val="20"/>
                <w:color w:val="auto"/>
              </w:rPr>
            </w:pPr>
            <w:r>
              <w:rPr>
                <w:rFonts w:ascii="Arial" w:cs="Arial" w:eastAsia="Arial" w:hAnsi="Arial"/>
                <w:sz w:val="16"/>
                <w:szCs w:val="16"/>
                <w:color w:val="auto"/>
              </w:rPr>
              <w:t>objectives and the creation of shareholder value</w:t>
            </w: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3823335" cy="6769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23335" cy="67691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ind w:left="460" w:right="640"/>
        <w:spacing w:after="0" w:line="255" w:lineRule="auto"/>
        <w:rPr>
          <w:sz w:val="20"/>
          <w:szCs w:val="20"/>
          <w:color w:val="auto"/>
        </w:rPr>
      </w:pPr>
      <w:r>
        <w:rPr>
          <w:rFonts w:ascii="Arial" w:cs="Arial" w:eastAsia="Arial" w:hAnsi="Arial"/>
          <w:sz w:val="16"/>
          <w:szCs w:val="16"/>
          <w:color w:val="auto"/>
        </w:rPr>
        <w:t>Maintain a clawback policy in the event of a material financial restatement or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3505835" cy="4286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505835" cy="428625"/>
                    </a:xfrm>
                    <a:prstGeom prst="rect">
                      <a:avLst/>
                    </a:prstGeom>
                    <a:noFill/>
                  </pic:spPr>
                </pic:pic>
              </a:graphicData>
            </a:graphic>
          </wp:anchor>
        </w:drawing>
      </w:r>
    </w:p>
    <w:p>
      <w:pPr>
        <w:ind w:left="460" w:right="60"/>
        <w:spacing w:after="0" w:line="446" w:lineRule="auto"/>
        <w:rPr>
          <w:sz w:val="20"/>
          <w:szCs w:val="20"/>
          <w:color w:val="auto"/>
        </w:rPr>
      </w:pPr>
      <w:r>
        <w:rPr>
          <w:rFonts w:ascii="Arial" w:cs="Arial" w:eastAsia="Arial" w:hAnsi="Arial"/>
          <w:sz w:val="16"/>
          <w:szCs w:val="16"/>
          <w:color w:val="auto"/>
        </w:rPr>
        <w:t>Maintain robust executive and Director stock ownership requirements Use an independent, external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3505835" cy="2228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505835" cy="22288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Benchmark against a relevant group of peer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505835" cy="2057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505835" cy="205740"/>
                    </a:xfrm>
                    <a:prstGeom prst="rect">
                      <a:avLst/>
                    </a:prstGeom>
                    <a:noFill/>
                  </pic:spPr>
                </pic:pic>
              </a:graphicData>
            </a:graphic>
          </wp:anchor>
        </w:drawing>
      </w:r>
    </w:p>
    <w:p>
      <w:pPr>
        <w:spacing w:after="0" w:line="134" w:lineRule="exact"/>
        <w:rPr>
          <w:sz w:val="20"/>
          <w:szCs w:val="20"/>
          <w:color w:val="auto"/>
        </w:rPr>
      </w:pPr>
    </w:p>
    <w:p>
      <w:pPr>
        <w:ind w:left="460" w:right="800"/>
        <w:spacing w:after="0" w:line="268" w:lineRule="auto"/>
        <w:rPr>
          <w:sz w:val="20"/>
          <w:szCs w:val="20"/>
          <w:color w:val="auto"/>
        </w:rPr>
      </w:pPr>
      <w:r>
        <w:rPr>
          <w:rFonts w:ascii="Arial" w:cs="Arial" w:eastAsia="Arial" w:hAnsi="Arial"/>
          <w:sz w:val="16"/>
          <w:szCs w:val="16"/>
          <w:color w:val="auto"/>
        </w:rPr>
        <w:t>Rigorous oversight of incentive metrics, goals, and pay-for-performance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3505835" cy="4540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505835" cy="454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80"/>
        <w:spacing w:after="0" w:line="255" w:lineRule="auto"/>
        <w:rPr>
          <w:sz w:val="20"/>
          <w:szCs w:val="20"/>
          <w:color w:val="auto"/>
        </w:rPr>
      </w:pPr>
      <w:r>
        <w:rPr>
          <w:rFonts w:ascii="Arial" w:cs="Arial" w:eastAsia="Arial" w:hAnsi="Arial"/>
          <w:sz w:val="16"/>
          <w:szCs w:val="16"/>
          <w:color w:val="auto"/>
        </w:rPr>
        <w:t>No single trigger vesting upon a change of control (applicable to awards to NEOs for 2019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-220345</wp:posOffset>
            </wp:positionV>
            <wp:extent cx="3488690" cy="4114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88690" cy="4114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No excise tax gross-ups</w:t>
      </w:r>
    </w:p>
    <w:p>
      <w:pPr>
        <w:spacing w:after="0" w:line="128" w:lineRule="exact"/>
        <w:rPr>
          <w:sz w:val="20"/>
          <w:szCs w:val="20"/>
          <w:color w:val="auto"/>
        </w:rPr>
      </w:pPr>
    </w:p>
    <w:p>
      <w:pPr>
        <w:ind w:right="420"/>
        <w:spacing w:after="0" w:line="263" w:lineRule="auto"/>
        <w:rPr>
          <w:sz w:val="20"/>
          <w:szCs w:val="20"/>
          <w:color w:val="auto"/>
        </w:rPr>
      </w:pPr>
      <w:r>
        <w:rPr>
          <w:rFonts w:ascii="Arial" w:cs="Arial" w:eastAsia="Arial" w:hAnsi="Arial"/>
          <w:sz w:val="16"/>
          <w:szCs w:val="16"/>
          <w:color w:val="auto"/>
        </w:rPr>
        <w:t>No hedging or pledging of company securities by executives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-255270</wp:posOffset>
            </wp:positionV>
            <wp:extent cx="34886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-220980</wp:posOffset>
            </wp:positionV>
            <wp:extent cx="3488690" cy="4114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88690" cy="4114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No buyout or exchange of underwater options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No special or one-time stock grants for internal promotions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-115570</wp:posOffset>
            </wp:positionV>
            <wp:extent cx="34886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-81280</wp:posOffset>
            </wp:positionV>
            <wp:extent cx="179705" cy="4114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9705" cy="41148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5480" w:space="720"/>
            <w:col w:w="5040"/>
          </w:cols>
          <w:pgMar w:left="320" w:top="23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520" w:type="dxa"/>
            <w:vAlign w:val="bottom"/>
            <w:tcBorders>
              <w:top w:val="single" w:sz="8" w:color="A7A9AC"/>
            </w:tcBorders>
            <w:gridSpan w:val="2"/>
          </w:tcPr>
          <w:p>
            <w:pPr>
              <w:ind w:left="460"/>
              <w:spacing w:after="0"/>
              <w:rPr>
                <w:sz w:val="20"/>
                <w:szCs w:val="20"/>
                <w:color w:val="auto"/>
              </w:rPr>
            </w:pPr>
            <w:r>
              <w:rPr>
                <w:rFonts w:ascii="Arial" w:cs="Arial" w:eastAsia="Arial" w:hAnsi="Arial"/>
                <w:sz w:val="16"/>
                <w:szCs w:val="16"/>
                <w:color w:val="auto"/>
              </w:rPr>
              <w:t>Hold an annual say-on-pay vote</w:t>
            </w:r>
          </w:p>
        </w:tc>
        <w:tc>
          <w:tcPr>
            <w:tcW w:w="220" w:type="dxa"/>
            <w:vAlign w:val="bottom"/>
          </w:tcPr>
          <w:p>
            <w:pPr>
              <w:spacing w:after="0"/>
              <w:rPr>
                <w:sz w:val="17"/>
                <w:szCs w:val="17"/>
                <w:color w:val="auto"/>
              </w:rPr>
            </w:pPr>
          </w:p>
        </w:tc>
        <w:tc>
          <w:tcPr>
            <w:tcW w:w="5500" w:type="dxa"/>
            <w:vAlign w:val="bottom"/>
            <w:tcBorders>
              <w:top w:val="single" w:sz="8" w:color="A7A9AC"/>
            </w:tcBorders>
            <w:gridSpan w:val="2"/>
          </w:tcPr>
          <w:p>
            <w:pPr>
              <w:ind w:left="460"/>
              <w:spacing w:after="0"/>
              <w:rPr>
                <w:sz w:val="20"/>
                <w:szCs w:val="20"/>
                <w:color w:val="auto"/>
              </w:rPr>
            </w:pPr>
            <w:r>
              <w:rPr>
                <w:rFonts w:ascii="Arial" w:cs="Arial" w:eastAsia="Arial" w:hAnsi="Arial"/>
                <w:sz w:val="16"/>
                <w:szCs w:val="16"/>
                <w:color w:val="auto"/>
              </w:rPr>
              <w:t>No liberal share counting or recycling</w:t>
            </w:r>
          </w:p>
        </w:tc>
        <w:tc>
          <w:tcPr>
            <w:tcW w:w="0" w:type="dxa"/>
            <w:vAlign w:val="bottom"/>
          </w:tcPr>
          <w:p>
            <w:pPr>
              <w:spacing w:after="0"/>
              <w:rPr>
                <w:sz w:val="1"/>
                <w:szCs w:val="1"/>
                <w:color w:val="auto"/>
              </w:rPr>
            </w:pPr>
          </w:p>
        </w:tc>
      </w:tr>
      <w:tr>
        <w:trPr>
          <w:trHeight w:val="89"/>
        </w:trPr>
        <w:tc>
          <w:tcPr>
            <w:tcW w:w="1740" w:type="dxa"/>
            <w:vAlign w:val="bottom"/>
            <w:tcBorders>
              <w:bottom w:val="single" w:sz="8" w:color="CB233C"/>
            </w:tcBorders>
          </w:tcPr>
          <w:p>
            <w:pPr>
              <w:spacing w:after="0"/>
              <w:rPr>
                <w:sz w:val="7"/>
                <w:szCs w:val="7"/>
                <w:color w:val="auto"/>
              </w:rPr>
            </w:pPr>
          </w:p>
        </w:tc>
        <w:tc>
          <w:tcPr>
            <w:tcW w:w="3780" w:type="dxa"/>
            <w:vAlign w:val="bottom"/>
            <w:tcBorders>
              <w:bottom w:val="single" w:sz="8" w:color="CB233C"/>
            </w:tcBorders>
          </w:tcPr>
          <w:p>
            <w:pPr>
              <w:spacing w:after="0"/>
              <w:rPr>
                <w:sz w:val="7"/>
                <w:szCs w:val="7"/>
                <w:color w:val="auto"/>
              </w:rPr>
            </w:pPr>
          </w:p>
        </w:tc>
        <w:tc>
          <w:tcPr>
            <w:tcW w:w="220" w:type="dxa"/>
            <w:vAlign w:val="bottom"/>
            <w:tcBorders>
              <w:bottom w:val="single" w:sz="8" w:color="CB233C"/>
            </w:tcBorders>
          </w:tcPr>
          <w:p>
            <w:pPr>
              <w:spacing w:after="0"/>
              <w:rPr>
                <w:sz w:val="7"/>
                <w:szCs w:val="7"/>
                <w:color w:val="auto"/>
              </w:rPr>
            </w:pPr>
          </w:p>
        </w:tc>
        <w:tc>
          <w:tcPr>
            <w:tcW w:w="1900" w:type="dxa"/>
            <w:vAlign w:val="bottom"/>
            <w:tcBorders>
              <w:bottom w:val="single" w:sz="8" w:color="CB233C"/>
            </w:tcBorders>
          </w:tcPr>
          <w:p>
            <w:pPr>
              <w:spacing w:after="0"/>
              <w:rPr>
                <w:sz w:val="7"/>
                <w:szCs w:val="7"/>
                <w:color w:val="auto"/>
              </w:rPr>
            </w:pPr>
          </w:p>
        </w:tc>
        <w:tc>
          <w:tcPr>
            <w:tcW w:w="3600" w:type="dxa"/>
            <w:vAlign w:val="bottom"/>
            <w:tcBorders>
              <w:bottom w:val="single" w:sz="8" w:color="CB233C"/>
            </w:tcBorders>
          </w:tcPr>
          <w:p>
            <w:pPr>
              <w:spacing w:after="0"/>
              <w:rPr>
                <w:sz w:val="7"/>
                <w:szCs w:val="7"/>
                <w:color w:val="auto"/>
              </w:rPr>
            </w:pPr>
          </w:p>
        </w:tc>
        <w:tc>
          <w:tcPr>
            <w:tcW w:w="0" w:type="dxa"/>
            <w:vAlign w:val="bottom"/>
          </w:tcPr>
          <w:p>
            <w:pPr>
              <w:spacing w:after="0"/>
              <w:rPr>
                <w:sz w:val="1"/>
                <w:szCs w:val="1"/>
                <w:color w:val="auto"/>
              </w:rPr>
            </w:pPr>
          </w:p>
        </w:tc>
      </w:tr>
      <w:tr>
        <w:trPr>
          <w:trHeight w:val="372"/>
        </w:trPr>
        <w:tc>
          <w:tcPr>
            <w:tcW w:w="1740" w:type="dxa"/>
            <w:vAlign w:val="bottom"/>
            <w:vMerge w:val="restart"/>
          </w:tcPr>
          <w:p>
            <w:pPr>
              <w:spacing w:after="0"/>
              <w:rPr>
                <w:sz w:val="20"/>
                <w:szCs w:val="20"/>
                <w:color w:val="auto"/>
              </w:rPr>
            </w:pPr>
            <w:r>
              <w:rPr>
                <w:rFonts w:ascii="Arial" w:cs="Arial" w:eastAsia="Arial" w:hAnsi="Arial"/>
                <w:sz w:val="16"/>
                <w:szCs w:val="16"/>
                <w:b w:val="1"/>
                <w:bCs w:val="1"/>
                <w:color w:val="CB233C"/>
              </w:rPr>
              <w:t>www.halliburton.com</w:t>
            </w:r>
          </w:p>
        </w:tc>
        <w:tc>
          <w:tcPr>
            <w:tcW w:w="4000" w:type="dxa"/>
            <w:vAlign w:val="bottom"/>
            <w:tcBorders>
              <w:bottom w:val="single" w:sz="8" w:color="auto"/>
            </w:tcBorders>
            <w:gridSpan w:val="2"/>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600" w:type="dxa"/>
            <w:vAlign w:val="bottom"/>
            <w:vMerge w:val="restart"/>
          </w:tcPr>
          <w:p>
            <w:pPr>
              <w:ind w:left="100"/>
              <w:spacing w:after="0"/>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   40</w:t>
            </w:r>
          </w:p>
        </w:tc>
        <w:tc>
          <w:tcPr>
            <w:tcW w:w="0" w:type="dxa"/>
            <w:vAlign w:val="bottom"/>
          </w:tcPr>
          <w:p>
            <w:pPr>
              <w:spacing w:after="0"/>
              <w:rPr>
                <w:sz w:val="1"/>
                <w:szCs w:val="1"/>
                <w:color w:val="auto"/>
              </w:rPr>
            </w:pPr>
          </w:p>
        </w:tc>
      </w:tr>
      <w:tr>
        <w:trPr>
          <w:trHeight w:val="94"/>
        </w:trPr>
        <w:tc>
          <w:tcPr>
            <w:tcW w:w="1740" w:type="dxa"/>
            <w:vAlign w:val="bottom"/>
            <w:vMerge w:val="continue"/>
          </w:tcPr>
          <w:p>
            <w:pPr>
              <w:spacing w:after="0"/>
              <w:rPr>
                <w:sz w:val="8"/>
                <w:szCs w:val="8"/>
                <w:color w:val="auto"/>
              </w:rPr>
            </w:pPr>
          </w:p>
        </w:tc>
        <w:tc>
          <w:tcPr>
            <w:tcW w:w="4000" w:type="dxa"/>
            <w:vAlign w:val="bottom"/>
            <w:gridSpan w:val="2"/>
          </w:tcPr>
          <w:p>
            <w:pPr>
              <w:spacing w:after="0"/>
              <w:rPr>
                <w:sz w:val="8"/>
                <w:szCs w:val="8"/>
                <w:color w:val="auto"/>
              </w:rPr>
            </w:pPr>
          </w:p>
        </w:tc>
        <w:tc>
          <w:tcPr>
            <w:tcW w:w="1900" w:type="dxa"/>
            <w:vAlign w:val="bottom"/>
          </w:tcPr>
          <w:p>
            <w:pPr>
              <w:spacing w:after="0"/>
              <w:rPr>
                <w:sz w:val="8"/>
                <w:szCs w:val="8"/>
                <w:color w:val="auto"/>
              </w:rPr>
            </w:pPr>
          </w:p>
        </w:tc>
        <w:tc>
          <w:tcPr>
            <w:tcW w:w="3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1740" w:type="dxa"/>
            <w:vAlign w:val="bottom"/>
            <w:tcBorders>
              <w:bottom w:val="single" w:sz="8" w:color="C0C0C0"/>
            </w:tcBorders>
          </w:tcPr>
          <w:p>
            <w:pPr>
              <w:spacing w:after="0"/>
              <w:rPr>
                <w:sz w:val="24"/>
                <w:szCs w:val="24"/>
                <w:color w:val="auto"/>
              </w:rPr>
            </w:pPr>
          </w:p>
        </w:tc>
        <w:tc>
          <w:tcPr>
            <w:tcW w:w="3780" w:type="dxa"/>
            <w:vAlign w:val="bottom"/>
            <w:tcBorders>
              <w:bottom w:val="single" w:sz="8" w:color="C0C0C0"/>
            </w:tcBorders>
          </w:tcPr>
          <w:p>
            <w:pPr>
              <w:spacing w:after="0"/>
              <w:rPr>
                <w:sz w:val="24"/>
                <w:szCs w:val="24"/>
                <w:color w:val="auto"/>
              </w:rPr>
            </w:pPr>
          </w:p>
        </w:tc>
        <w:tc>
          <w:tcPr>
            <w:tcW w:w="220" w:type="dxa"/>
            <w:vAlign w:val="bottom"/>
            <w:tcBorders>
              <w:bottom w:val="single" w:sz="8" w:color="C0C0C0"/>
            </w:tcBorders>
          </w:tcPr>
          <w:p>
            <w:pPr>
              <w:spacing w:after="0"/>
              <w:rPr>
                <w:sz w:val="24"/>
                <w:szCs w:val="24"/>
                <w:color w:val="auto"/>
              </w:rPr>
            </w:pPr>
          </w:p>
        </w:tc>
        <w:tc>
          <w:tcPr>
            <w:tcW w:w="19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type w:val="continuous"/>
        </w:sectPr>
      </w:pPr>
    </w:p>
    <w:bookmarkStart w:id="45" w:name="page46"/>
    <w:bookmarkEnd w:id="4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Elements of our Executive Compensation Program for 2021</w:t>
      </w:r>
    </w:p>
    <w:p>
      <w:pPr>
        <w:spacing w:after="0" w:line="20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Halliburton’s executive compensation program for the 2021 plan year was composed of base salary, a short-term incentive, and long-term incentives as described below:</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51155" cy="30257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51155"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40"/>
        <w:spacing w:after="0"/>
        <w:rPr>
          <w:sz w:val="20"/>
          <w:szCs w:val="20"/>
          <w:color w:val="auto"/>
        </w:rPr>
      </w:pPr>
      <w:r>
        <w:rPr>
          <w:rFonts w:ascii="Arial" w:cs="Arial" w:eastAsia="Arial" w:hAnsi="Arial"/>
          <w:sz w:val="16"/>
          <w:szCs w:val="16"/>
          <w:b w:val="1"/>
          <w:bCs w:val="1"/>
          <w:color w:val="FFFFFF"/>
        </w:rPr>
        <w:t>AT</w:t>
      </w:r>
    </w:p>
    <w:p>
      <w:pPr>
        <w:spacing w:after="0" w:line="21" w:lineRule="exact"/>
        <w:rPr>
          <w:sz w:val="20"/>
          <w:szCs w:val="20"/>
          <w:color w:val="auto"/>
        </w:rPr>
      </w:pPr>
    </w:p>
    <w:p>
      <w:pPr>
        <w:jc w:val="center"/>
        <w:ind w:left="40"/>
        <w:spacing w:after="0"/>
        <w:rPr>
          <w:sz w:val="20"/>
          <w:szCs w:val="20"/>
          <w:color w:val="auto"/>
        </w:rPr>
      </w:pPr>
      <w:r>
        <w:rPr>
          <w:rFonts w:ascii="Arial" w:cs="Arial" w:eastAsia="Arial" w:hAnsi="Arial"/>
          <w:sz w:val="16"/>
          <w:szCs w:val="16"/>
          <w:b w:val="1"/>
          <w:bCs w:val="1"/>
          <w:color w:val="FFFFFF"/>
        </w:rPr>
        <w:t>RISK</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080" w:type="dxa"/>
            <w:vAlign w:val="bottom"/>
          </w:tcPr>
          <w:p>
            <w:pPr>
              <w:ind w:left="40"/>
              <w:spacing w:after="0"/>
              <w:rPr>
                <w:sz w:val="20"/>
                <w:szCs w:val="20"/>
                <w:color w:val="auto"/>
              </w:rPr>
            </w:pPr>
            <w:r>
              <w:rPr>
                <w:rFonts w:ascii="Arial" w:cs="Arial" w:eastAsia="Arial" w:hAnsi="Arial"/>
                <w:sz w:val="16"/>
                <w:szCs w:val="16"/>
                <w:b w:val="1"/>
                <w:bCs w:val="1"/>
                <w:color w:val="auto"/>
              </w:rPr>
              <w:t>Reward</w:t>
            </w: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360" w:type="dxa"/>
            <w:vAlign w:val="bottom"/>
          </w:tcPr>
          <w:p>
            <w:pPr>
              <w:ind w:left="160"/>
              <w:spacing w:after="0"/>
              <w:rPr>
                <w:sz w:val="20"/>
                <w:szCs w:val="20"/>
                <w:color w:val="auto"/>
              </w:rPr>
            </w:pPr>
            <w:r>
              <w:rPr>
                <w:rFonts w:ascii="Arial" w:cs="Arial" w:eastAsia="Arial" w:hAnsi="Arial"/>
                <w:sz w:val="16"/>
                <w:szCs w:val="16"/>
                <w:b w:val="1"/>
                <w:bCs w:val="1"/>
                <w:color w:val="auto"/>
              </w:rPr>
              <w:t>How Award Value</w:t>
            </w: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Element</w:t>
            </w:r>
          </w:p>
        </w:tc>
        <w:tc>
          <w:tcPr>
            <w:tcW w:w="23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Objective</w:t>
            </w:r>
          </w:p>
        </w:tc>
        <w:tc>
          <w:tcPr>
            <w:tcW w:w="23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Key Features</w:t>
            </w:r>
          </w:p>
        </w:tc>
        <w:tc>
          <w:tcPr>
            <w:tcW w:w="23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is Determined</w:t>
            </w:r>
          </w:p>
        </w:tc>
        <w:tc>
          <w:tcPr>
            <w:tcW w:w="24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2021 Decisions</w:t>
            </w:r>
          </w:p>
        </w:tc>
        <w:tc>
          <w:tcPr>
            <w:tcW w:w="0" w:type="dxa"/>
            <w:vAlign w:val="bottom"/>
          </w:tcPr>
          <w:p>
            <w:pPr>
              <w:spacing w:after="0"/>
              <w:rPr>
                <w:sz w:val="1"/>
                <w:szCs w:val="1"/>
                <w:color w:val="auto"/>
              </w:rPr>
            </w:pPr>
          </w:p>
        </w:tc>
      </w:tr>
      <w:tr>
        <w:trPr>
          <w:trHeight w:val="168"/>
        </w:trPr>
        <w:tc>
          <w:tcPr>
            <w:tcW w:w="1080" w:type="dxa"/>
            <w:vAlign w:val="bottom"/>
            <w:shd w:val="clear" w:color="auto" w:fill="EBECEE"/>
          </w:tcPr>
          <w:p>
            <w:pPr>
              <w:ind w:left="40"/>
              <w:spacing w:after="0" w:line="168" w:lineRule="exact"/>
              <w:rPr>
                <w:sz w:val="20"/>
                <w:szCs w:val="20"/>
                <w:color w:val="auto"/>
              </w:rPr>
            </w:pPr>
            <w:r>
              <w:rPr>
                <w:rFonts w:ascii="Arial" w:cs="Arial" w:eastAsia="Arial" w:hAnsi="Arial"/>
                <w:sz w:val="16"/>
                <w:szCs w:val="16"/>
                <w:b w:val="1"/>
                <w:bCs w:val="1"/>
                <w:color w:val="auto"/>
              </w:rPr>
              <w:t>Base Salary</w:t>
            </w:r>
          </w:p>
        </w:tc>
        <w:tc>
          <w:tcPr>
            <w:tcW w:w="2360" w:type="dxa"/>
            <w:vAlign w:val="bottom"/>
            <w:shd w:val="clear" w:color="auto" w:fill="EBECEE"/>
          </w:tcPr>
          <w:p>
            <w:pPr>
              <w:ind w:left="140"/>
              <w:spacing w:after="0" w:line="168" w:lineRule="exact"/>
              <w:rPr>
                <w:sz w:val="20"/>
                <w:szCs w:val="20"/>
                <w:color w:val="auto"/>
              </w:rPr>
            </w:pPr>
            <w:r>
              <w:rPr>
                <w:rFonts w:ascii="Arial" w:cs="Arial" w:eastAsia="Arial" w:hAnsi="Arial"/>
                <w:sz w:val="16"/>
                <w:szCs w:val="16"/>
                <w:color w:val="auto"/>
              </w:rPr>
              <w:t>Compensates executives</w:t>
            </w:r>
          </w:p>
        </w:tc>
        <w:tc>
          <w:tcPr>
            <w:tcW w:w="2320" w:type="dxa"/>
            <w:vAlign w:val="bottom"/>
            <w:gridSpan w:val="2"/>
            <w:shd w:val="clear" w:color="auto" w:fill="EBECEE"/>
          </w:tcPr>
          <w:p>
            <w:pPr>
              <w:ind w:left="120"/>
              <w:spacing w:after="0" w:line="168" w:lineRule="exact"/>
              <w:rPr>
                <w:sz w:val="20"/>
                <w:szCs w:val="20"/>
                <w:color w:val="auto"/>
              </w:rPr>
            </w:pPr>
            <w:r>
              <w:rPr>
                <w:rFonts w:ascii="Arial" w:cs="Arial" w:eastAsia="Arial" w:hAnsi="Arial"/>
                <w:sz w:val="16"/>
                <w:szCs w:val="16"/>
                <w:color w:val="auto"/>
              </w:rPr>
              <w:t>Fixed element of</w:t>
            </w:r>
          </w:p>
        </w:tc>
        <w:tc>
          <w:tcPr>
            <w:tcW w:w="2360" w:type="dxa"/>
            <w:vAlign w:val="bottom"/>
            <w:shd w:val="clear" w:color="auto" w:fill="EBECEE"/>
          </w:tcPr>
          <w:p>
            <w:pPr>
              <w:ind w:left="160"/>
              <w:spacing w:after="0" w:line="168" w:lineRule="exact"/>
              <w:rPr>
                <w:sz w:val="20"/>
                <w:szCs w:val="20"/>
                <w:color w:val="auto"/>
              </w:rPr>
            </w:pPr>
            <w:r>
              <w:rPr>
                <w:rFonts w:ascii="Arial" w:cs="Arial" w:eastAsia="Arial" w:hAnsi="Arial"/>
                <w:sz w:val="16"/>
                <w:szCs w:val="16"/>
                <w:color w:val="auto"/>
              </w:rPr>
              <w:t>Benchmarked against a</w:t>
            </w:r>
          </w:p>
        </w:tc>
        <w:tc>
          <w:tcPr>
            <w:tcW w:w="2480" w:type="dxa"/>
            <w:vAlign w:val="bottom"/>
            <w:shd w:val="clear" w:color="auto" w:fill="EBECEE"/>
          </w:tcPr>
          <w:p>
            <w:pPr>
              <w:ind w:left="140"/>
              <w:spacing w:after="0" w:line="168" w:lineRule="exact"/>
              <w:rPr>
                <w:sz w:val="20"/>
                <w:szCs w:val="20"/>
                <w:color w:val="auto"/>
              </w:rPr>
            </w:pPr>
            <w:r>
              <w:rPr>
                <w:rFonts w:ascii="Arial" w:cs="Arial" w:eastAsia="Arial" w:hAnsi="Arial"/>
                <w:sz w:val="16"/>
                <w:szCs w:val="16"/>
                <w:color w:val="auto"/>
              </w:rPr>
              <w:t>Effective January 1, 2021, base</w:t>
            </w:r>
          </w:p>
        </w:tc>
        <w:tc>
          <w:tcPr>
            <w:tcW w:w="0" w:type="dxa"/>
            <w:vAlign w:val="bottom"/>
          </w:tcPr>
          <w:p>
            <w:pPr>
              <w:spacing w:after="0"/>
              <w:rPr>
                <w:sz w:val="1"/>
                <w:szCs w:val="1"/>
                <w:color w:val="auto"/>
              </w:rPr>
            </w:pPr>
          </w:p>
        </w:tc>
      </w:tr>
      <w:tr>
        <w:trPr>
          <w:trHeight w:val="189"/>
        </w:trPr>
        <w:tc>
          <w:tcPr>
            <w:tcW w:w="1080" w:type="dxa"/>
            <w:vAlign w:val="bottom"/>
            <w:shd w:val="clear" w:color="auto" w:fill="EBECEE"/>
          </w:tcPr>
          <w:p>
            <w:pPr>
              <w:spacing w:after="0"/>
              <w:rPr>
                <w:sz w:val="16"/>
                <w:szCs w:val="16"/>
                <w:color w:val="auto"/>
              </w:rPr>
            </w:pPr>
          </w:p>
        </w:tc>
        <w:tc>
          <w:tcPr>
            <w:tcW w:w="2360" w:type="dxa"/>
            <w:vAlign w:val="bottom"/>
            <w:shd w:val="clear" w:color="auto" w:fill="EBECEE"/>
          </w:tcPr>
          <w:p>
            <w:pPr>
              <w:ind w:left="140"/>
              <w:spacing w:after="0"/>
              <w:rPr>
                <w:sz w:val="20"/>
                <w:szCs w:val="20"/>
                <w:color w:val="auto"/>
              </w:rPr>
            </w:pPr>
            <w:r>
              <w:rPr>
                <w:rFonts w:ascii="Arial" w:cs="Arial" w:eastAsia="Arial" w:hAnsi="Arial"/>
                <w:sz w:val="16"/>
                <w:szCs w:val="16"/>
                <w:color w:val="auto"/>
              </w:rPr>
              <w:t>based on their</w:t>
            </w:r>
          </w:p>
        </w:tc>
        <w:tc>
          <w:tcPr>
            <w:tcW w:w="2320" w:type="dxa"/>
            <w:vAlign w:val="bottom"/>
            <w:gridSpan w:val="2"/>
            <w:shd w:val="clear" w:color="auto" w:fill="EBECEE"/>
          </w:tcPr>
          <w:p>
            <w:pPr>
              <w:ind w:left="120"/>
              <w:spacing w:after="0"/>
              <w:rPr>
                <w:sz w:val="20"/>
                <w:szCs w:val="20"/>
                <w:color w:val="auto"/>
              </w:rPr>
            </w:pPr>
            <w:r>
              <w:rPr>
                <w:rFonts w:ascii="Arial" w:cs="Arial" w:eastAsia="Arial" w:hAnsi="Arial"/>
                <w:sz w:val="16"/>
                <w:szCs w:val="16"/>
                <w:color w:val="auto"/>
              </w:rPr>
              <w:t>compensation paid in cash.</w:t>
            </w:r>
          </w:p>
        </w:tc>
        <w:tc>
          <w:tcPr>
            <w:tcW w:w="2360" w:type="dxa"/>
            <w:vAlign w:val="bottom"/>
            <w:shd w:val="clear" w:color="auto" w:fill="EBECEE"/>
          </w:tcPr>
          <w:p>
            <w:pPr>
              <w:ind w:left="160"/>
              <w:spacing w:after="0"/>
              <w:rPr>
                <w:sz w:val="20"/>
                <w:szCs w:val="20"/>
                <w:color w:val="auto"/>
              </w:rPr>
            </w:pPr>
            <w:r>
              <w:rPr>
                <w:rFonts w:ascii="Arial" w:cs="Arial" w:eastAsia="Arial" w:hAnsi="Arial"/>
                <w:sz w:val="16"/>
                <w:szCs w:val="16"/>
                <w:color w:val="auto"/>
              </w:rPr>
              <w:t>group of comparably sized</w:t>
            </w:r>
          </w:p>
        </w:tc>
        <w:tc>
          <w:tcPr>
            <w:tcW w:w="2480" w:type="dxa"/>
            <w:vAlign w:val="bottom"/>
            <w:shd w:val="clear" w:color="auto" w:fill="EBECEE"/>
          </w:tcPr>
          <w:p>
            <w:pPr>
              <w:ind w:left="140"/>
              <w:spacing w:after="0"/>
              <w:rPr>
                <w:sz w:val="20"/>
                <w:szCs w:val="20"/>
                <w:color w:val="auto"/>
              </w:rPr>
            </w:pPr>
            <w:r>
              <w:rPr>
                <w:rFonts w:ascii="Arial" w:cs="Arial" w:eastAsia="Arial" w:hAnsi="Arial"/>
                <w:sz w:val="16"/>
                <w:szCs w:val="16"/>
                <w:color w:val="auto"/>
              </w:rPr>
              <w:t>salaries were reinstated to pre-</w:t>
            </w:r>
          </w:p>
        </w:tc>
        <w:tc>
          <w:tcPr>
            <w:tcW w:w="0" w:type="dxa"/>
            <w:vAlign w:val="bottom"/>
          </w:tcPr>
          <w:p>
            <w:pPr>
              <w:spacing w:after="0"/>
              <w:rPr>
                <w:sz w:val="1"/>
                <w:szCs w:val="1"/>
                <w:color w:val="auto"/>
              </w:rPr>
            </w:pPr>
          </w:p>
        </w:tc>
      </w:tr>
      <w:tr>
        <w:trPr>
          <w:trHeight w:val="189"/>
        </w:trPr>
        <w:tc>
          <w:tcPr>
            <w:tcW w:w="1080" w:type="dxa"/>
            <w:vAlign w:val="bottom"/>
            <w:shd w:val="clear" w:color="auto" w:fill="EBECEE"/>
          </w:tcPr>
          <w:p>
            <w:pPr>
              <w:spacing w:after="0"/>
              <w:rPr>
                <w:sz w:val="16"/>
                <w:szCs w:val="16"/>
                <w:color w:val="auto"/>
              </w:rPr>
            </w:pPr>
          </w:p>
        </w:tc>
        <w:tc>
          <w:tcPr>
            <w:tcW w:w="2360" w:type="dxa"/>
            <w:vAlign w:val="bottom"/>
            <w:shd w:val="clear" w:color="auto" w:fill="EBECEE"/>
          </w:tcPr>
          <w:p>
            <w:pPr>
              <w:ind w:left="140"/>
              <w:spacing w:after="0"/>
              <w:rPr>
                <w:sz w:val="20"/>
                <w:szCs w:val="20"/>
                <w:color w:val="auto"/>
              </w:rPr>
            </w:pPr>
            <w:r>
              <w:rPr>
                <w:rFonts w:ascii="Arial" w:cs="Arial" w:eastAsia="Arial" w:hAnsi="Arial"/>
                <w:sz w:val="16"/>
                <w:szCs w:val="16"/>
                <w:color w:val="auto"/>
              </w:rPr>
              <w:t>responsibilities, experience,</w:t>
            </w:r>
          </w:p>
        </w:tc>
        <w:tc>
          <w:tcPr>
            <w:tcW w:w="280" w:type="dxa"/>
            <w:vAlign w:val="bottom"/>
            <w:shd w:val="clear" w:color="auto" w:fill="EBECEE"/>
          </w:tcPr>
          <w:p>
            <w:pPr>
              <w:spacing w:after="0"/>
              <w:rPr>
                <w:sz w:val="16"/>
                <w:szCs w:val="16"/>
                <w:color w:val="auto"/>
              </w:rPr>
            </w:pPr>
          </w:p>
        </w:tc>
        <w:tc>
          <w:tcPr>
            <w:tcW w:w="2040" w:type="dxa"/>
            <w:vAlign w:val="bottom"/>
            <w:shd w:val="clear" w:color="auto" w:fill="EBECEE"/>
          </w:tcPr>
          <w:p>
            <w:pPr>
              <w:spacing w:after="0"/>
              <w:rPr>
                <w:sz w:val="16"/>
                <w:szCs w:val="16"/>
                <w:color w:val="auto"/>
              </w:rPr>
            </w:pPr>
          </w:p>
        </w:tc>
        <w:tc>
          <w:tcPr>
            <w:tcW w:w="2360" w:type="dxa"/>
            <w:vAlign w:val="bottom"/>
            <w:shd w:val="clear" w:color="auto" w:fill="EBECEE"/>
          </w:tcPr>
          <w:p>
            <w:pPr>
              <w:ind w:left="160"/>
              <w:spacing w:after="0"/>
              <w:rPr>
                <w:sz w:val="20"/>
                <w:szCs w:val="20"/>
                <w:color w:val="auto"/>
              </w:rPr>
            </w:pPr>
            <w:r>
              <w:rPr>
                <w:rFonts w:ascii="Arial" w:cs="Arial" w:eastAsia="Arial" w:hAnsi="Arial"/>
                <w:sz w:val="16"/>
                <w:szCs w:val="16"/>
                <w:color w:val="auto"/>
              </w:rPr>
              <w:t>corporations and industry</w:t>
            </w:r>
          </w:p>
        </w:tc>
        <w:tc>
          <w:tcPr>
            <w:tcW w:w="2480" w:type="dxa"/>
            <w:vAlign w:val="bottom"/>
            <w:shd w:val="clear" w:color="auto" w:fill="EBECEE"/>
          </w:tcPr>
          <w:p>
            <w:pPr>
              <w:ind w:left="140"/>
              <w:spacing w:after="0"/>
              <w:rPr>
                <w:sz w:val="20"/>
                <w:szCs w:val="20"/>
                <w:color w:val="auto"/>
              </w:rPr>
            </w:pPr>
            <w:r>
              <w:rPr>
                <w:rFonts w:ascii="Arial" w:cs="Arial" w:eastAsia="Arial" w:hAnsi="Arial"/>
                <w:sz w:val="16"/>
                <w:szCs w:val="16"/>
                <w:color w:val="auto"/>
              </w:rPr>
              <w:t>reduction January 1, 2020,</w:t>
            </w:r>
          </w:p>
        </w:tc>
        <w:tc>
          <w:tcPr>
            <w:tcW w:w="0" w:type="dxa"/>
            <w:vAlign w:val="bottom"/>
          </w:tcPr>
          <w:p>
            <w:pPr>
              <w:spacing w:after="0"/>
              <w:rPr>
                <w:sz w:val="1"/>
                <w:szCs w:val="1"/>
                <w:color w:val="auto"/>
              </w:rPr>
            </w:pPr>
          </w:p>
        </w:tc>
      </w:tr>
      <w:tr>
        <w:trPr>
          <w:trHeight w:val="203"/>
        </w:trPr>
        <w:tc>
          <w:tcPr>
            <w:tcW w:w="1080" w:type="dxa"/>
            <w:vAlign w:val="bottom"/>
            <w:tcBorders>
              <w:bottom w:val="single" w:sz="8" w:color="A7A9AC"/>
            </w:tcBorders>
            <w:shd w:val="clear" w:color="auto" w:fill="EBECEE"/>
          </w:tcPr>
          <w:p>
            <w:pPr>
              <w:spacing w:after="0"/>
              <w:rPr>
                <w:sz w:val="17"/>
                <w:szCs w:val="17"/>
                <w:color w:val="auto"/>
              </w:rPr>
            </w:pPr>
          </w:p>
        </w:tc>
        <w:tc>
          <w:tcPr>
            <w:tcW w:w="2360" w:type="dxa"/>
            <w:vAlign w:val="bottom"/>
            <w:tcBorders>
              <w:bottom w:val="single" w:sz="8" w:color="A7A9AC"/>
            </w:tcBorders>
            <w:shd w:val="clear" w:color="auto" w:fill="EBECEE"/>
          </w:tcPr>
          <w:p>
            <w:pPr>
              <w:ind w:left="140"/>
              <w:spacing w:after="0"/>
              <w:rPr>
                <w:sz w:val="20"/>
                <w:szCs w:val="20"/>
                <w:color w:val="auto"/>
              </w:rPr>
            </w:pPr>
            <w:r>
              <w:rPr>
                <w:rFonts w:ascii="Arial" w:cs="Arial" w:eastAsia="Arial" w:hAnsi="Arial"/>
                <w:sz w:val="16"/>
                <w:szCs w:val="16"/>
                <w:color w:val="auto"/>
              </w:rPr>
              <w:t>and skillset.</w:t>
            </w:r>
          </w:p>
        </w:tc>
        <w:tc>
          <w:tcPr>
            <w:tcW w:w="280" w:type="dxa"/>
            <w:vAlign w:val="bottom"/>
            <w:tcBorders>
              <w:bottom w:val="single" w:sz="8" w:color="A7A9AC"/>
            </w:tcBorders>
            <w:shd w:val="clear" w:color="auto" w:fill="EBECEE"/>
          </w:tcPr>
          <w:p>
            <w:pPr>
              <w:spacing w:after="0"/>
              <w:rPr>
                <w:sz w:val="17"/>
                <w:szCs w:val="17"/>
                <w:color w:val="auto"/>
              </w:rPr>
            </w:pPr>
          </w:p>
        </w:tc>
        <w:tc>
          <w:tcPr>
            <w:tcW w:w="2040" w:type="dxa"/>
            <w:vAlign w:val="bottom"/>
            <w:tcBorders>
              <w:bottom w:val="single" w:sz="8" w:color="A7A9AC"/>
            </w:tcBorders>
            <w:shd w:val="clear" w:color="auto" w:fill="EBECEE"/>
          </w:tcPr>
          <w:p>
            <w:pPr>
              <w:spacing w:after="0"/>
              <w:rPr>
                <w:sz w:val="17"/>
                <w:szCs w:val="17"/>
                <w:color w:val="auto"/>
              </w:rPr>
            </w:pPr>
          </w:p>
        </w:tc>
        <w:tc>
          <w:tcPr>
            <w:tcW w:w="2360" w:type="dxa"/>
            <w:vAlign w:val="bottom"/>
            <w:tcBorders>
              <w:bottom w:val="single" w:sz="8" w:color="A7A9AC"/>
            </w:tcBorders>
            <w:shd w:val="clear" w:color="auto" w:fill="EBECEE"/>
          </w:tcPr>
          <w:p>
            <w:pPr>
              <w:ind w:left="160"/>
              <w:spacing w:after="0"/>
              <w:rPr>
                <w:sz w:val="20"/>
                <w:szCs w:val="20"/>
                <w:color w:val="auto"/>
              </w:rPr>
            </w:pPr>
            <w:r>
              <w:rPr>
                <w:rFonts w:ascii="Arial" w:cs="Arial" w:eastAsia="Arial" w:hAnsi="Arial"/>
                <w:sz w:val="16"/>
                <w:szCs w:val="16"/>
                <w:color w:val="auto"/>
              </w:rPr>
              <w:t>peers.</w:t>
            </w:r>
          </w:p>
        </w:tc>
        <w:tc>
          <w:tcPr>
            <w:tcW w:w="2480" w:type="dxa"/>
            <w:vAlign w:val="bottom"/>
            <w:tcBorders>
              <w:bottom w:val="single" w:sz="8" w:color="A7A9AC"/>
            </w:tcBorders>
            <w:shd w:val="clear" w:color="auto" w:fill="EBECEE"/>
          </w:tcPr>
          <w:p>
            <w:pPr>
              <w:ind w:left="140"/>
              <w:spacing w:after="0"/>
              <w:rPr>
                <w:sz w:val="20"/>
                <w:szCs w:val="20"/>
                <w:color w:val="auto"/>
              </w:rPr>
            </w:pPr>
            <w:r>
              <w:rPr>
                <w:rFonts w:ascii="Arial" w:cs="Arial" w:eastAsia="Arial" w:hAnsi="Arial"/>
                <w:sz w:val="16"/>
                <w:szCs w:val="16"/>
                <w:color w:val="auto"/>
              </w:rPr>
              <w:t>levels.</w:t>
            </w:r>
          </w:p>
        </w:tc>
        <w:tc>
          <w:tcPr>
            <w:tcW w:w="0" w:type="dxa"/>
            <w:vAlign w:val="bottom"/>
          </w:tcPr>
          <w:p>
            <w:pPr>
              <w:spacing w:after="0"/>
              <w:rPr>
                <w:sz w:val="1"/>
                <w:szCs w:val="1"/>
                <w:color w:val="auto"/>
              </w:rPr>
            </w:pPr>
          </w:p>
        </w:tc>
      </w:tr>
      <w:tr>
        <w:trPr>
          <w:trHeight w:val="168"/>
        </w:trPr>
        <w:tc>
          <w:tcPr>
            <w:tcW w:w="1080" w:type="dxa"/>
            <w:vAlign w:val="bottom"/>
            <w:shd w:val="clear" w:color="auto" w:fill="F9F0F0"/>
          </w:tcPr>
          <w:p>
            <w:pPr>
              <w:ind w:left="40"/>
              <w:spacing w:after="0" w:line="168" w:lineRule="exact"/>
              <w:rPr>
                <w:sz w:val="20"/>
                <w:szCs w:val="20"/>
                <w:color w:val="auto"/>
              </w:rPr>
            </w:pPr>
            <w:r>
              <w:rPr>
                <w:rFonts w:ascii="Arial" w:cs="Arial" w:eastAsia="Arial" w:hAnsi="Arial"/>
                <w:sz w:val="16"/>
                <w:szCs w:val="16"/>
                <w:b w:val="1"/>
                <w:bCs w:val="1"/>
                <w:color w:val="CB233C"/>
              </w:rPr>
              <w:t>Short-Term</w:t>
            </w:r>
          </w:p>
        </w:tc>
        <w:tc>
          <w:tcPr>
            <w:tcW w:w="2360" w:type="dxa"/>
            <w:vAlign w:val="bottom"/>
            <w:shd w:val="clear" w:color="auto" w:fill="F9F0F0"/>
          </w:tcPr>
          <w:p>
            <w:pPr>
              <w:ind w:left="140"/>
              <w:spacing w:after="0" w:line="168" w:lineRule="exact"/>
              <w:rPr>
                <w:sz w:val="20"/>
                <w:szCs w:val="20"/>
                <w:color w:val="auto"/>
              </w:rPr>
            </w:pPr>
            <w:r>
              <w:rPr>
                <w:rFonts w:ascii="Arial" w:cs="Arial" w:eastAsia="Arial" w:hAnsi="Arial"/>
                <w:sz w:val="16"/>
                <w:szCs w:val="16"/>
                <w:color w:val="auto"/>
              </w:rPr>
              <w:t>To motivate and incentivize</w:t>
            </w:r>
          </w:p>
        </w:tc>
        <w:tc>
          <w:tcPr>
            <w:tcW w:w="2320" w:type="dxa"/>
            <w:vAlign w:val="bottom"/>
            <w:gridSpan w:val="2"/>
            <w:shd w:val="clear" w:color="auto" w:fill="F9F0F0"/>
          </w:tcPr>
          <w:p>
            <w:pPr>
              <w:ind w:left="120"/>
              <w:spacing w:after="0" w:line="168" w:lineRule="exact"/>
              <w:rPr>
                <w:sz w:val="20"/>
                <w:szCs w:val="20"/>
                <w:color w:val="auto"/>
              </w:rPr>
            </w:pPr>
            <w:r>
              <w:rPr>
                <w:rFonts w:ascii="Arial" w:cs="Arial" w:eastAsia="Arial" w:hAnsi="Arial"/>
                <w:sz w:val="16"/>
                <w:szCs w:val="16"/>
                <w:color w:val="auto"/>
              </w:rPr>
              <w:t>Award value and measures</w:t>
            </w:r>
          </w:p>
        </w:tc>
        <w:tc>
          <w:tcPr>
            <w:tcW w:w="2360" w:type="dxa"/>
            <w:vAlign w:val="bottom"/>
            <w:shd w:val="clear" w:color="auto" w:fill="F9F0F0"/>
          </w:tcPr>
          <w:p>
            <w:pPr>
              <w:ind w:left="160"/>
              <w:spacing w:after="0" w:line="168" w:lineRule="exact"/>
              <w:rPr>
                <w:sz w:val="20"/>
                <w:szCs w:val="20"/>
                <w:color w:val="auto"/>
              </w:rPr>
            </w:pPr>
            <w:r>
              <w:rPr>
                <w:rFonts w:ascii="Arial" w:cs="Arial" w:eastAsia="Arial" w:hAnsi="Arial"/>
                <w:sz w:val="16"/>
                <w:szCs w:val="16"/>
                <w:color w:val="auto"/>
              </w:rPr>
              <w:t>Performance measured</w:t>
            </w:r>
          </w:p>
        </w:tc>
        <w:tc>
          <w:tcPr>
            <w:tcW w:w="2480" w:type="dxa"/>
            <w:vAlign w:val="bottom"/>
            <w:shd w:val="clear" w:color="auto" w:fill="F9F0F0"/>
          </w:tcPr>
          <w:p>
            <w:pPr>
              <w:ind w:left="140"/>
              <w:spacing w:after="0" w:line="168" w:lineRule="exact"/>
              <w:rPr>
                <w:sz w:val="20"/>
                <w:szCs w:val="20"/>
                <w:color w:val="auto"/>
              </w:rPr>
            </w:pPr>
            <w:r>
              <w:rPr>
                <w:rFonts w:ascii="Arial" w:cs="Arial" w:eastAsia="Arial" w:hAnsi="Arial"/>
                <w:sz w:val="16"/>
                <w:szCs w:val="16"/>
                <w:color w:val="auto"/>
              </w:rPr>
              <w:t>Award values were targeted at</w:t>
            </w:r>
          </w:p>
        </w:tc>
        <w:tc>
          <w:tcPr>
            <w:tcW w:w="0" w:type="dxa"/>
            <w:vAlign w:val="bottom"/>
          </w:tcPr>
          <w:p>
            <w:pPr>
              <w:spacing w:after="0"/>
              <w:rPr>
                <w:sz w:val="1"/>
                <w:szCs w:val="1"/>
                <w:color w:val="auto"/>
              </w:rPr>
            </w:pPr>
          </w:p>
        </w:tc>
      </w:tr>
      <w:tr>
        <w:trPr>
          <w:trHeight w:val="189"/>
        </w:trPr>
        <w:tc>
          <w:tcPr>
            <w:tcW w:w="1080" w:type="dxa"/>
            <w:vAlign w:val="bottom"/>
            <w:shd w:val="clear" w:color="auto" w:fill="F9F0F0"/>
          </w:tcPr>
          <w:p>
            <w:pPr>
              <w:ind w:left="40"/>
              <w:spacing w:after="0"/>
              <w:rPr>
                <w:sz w:val="20"/>
                <w:szCs w:val="20"/>
                <w:color w:val="auto"/>
              </w:rPr>
            </w:pPr>
            <w:r>
              <w:rPr>
                <w:rFonts w:ascii="Arial" w:cs="Arial" w:eastAsia="Arial" w:hAnsi="Arial"/>
                <w:sz w:val="16"/>
                <w:szCs w:val="16"/>
                <w:b w:val="1"/>
                <w:bCs w:val="1"/>
                <w:color w:val="CB233C"/>
              </w:rPr>
              <w:t>(Annual)</w:t>
            </w:r>
          </w:p>
        </w:tc>
        <w:tc>
          <w:tcPr>
            <w:tcW w:w="2360" w:type="dxa"/>
            <w:vAlign w:val="bottom"/>
            <w:shd w:val="clear" w:color="auto" w:fill="F9F0F0"/>
          </w:tcPr>
          <w:p>
            <w:pPr>
              <w:ind w:left="140"/>
              <w:spacing w:after="0"/>
              <w:rPr>
                <w:sz w:val="20"/>
                <w:szCs w:val="20"/>
                <w:color w:val="auto"/>
              </w:rPr>
            </w:pPr>
            <w:r>
              <w:rPr>
                <w:rFonts w:ascii="Arial" w:cs="Arial" w:eastAsia="Arial" w:hAnsi="Arial"/>
                <w:sz w:val="16"/>
                <w:szCs w:val="16"/>
                <w:color w:val="auto"/>
              </w:rPr>
              <w:t>performance over a one-year</w:t>
            </w:r>
          </w:p>
        </w:tc>
        <w:tc>
          <w:tcPr>
            <w:tcW w:w="2320" w:type="dxa"/>
            <w:vAlign w:val="bottom"/>
            <w:gridSpan w:val="2"/>
            <w:shd w:val="clear" w:color="auto" w:fill="F9F0F0"/>
          </w:tcPr>
          <w:p>
            <w:pPr>
              <w:ind w:left="120"/>
              <w:spacing w:after="0"/>
              <w:rPr>
                <w:sz w:val="20"/>
                <w:szCs w:val="20"/>
                <w:color w:val="auto"/>
              </w:rPr>
            </w:pPr>
            <w:r>
              <w:rPr>
                <w:rFonts w:ascii="Arial" w:cs="Arial" w:eastAsia="Arial" w:hAnsi="Arial"/>
                <w:sz w:val="16"/>
                <w:szCs w:val="16"/>
                <w:color w:val="auto"/>
              </w:rPr>
              <w:t>are reviewed annually.</w:t>
            </w:r>
          </w:p>
        </w:tc>
        <w:tc>
          <w:tcPr>
            <w:tcW w:w="2360" w:type="dxa"/>
            <w:vAlign w:val="bottom"/>
            <w:shd w:val="clear" w:color="auto" w:fill="F9F0F0"/>
          </w:tcPr>
          <w:p>
            <w:pPr>
              <w:ind w:left="160"/>
              <w:spacing w:after="0"/>
              <w:rPr>
                <w:sz w:val="20"/>
                <w:szCs w:val="20"/>
                <w:color w:val="auto"/>
              </w:rPr>
            </w:pPr>
            <w:r>
              <w:rPr>
                <w:rFonts w:ascii="Arial" w:cs="Arial" w:eastAsia="Arial" w:hAnsi="Arial"/>
                <w:sz w:val="16"/>
                <w:szCs w:val="16"/>
                <w:color w:val="auto"/>
              </w:rPr>
              <w:t>against:</w:t>
            </w:r>
          </w:p>
        </w:tc>
        <w:tc>
          <w:tcPr>
            <w:tcW w:w="2480" w:type="dxa"/>
            <w:vAlign w:val="bottom"/>
            <w:shd w:val="clear" w:color="auto" w:fill="F9F0F0"/>
          </w:tcPr>
          <w:p>
            <w:pPr>
              <w:ind w:left="140"/>
              <w:spacing w:after="0"/>
              <w:rPr>
                <w:sz w:val="20"/>
                <w:szCs w:val="20"/>
                <w:color w:val="auto"/>
              </w:rPr>
            </w:pPr>
            <w:r>
              <w:rPr>
                <w:rFonts w:ascii="Arial" w:cs="Arial" w:eastAsia="Arial" w:hAnsi="Arial"/>
                <w:sz w:val="16"/>
                <w:szCs w:val="16"/>
                <w:color w:val="auto"/>
              </w:rPr>
              <w:t>the market median for 2021.</w:t>
            </w:r>
          </w:p>
        </w:tc>
        <w:tc>
          <w:tcPr>
            <w:tcW w:w="0" w:type="dxa"/>
            <w:vAlign w:val="bottom"/>
          </w:tcPr>
          <w:p>
            <w:pPr>
              <w:spacing w:after="0"/>
              <w:rPr>
                <w:sz w:val="1"/>
                <w:szCs w:val="1"/>
                <w:color w:val="auto"/>
              </w:rPr>
            </w:pPr>
          </w:p>
        </w:tc>
      </w:tr>
      <w:tr>
        <w:trPr>
          <w:trHeight w:val="189"/>
        </w:trPr>
        <w:tc>
          <w:tcPr>
            <w:tcW w:w="1080" w:type="dxa"/>
            <w:vAlign w:val="bottom"/>
            <w:shd w:val="clear" w:color="auto" w:fill="F9F0F0"/>
          </w:tcPr>
          <w:p>
            <w:pPr>
              <w:ind w:left="40"/>
              <w:spacing w:after="0"/>
              <w:rPr>
                <w:sz w:val="20"/>
                <w:szCs w:val="20"/>
                <w:color w:val="auto"/>
              </w:rPr>
            </w:pPr>
            <w:r>
              <w:rPr>
                <w:rFonts w:ascii="Arial" w:cs="Arial" w:eastAsia="Arial" w:hAnsi="Arial"/>
                <w:sz w:val="16"/>
                <w:szCs w:val="16"/>
                <w:b w:val="1"/>
                <w:bCs w:val="1"/>
                <w:color w:val="CB233C"/>
              </w:rPr>
              <w:t>Incentive</w:t>
            </w:r>
          </w:p>
        </w:tc>
        <w:tc>
          <w:tcPr>
            <w:tcW w:w="2360" w:type="dxa"/>
            <w:vAlign w:val="bottom"/>
            <w:shd w:val="clear" w:color="auto" w:fill="F9F0F0"/>
          </w:tcPr>
          <w:p>
            <w:pPr>
              <w:ind w:left="140"/>
              <w:spacing w:after="0"/>
              <w:rPr>
                <w:sz w:val="20"/>
                <w:szCs w:val="20"/>
                <w:color w:val="auto"/>
              </w:rPr>
            </w:pPr>
            <w:r>
              <w:rPr>
                <w:rFonts w:ascii="Arial" w:cs="Arial" w:eastAsia="Arial" w:hAnsi="Arial"/>
                <w:sz w:val="16"/>
                <w:szCs w:val="16"/>
                <w:color w:val="auto"/>
              </w:rPr>
              <w:t>period.</w:t>
            </w:r>
          </w:p>
        </w:tc>
        <w:tc>
          <w:tcPr>
            <w:tcW w:w="2320" w:type="dxa"/>
            <w:vAlign w:val="bottom"/>
            <w:gridSpan w:val="2"/>
            <w:shd w:val="clear" w:color="auto" w:fill="F9F0F0"/>
          </w:tcPr>
          <w:p>
            <w:pPr>
              <w:ind w:left="120"/>
              <w:spacing w:after="0"/>
              <w:rPr>
                <w:sz w:val="20"/>
                <w:szCs w:val="20"/>
                <w:color w:val="auto"/>
              </w:rPr>
            </w:pPr>
            <w:r>
              <w:rPr>
                <w:rFonts w:ascii="Arial" w:cs="Arial" w:eastAsia="Arial" w:hAnsi="Arial"/>
                <w:sz w:val="16"/>
                <w:szCs w:val="16"/>
                <w:color w:val="auto"/>
              </w:rPr>
              <w:t>Targets are set at the</w:t>
            </w:r>
          </w:p>
        </w:tc>
        <w:tc>
          <w:tcPr>
            <w:tcW w:w="2360" w:type="dxa"/>
            <w:vAlign w:val="bottom"/>
            <w:shd w:val="clear" w:color="auto" w:fill="F9F0F0"/>
          </w:tcPr>
          <w:p>
            <w:pPr>
              <w:spacing w:after="0"/>
              <w:rPr>
                <w:sz w:val="16"/>
                <w:szCs w:val="16"/>
                <w:color w:val="auto"/>
              </w:rPr>
            </w:pPr>
          </w:p>
        </w:tc>
        <w:tc>
          <w:tcPr>
            <w:tcW w:w="2480" w:type="dxa"/>
            <w:vAlign w:val="bottom"/>
            <w:shd w:val="clear" w:color="auto" w:fill="F9F0F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F9F0F0"/>
          </w:tcPr>
          <w:p>
            <w:pPr>
              <w:spacing w:after="0"/>
              <w:rPr>
                <w:sz w:val="16"/>
                <w:szCs w:val="16"/>
                <w:color w:val="auto"/>
              </w:rPr>
            </w:pPr>
          </w:p>
        </w:tc>
        <w:tc>
          <w:tcPr>
            <w:tcW w:w="2360" w:type="dxa"/>
            <w:vAlign w:val="bottom"/>
            <w:shd w:val="clear" w:color="auto" w:fill="F9F0F0"/>
          </w:tcPr>
          <w:p>
            <w:pPr>
              <w:spacing w:after="0"/>
              <w:rPr>
                <w:sz w:val="16"/>
                <w:szCs w:val="16"/>
                <w:color w:val="auto"/>
              </w:rPr>
            </w:pPr>
          </w:p>
        </w:tc>
        <w:tc>
          <w:tcPr>
            <w:tcW w:w="2320" w:type="dxa"/>
            <w:vAlign w:val="bottom"/>
            <w:gridSpan w:val="2"/>
            <w:shd w:val="clear" w:color="auto" w:fill="F9F0F0"/>
          </w:tcPr>
          <w:p>
            <w:pPr>
              <w:ind w:left="120"/>
              <w:spacing w:after="0"/>
              <w:rPr>
                <w:sz w:val="20"/>
                <w:szCs w:val="20"/>
                <w:color w:val="auto"/>
              </w:rPr>
            </w:pPr>
            <w:r>
              <w:rPr>
                <w:rFonts w:ascii="Arial" w:cs="Arial" w:eastAsia="Arial" w:hAnsi="Arial"/>
                <w:sz w:val="16"/>
                <w:szCs w:val="16"/>
                <w:color w:val="auto"/>
              </w:rPr>
              <w:t>beginning of the period.</w:t>
            </w:r>
          </w:p>
        </w:tc>
        <w:tc>
          <w:tcPr>
            <w:tcW w:w="2360" w:type="dxa"/>
            <w:vAlign w:val="bottom"/>
            <w:shd w:val="clear" w:color="auto" w:fill="F9F0F0"/>
          </w:tcPr>
          <w:p>
            <w:pPr>
              <w:ind w:left="200"/>
              <w:spacing w:after="0"/>
              <w:rPr>
                <w:sz w:val="20"/>
                <w:szCs w:val="20"/>
                <w:color w:val="auto"/>
              </w:rPr>
            </w:pPr>
            <w:r>
              <w:rPr>
                <w:rFonts w:ascii="Arial" w:cs="Arial" w:eastAsia="Arial" w:hAnsi="Arial"/>
                <w:sz w:val="16"/>
                <w:szCs w:val="16"/>
                <w:color w:val="CB233C"/>
              </w:rPr>
              <w:t xml:space="preserve">• </w:t>
            </w:r>
            <w:r>
              <w:rPr>
                <w:rFonts w:ascii="Arial" w:cs="Arial" w:eastAsia="Arial" w:hAnsi="Arial"/>
                <w:sz w:val="16"/>
                <w:szCs w:val="16"/>
                <w:color w:val="000000"/>
              </w:rPr>
              <w:t>75% NOPAT</w:t>
            </w:r>
          </w:p>
        </w:tc>
        <w:tc>
          <w:tcPr>
            <w:tcW w:w="2480" w:type="dxa"/>
            <w:vAlign w:val="bottom"/>
            <w:shd w:val="clear" w:color="auto" w:fill="F9F0F0"/>
          </w:tcPr>
          <w:p>
            <w:pPr>
              <w:ind w:left="140"/>
              <w:spacing w:after="0"/>
              <w:rPr>
                <w:sz w:val="20"/>
                <w:szCs w:val="20"/>
                <w:color w:val="auto"/>
              </w:rPr>
            </w:pPr>
            <w:r>
              <w:rPr>
                <w:rFonts w:ascii="Arial" w:cs="Arial" w:eastAsia="Arial" w:hAnsi="Arial"/>
                <w:sz w:val="16"/>
                <w:szCs w:val="16"/>
                <w:color w:val="auto"/>
              </w:rPr>
              <w:t>Additionally, split year</w:t>
            </w:r>
          </w:p>
        </w:tc>
        <w:tc>
          <w:tcPr>
            <w:tcW w:w="0" w:type="dxa"/>
            <w:vAlign w:val="bottom"/>
          </w:tcPr>
          <w:p>
            <w:pPr>
              <w:spacing w:after="0"/>
              <w:rPr>
                <w:sz w:val="1"/>
                <w:szCs w:val="1"/>
                <w:color w:val="auto"/>
              </w:rPr>
            </w:pPr>
          </w:p>
        </w:tc>
      </w:tr>
      <w:tr>
        <w:trPr>
          <w:trHeight w:val="189"/>
        </w:trPr>
        <w:tc>
          <w:tcPr>
            <w:tcW w:w="1080" w:type="dxa"/>
            <w:vAlign w:val="bottom"/>
            <w:shd w:val="clear" w:color="auto" w:fill="F9F0F0"/>
          </w:tcPr>
          <w:p>
            <w:pPr>
              <w:spacing w:after="0"/>
              <w:rPr>
                <w:sz w:val="16"/>
                <w:szCs w:val="16"/>
                <w:color w:val="auto"/>
              </w:rPr>
            </w:pPr>
          </w:p>
        </w:tc>
        <w:tc>
          <w:tcPr>
            <w:tcW w:w="2360" w:type="dxa"/>
            <w:vAlign w:val="bottom"/>
            <w:shd w:val="clear" w:color="auto" w:fill="F9F0F0"/>
          </w:tcPr>
          <w:p>
            <w:pPr>
              <w:spacing w:after="0"/>
              <w:rPr>
                <w:sz w:val="16"/>
                <w:szCs w:val="16"/>
                <w:color w:val="auto"/>
              </w:rPr>
            </w:pPr>
          </w:p>
        </w:tc>
        <w:tc>
          <w:tcPr>
            <w:tcW w:w="280" w:type="dxa"/>
            <w:vAlign w:val="bottom"/>
            <w:shd w:val="clear" w:color="auto" w:fill="F9F0F0"/>
          </w:tcPr>
          <w:p>
            <w:pPr>
              <w:spacing w:after="0"/>
              <w:rPr>
                <w:sz w:val="16"/>
                <w:szCs w:val="16"/>
                <w:color w:val="auto"/>
              </w:rPr>
            </w:pPr>
          </w:p>
        </w:tc>
        <w:tc>
          <w:tcPr>
            <w:tcW w:w="2040" w:type="dxa"/>
            <w:vAlign w:val="bottom"/>
            <w:shd w:val="clear" w:color="auto" w:fill="F9F0F0"/>
          </w:tcPr>
          <w:p>
            <w:pPr>
              <w:spacing w:after="0"/>
              <w:rPr>
                <w:sz w:val="16"/>
                <w:szCs w:val="16"/>
                <w:color w:val="auto"/>
              </w:rPr>
            </w:pPr>
          </w:p>
        </w:tc>
        <w:tc>
          <w:tcPr>
            <w:tcW w:w="2360" w:type="dxa"/>
            <w:vAlign w:val="bottom"/>
            <w:vMerge w:val="restart"/>
            <w:shd w:val="clear" w:color="auto" w:fill="F9F0F0"/>
          </w:tcPr>
          <w:p>
            <w:pPr>
              <w:ind w:left="200"/>
              <w:spacing w:after="0"/>
              <w:rPr>
                <w:sz w:val="20"/>
                <w:szCs w:val="20"/>
                <w:color w:val="auto"/>
              </w:rPr>
            </w:pPr>
            <w:r>
              <w:rPr>
                <w:rFonts w:ascii="Arial" w:cs="Arial" w:eastAsia="Arial" w:hAnsi="Arial"/>
                <w:sz w:val="16"/>
                <w:szCs w:val="16"/>
                <w:color w:val="CB233C"/>
              </w:rPr>
              <w:t xml:space="preserve">• </w:t>
            </w:r>
            <w:r>
              <w:rPr>
                <w:rFonts w:ascii="Arial" w:cs="Arial" w:eastAsia="Arial" w:hAnsi="Arial"/>
                <w:sz w:val="16"/>
                <w:szCs w:val="16"/>
                <w:color w:val="000000"/>
              </w:rPr>
              <w:t>25% Asset Turns</w:t>
            </w:r>
          </w:p>
        </w:tc>
        <w:tc>
          <w:tcPr>
            <w:tcW w:w="2480" w:type="dxa"/>
            <w:vAlign w:val="bottom"/>
            <w:shd w:val="clear" w:color="auto" w:fill="F9F0F0"/>
          </w:tcPr>
          <w:p>
            <w:pPr>
              <w:ind w:left="140"/>
              <w:spacing w:after="0"/>
              <w:rPr>
                <w:sz w:val="20"/>
                <w:szCs w:val="20"/>
                <w:color w:val="auto"/>
              </w:rPr>
            </w:pPr>
            <w:r>
              <w:rPr>
                <w:rFonts w:ascii="Arial" w:cs="Arial" w:eastAsia="Arial" w:hAnsi="Arial"/>
                <w:sz w:val="16"/>
                <w:szCs w:val="16"/>
                <w:color w:val="auto"/>
              </w:rPr>
              <w:t>performance goals consisting</w:t>
            </w:r>
          </w:p>
        </w:tc>
        <w:tc>
          <w:tcPr>
            <w:tcW w:w="0" w:type="dxa"/>
            <w:vAlign w:val="bottom"/>
          </w:tcPr>
          <w:p>
            <w:pPr>
              <w:spacing w:after="0"/>
              <w:rPr>
                <w:sz w:val="1"/>
                <w:szCs w:val="1"/>
                <w:color w:val="auto"/>
              </w:rPr>
            </w:pPr>
          </w:p>
        </w:tc>
      </w:tr>
      <w:tr>
        <w:trPr>
          <w:trHeight w:val="120"/>
        </w:trPr>
        <w:tc>
          <w:tcPr>
            <w:tcW w:w="1080" w:type="dxa"/>
            <w:vAlign w:val="bottom"/>
            <w:shd w:val="clear" w:color="auto" w:fill="F9F0F0"/>
          </w:tcPr>
          <w:p>
            <w:pPr>
              <w:spacing w:after="0"/>
              <w:rPr>
                <w:sz w:val="10"/>
                <w:szCs w:val="10"/>
                <w:color w:val="auto"/>
              </w:rPr>
            </w:pPr>
          </w:p>
        </w:tc>
        <w:tc>
          <w:tcPr>
            <w:tcW w:w="2360" w:type="dxa"/>
            <w:vAlign w:val="bottom"/>
            <w:shd w:val="clear" w:color="auto" w:fill="F9F0F0"/>
          </w:tcPr>
          <w:p>
            <w:pPr>
              <w:spacing w:after="0"/>
              <w:rPr>
                <w:sz w:val="10"/>
                <w:szCs w:val="10"/>
                <w:color w:val="auto"/>
              </w:rPr>
            </w:pPr>
          </w:p>
        </w:tc>
        <w:tc>
          <w:tcPr>
            <w:tcW w:w="280" w:type="dxa"/>
            <w:vAlign w:val="bottom"/>
            <w:shd w:val="clear" w:color="auto" w:fill="F9F0F0"/>
          </w:tcPr>
          <w:p>
            <w:pPr>
              <w:spacing w:after="0"/>
              <w:rPr>
                <w:sz w:val="10"/>
                <w:szCs w:val="10"/>
                <w:color w:val="auto"/>
              </w:rPr>
            </w:pPr>
          </w:p>
        </w:tc>
        <w:tc>
          <w:tcPr>
            <w:tcW w:w="2040" w:type="dxa"/>
            <w:vAlign w:val="bottom"/>
            <w:shd w:val="clear" w:color="auto" w:fill="F9F0F0"/>
          </w:tcPr>
          <w:p>
            <w:pPr>
              <w:spacing w:after="0"/>
              <w:rPr>
                <w:sz w:val="10"/>
                <w:szCs w:val="10"/>
                <w:color w:val="auto"/>
              </w:rPr>
            </w:pPr>
          </w:p>
        </w:tc>
        <w:tc>
          <w:tcPr>
            <w:tcW w:w="2360" w:type="dxa"/>
            <w:vAlign w:val="bottom"/>
            <w:vMerge w:val="continue"/>
            <w:shd w:val="clear" w:color="auto" w:fill="F9F0F0"/>
          </w:tcPr>
          <w:p>
            <w:pPr>
              <w:spacing w:after="0"/>
              <w:rPr>
                <w:sz w:val="10"/>
                <w:szCs w:val="10"/>
                <w:color w:val="auto"/>
              </w:rPr>
            </w:pPr>
          </w:p>
        </w:tc>
        <w:tc>
          <w:tcPr>
            <w:tcW w:w="2480" w:type="dxa"/>
            <w:vAlign w:val="bottom"/>
            <w:vMerge w:val="restart"/>
            <w:shd w:val="clear" w:color="auto" w:fill="F9F0F0"/>
          </w:tcPr>
          <w:p>
            <w:pPr>
              <w:ind w:left="140"/>
              <w:spacing w:after="0"/>
              <w:rPr>
                <w:sz w:val="20"/>
                <w:szCs w:val="20"/>
                <w:color w:val="auto"/>
              </w:rPr>
            </w:pPr>
            <w:r>
              <w:rPr>
                <w:rFonts w:ascii="Arial" w:cs="Arial" w:eastAsia="Arial" w:hAnsi="Arial"/>
                <w:sz w:val="16"/>
                <w:szCs w:val="16"/>
                <w:color w:val="auto"/>
              </w:rPr>
              <w:t>of two six-month performance</w:t>
            </w:r>
          </w:p>
        </w:tc>
        <w:tc>
          <w:tcPr>
            <w:tcW w:w="0" w:type="dxa"/>
            <w:vAlign w:val="bottom"/>
          </w:tcPr>
          <w:p>
            <w:pPr>
              <w:spacing w:after="0"/>
              <w:rPr>
                <w:sz w:val="1"/>
                <w:szCs w:val="1"/>
                <w:color w:val="auto"/>
              </w:rPr>
            </w:pPr>
          </w:p>
        </w:tc>
      </w:tr>
      <w:tr>
        <w:trPr>
          <w:trHeight w:val="69"/>
        </w:trPr>
        <w:tc>
          <w:tcPr>
            <w:tcW w:w="1080" w:type="dxa"/>
            <w:vAlign w:val="bottom"/>
            <w:shd w:val="clear" w:color="auto" w:fill="F9F0F0"/>
          </w:tcPr>
          <w:p>
            <w:pPr>
              <w:spacing w:after="0"/>
              <w:rPr>
                <w:sz w:val="5"/>
                <w:szCs w:val="5"/>
                <w:color w:val="auto"/>
              </w:rPr>
            </w:pPr>
          </w:p>
        </w:tc>
        <w:tc>
          <w:tcPr>
            <w:tcW w:w="2360" w:type="dxa"/>
            <w:vAlign w:val="bottom"/>
            <w:shd w:val="clear" w:color="auto" w:fill="F9F0F0"/>
          </w:tcPr>
          <w:p>
            <w:pPr>
              <w:spacing w:after="0"/>
              <w:rPr>
                <w:sz w:val="5"/>
                <w:szCs w:val="5"/>
                <w:color w:val="auto"/>
              </w:rPr>
            </w:pPr>
          </w:p>
        </w:tc>
        <w:tc>
          <w:tcPr>
            <w:tcW w:w="280" w:type="dxa"/>
            <w:vAlign w:val="bottom"/>
            <w:shd w:val="clear" w:color="auto" w:fill="F9F0F0"/>
          </w:tcPr>
          <w:p>
            <w:pPr>
              <w:spacing w:after="0"/>
              <w:rPr>
                <w:sz w:val="5"/>
                <w:szCs w:val="5"/>
                <w:color w:val="auto"/>
              </w:rPr>
            </w:pPr>
          </w:p>
        </w:tc>
        <w:tc>
          <w:tcPr>
            <w:tcW w:w="2040" w:type="dxa"/>
            <w:vAlign w:val="bottom"/>
            <w:shd w:val="clear" w:color="auto" w:fill="F9F0F0"/>
          </w:tcPr>
          <w:p>
            <w:pPr>
              <w:spacing w:after="0"/>
              <w:rPr>
                <w:sz w:val="5"/>
                <w:szCs w:val="5"/>
                <w:color w:val="auto"/>
              </w:rPr>
            </w:pPr>
          </w:p>
        </w:tc>
        <w:tc>
          <w:tcPr>
            <w:tcW w:w="2360" w:type="dxa"/>
            <w:vAlign w:val="bottom"/>
            <w:shd w:val="clear" w:color="auto" w:fill="F9F0F0"/>
          </w:tcPr>
          <w:p>
            <w:pPr>
              <w:spacing w:after="0"/>
              <w:rPr>
                <w:sz w:val="5"/>
                <w:szCs w:val="5"/>
                <w:color w:val="auto"/>
              </w:rPr>
            </w:pPr>
          </w:p>
        </w:tc>
        <w:tc>
          <w:tcPr>
            <w:tcW w:w="2480" w:type="dxa"/>
            <w:vAlign w:val="bottom"/>
            <w:vMerge w:val="continue"/>
            <w:shd w:val="clear" w:color="auto" w:fill="F9F0F0"/>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F9F0F0"/>
          </w:tcPr>
          <w:p>
            <w:pPr>
              <w:spacing w:after="0"/>
              <w:rPr>
                <w:sz w:val="16"/>
                <w:szCs w:val="16"/>
                <w:color w:val="auto"/>
              </w:rPr>
            </w:pPr>
          </w:p>
        </w:tc>
        <w:tc>
          <w:tcPr>
            <w:tcW w:w="2360" w:type="dxa"/>
            <w:vAlign w:val="bottom"/>
            <w:shd w:val="clear" w:color="auto" w:fill="F9F0F0"/>
          </w:tcPr>
          <w:p>
            <w:pPr>
              <w:spacing w:after="0"/>
              <w:rPr>
                <w:sz w:val="16"/>
                <w:szCs w:val="16"/>
                <w:color w:val="auto"/>
              </w:rPr>
            </w:pPr>
          </w:p>
        </w:tc>
        <w:tc>
          <w:tcPr>
            <w:tcW w:w="280" w:type="dxa"/>
            <w:vAlign w:val="bottom"/>
            <w:shd w:val="clear" w:color="auto" w:fill="F9F0F0"/>
          </w:tcPr>
          <w:p>
            <w:pPr>
              <w:spacing w:after="0"/>
              <w:rPr>
                <w:sz w:val="16"/>
                <w:szCs w:val="16"/>
                <w:color w:val="auto"/>
              </w:rPr>
            </w:pPr>
          </w:p>
        </w:tc>
        <w:tc>
          <w:tcPr>
            <w:tcW w:w="2040" w:type="dxa"/>
            <w:vAlign w:val="bottom"/>
            <w:shd w:val="clear" w:color="auto" w:fill="F9F0F0"/>
          </w:tcPr>
          <w:p>
            <w:pPr>
              <w:spacing w:after="0"/>
              <w:rPr>
                <w:sz w:val="16"/>
                <w:szCs w:val="16"/>
                <w:color w:val="auto"/>
              </w:rPr>
            </w:pPr>
          </w:p>
        </w:tc>
        <w:tc>
          <w:tcPr>
            <w:tcW w:w="2360" w:type="dxa"/>
            <w:vAlign w:val="bottom"/>
            <w:shd w:val="clear" w:color="auto" w:fill="F9F0F0"/>
          </w:tcPr>
          <w:p>
            <w:pPr>
              <w:spacing w:after="0"/>
              <w:rPr>
                <w:sz w:val="16"/>
                <w:szCs w:val="16"/>
                <w:color w:val="auto"/>
              </w:rPr>
            </w:pPr>
          </w:p>
        </w:tc>
        <w:tc>
          <w:tcPr>
            <w:tcW w:w="2480" w:type="dxa"/>
            <w:vAlign w:val="bottom"/>
            <w:shd w:val="clear" w:color="auto" w:fill="F9F0F0"/>
          </w:tcPr>
          <w:p>
            <w:pPr>
              <w:ind w:left="140"/>
              <w:spacing w:after="0"/>
              <w:rPr>
                <w:sz w:val="20"/>
                <w:szCs w:val="20"/>
                <w:color w:val="auto"/>
              </w:rPr>
            </w:pPr>
            <w:r>
              <w:rPr>
                <w:rFonts w:ascii="Arial" w:cs="Arial" w:eastAsia="Arial" w:hAnsi="Arial"/>
                <w:sz w:val="16"/>
                <w:szCs w:val="16"/>
                <w:color w:val="auto"/>
              </w:rPr>
              <w:t>periods were established to</w:t>
            </w:r>
          </w:p>
        </w:tc>
        <w:tc>
          <w:tcPr>
            <w:tcW w:w="0" w:type="dxa"/>
            <w:vAlign w:val="bottom"/>
          </w:tcPr>
          <w:p>
            <w:pPr>
              <w:spacing w:after="0"/>
              <w:rPr>
                <w:sz w:val="1"/>
                <w:szCs w:val="1"/>
                <w:color w:val="auto"/>
              </w:rPr>
            </w:pPr>
          </w:p>
        </w:tc>
      </w:tr>
      <w:tr>
        <w:trPr>
          <w:trHeight w:val="189"/>
        </w:trPr>
        <w:tc>
          <w:tcPr>
            <w:tcW w:w="1080" w:type="dxa"/>
            <w:vAlign w:val="bottom"/>
            <w:shd w:val="clear" w:color="auto" w:fill="F9F0F0"/>
          </w:tcPr>
          <w:p>
            <w:pPr>
              <w:spacing w:after="0"/>
              <w:rPr>
                <w:sz w:val="16"/>
                <w:szCs w:val="16"/>
                <w:color w:val="auto"/>
              </w:rPr>
            </w:pPr>
          </w:p>
        </w:tc>
        <w:tc>
          <w:tcPr>
            <w:tcW w:w="2360" w:type="dxa"/>
            <w:vAlign w:val="bottom"/>
            <w:shd w:val="clear" w:color="auto" w:fill="F9F0F0"/>
          </w:tcPr>
          <w:p>
            <w:pPr>
              <w:spacing w:after="0"/>
              <w:rPr>
                <w:sz w:val="16"/>
                <w:szCs w:val="16"/>
                <w:color w:val="auto"/>
              </w:rPr>
            </w:pPr>
          </w:p>
        </w:tc>
        <w:tc>
          <w:tcPr>
            <w:tcW w:w="280" w:type="dxa"/>
            <w:vAlign w:val="bottom"/>
            <w:shd w:val="clear" w:color="auto" w:fill="F9F0F0"/>
          </w:tcPr>
          <w:p>
            <w:pPr>
              <w:spacing w:after="0"/>
              <w:rPr>
                <w:sz w:val="16"/>
                <w:szCs w:val="16"/>
                <w:color w:val="auto"/>
              </w:rPr>
            </w:pPr>
          </w:p>
        </w:tc>
        <w:tc>
          <w:tcPr>
            <w:tcW w:w="2040" w:type="dxa"/>
            <w:vAlign w:val="bottom"/>
            <w:shd w:val="clear" w:color="auto" w:fill="F9F0F0"/>
          </w:tcPr>
          <w:p>
            <w:pPr>
              <w:spacing w:after="0"/>
              <w:rPr>
                <w:sz w:val="16"/>
                <w:szCs w:val="16"/>
                <w:color w:val="auto"/>
              </w:rPr>
            </w:pPr>
          </w:p>
        </w:tc>
        <w:tc>
          <w:tcPr>
            <w:tcW w:w="2360" w:type="dxa"/>
            <w:vAlign w:val="bottom"/>
            <w:shd w:val="clear" w:color="auto" w:fill="F9F0F0"/>
          </w:tcPr>
          <w:p>
            <w:pPr>
              <w:spacing w:after="0"/>
              <w:rPr>
                <w:sz w:val="16"/>
                <w:szCs w:val="16"/>
                <w:color w:val="auto"/>
              </w:rPr>
            </w:pPr>
          </w:p>
        </w:tc>
        <w:tc>
          <w:tcPr>
            <w:tcW w:w="2480" w:type="dxa"/>
            <w:vAlign w:val="bottom"/>
            <w:shd w:val="clear" w:color="auto" w:fill="F9F0F0"/>
          </w:tcPr>
          <w:p>
            <w:pPr>
              <w:ind w:left="140"/>
              <w:spacing w:after="0"/>
              <w:rPr>
                <w:sz w:val="20"/>
                <w:szCs w:val="20"/>
                <w:color w:val="auto"/>
              </w:rPr>
            </w:pPr>
            <w:r>
              <w:rPr>
                <w:rFonts w:ascii="Arial" w:cs="Arial" w:eastAsia="Arial" w:hAnsi="Arial"/>
                <w:sz w:val="16"/>
                <w:szCs w:val="16"/>
                <w:color w:val="auto"/>
              </w:rPr>
              <w:t>address the challenge with</w:t>
            </w:r>
          </w:p>
        </w:tc>
        <w:tc>
          <w:tcPr>
            <w:tcW w:w="0" w:type="dxa"/>
            <w:vAlign w:val="bottom"/>
          </w:tcPr>
          <w:p>
            <w:pPr>
              <w:spacing w:after="0"/>
              <w:rPr>
                <w:sz w:val="1"/>
                <w:szCs w:val="1"/>
                <w:color w:val="auto"/>
              </w:rPr>
            </w:pPr>
          </w:p>
        </w:tc>
      </w:tr>
      <w:tr>
        <w:trPr>
          <w:trHeight w:val="189"/>
        </w:trPr>
        <w:tc>
          <w:tcPr>
            <w:tcW w:w="1080" w:type="dxa"/>
            <w:vAlign w:val="bottom"/>
            <w:shd w:val="clear" w:color="auto" w:fill="F9F0F0"/>
          </w:tcPr>
          <w:p>
            <w:pPr>
              <w:spacing w:after="0"/>
              <w:rPr>
                <w:sz w:val="16"/>
                <w:szCs w:val="16"/>
                <w:color w:val="auto"/>
              </w:rPr>
            </w:pPr>
          </w:p>
        </w:tc>
        <w:tc>
          <w:tcPr>
            <w:tcW w:w="2360" w:type="dxa"/>
            <w:vAlign w:val="bottom"/>
            <w:shd w:val="clear" w:color="auto" w:fill="F9F0F0"/>
          </w:tcPr>
          <w:p>
            <w:pPr>
              <w:spacing w:after="0"/>
              <w:rPr>
                <w:sz w:val="16"/>
                <w:szCs w:val="16"/>
                <w:color w:val="auto"/>
              </w:rPr>
            </w:pPr>
          </w:p>
        </w:tc>
        <w:tc>
          <w:tcPr>
            <w:tcW w:w="280" w:type="dxa"/>
            <w:vAlign w:val="bottom"/>
            <w:shd w:val="clear" w:color="auto" w:fill="F9F0F0"/>
          </w:tcPr>
          <w:p>
            <w:pPr>
              <w:spacing w:after="0"/>
              <w:rPr>
                <w:sz w:val="16"/>
                <w:szCs w:val="16"/>
                <w:color w:val="auto"/>
              </w:rPr>
            </w:pPr>
          </w:p>
        </w:tc>
        <w:tc>
          <w:tcPr>
            <w:tcW w:w="2040" w:type="dxa"/>
            <w:vAlign w:val="bottom"/>
            <w:shd w:val="clear" w:color="auto" w:fill="F9F0F0"/>
          </w:tcPr>
          <w:p>
            <w:pPr>
              <w:spacing w:after="0"/>
              <w:rPr>
                <w:sz w:val="16"/>
                <w:szCs w:val="16"/>
                <w:color w:val="auto"/>
              </w:rPr>
            </w:pPr>
          </w:p>
        </w:tc>
        <w:tc>
          <w:tcPr>
            <w:tcW w:w="2360" w:type="dxa"/>
            <w:vAlign w:val="bottom"/>
            <w:shd w:val="clear" w:color="auto" w:fill="F9F0F0"/>
          </w:tcPr>
          <w:p>
            <w:pPr>
              <w:spacing w:after="0"/>
              <w:rPr>
                <w:sz w:val="16"/>
                <w:szCs w:val="16"/>
                <w:color w:val="auto"/>
              </w:rPr>
            </w:pPr>
          </w:p>
        </w:tc>
        <w:tc>
          <w:tcPr>
            <w:tcW w:w="2480" w:type="dxa"/>
            <w:vAlign w:val="bottom"/>
            <w:shd w:val="clear" w:color="auto" w:fill="F9F0F0"/>
          </w:tcPr>
          <w:p>
            <w:pPr>
              <w:ind w:left="140"/>
              <w:spacing w:after="0"/>
              <w:rPr>
                <w:sz w:val="20"/>
                <w:szCs w:val="20"/>
                <w:color w:val="auto"/>
              </w:rPr>
            </w:pPr>
            <w:r>
              <w:rPr>
                <w:rFonts w:ascii="Arial" w:cs="Arial" w:eastAsia="Arial" w:hAnsi="Arial"/>
                <w:sz w:val="16"/>
                <w:szCs w:val="16"/>
                <w:color w:val="auto"/>
              </w:rPr>
              <w:t>setting full year performance</w:t>
            </w:r>
          </w:p>
        </w:tc>
        <w:tc>
          <w:tcPr>
            <w:tcW w:w="0" w:type="dxa"/>
            <w:vAlign w:val="bottom"/>
          </w:tcPr>
          <w:p>
            <w:pPr>
              <w:spacing w:after="0"/>
              <w:rPr>
                <w:sz w:val="1"/>
                <w:szCs w:val="1"/>
                <w:color w:val="auto"/>
              </w:rPr>
            </w:pPr>
          </w:p>
        </w:tc>
      </w:tr>
      <w:tr>
        <w:trPr>
          <w:trHeight w:val="189"/>
        </w:trPr>
        <w:tc>
          <w:tcPr>
            <w:tcW w:w="1080" w:type="dxa"/>
            <w:vAlign w:val="bottom"/>
            <w:shd w:val="clear" w:color="auto" w:fill="F9F0F0"/>
          </w:tcPr>
          <w:p>
            <w:pPr>
              <w:spacing w:after="0"/>
              <w:rPr>
                <w:sz w:val="16"/>
                <w:szCs w:val="16"/>
                <w:color w:val="auto"/>
              </w:rPr>
            </w:pPr>
          </w:p>
        </w:tc>
        <w:tc>
          <w:tcPr>
            <w:tcW w:w="2360" w:type="dxa"/>
            <w:vAlign w:val="bottom"/>
            <w:shd w:val="clear" w:color="auto" w:fill="F9F0F0"/>
          </w:tcPr>
          <w:p>
            <w:pPr>
              <w:spacing w:after="0"/>
              <w:rPr>
                <w:sz w:val="16"/>
                <w:szCs w:val="16"/>
                <w:color w:val="auto"/>
              </w:rPr>
            </w:pPr>
          </w:p>
        </w:tc>
        <w:tc>
          <w:tcPr>
            <w:tcW w:w="280" w:type="dxa"/>
            <w:vAlign w:val="bottom"/>
            <w:shd w:val="clear" w:color="auto" w:fill="F9F0F0"/>
          </w:tcPr>
          <w:p>
            <w:pPr>
              <w:spacing w:after="0"/>
              <w:rPr>
                <w:sz w:val="16"/>
                <w:szCs w:val="16"/>
                <w:color w:val="auto"/>
              </w:rPr>
            </w:pPr>
          </w:p>
        </w:tc>
        <w:tc>
          <w:tcPr>
            <w:tcW w:w="2040" w:type="dxa"/>
            <w:vAlign w:val="bottom"/>
            <w:shd w:val="clear" w:color="auto" w:fill="F9F0F0"/>
          </w:tcPr>
          <w:p>
            <w:pPr>
              <w:spacing w:after="0"/>
              <w:rPr>
                <w:sz w:val="16"/>
                <w:szCs w:val="16"/>
                <w:color w:val="auto"/>
              </w:rPr>
            </w:pPr>
          </w:p>
        </w:tc>
        <w:tc>
          <w:tcPr>
            <w:tcW w:w="2360" w:type="dxa"/>
            <w:vAlign w:val="bottom"/>
            <w:shd w:val="clear" w:color="auto" w:fill="F9F0F0"/>
          </w:tcPr>
          <w:p>
            <w:pPr>
              <w:spacing w:after="0"/>
              <w:rPr>
                <w:sz w:val="16"/>
                <w:szCs w:val="16"/>
                <w:color w:val="auto"/>
              </w:rPr>
            </w:pPr>
          </w:p>
        </w:tc>
        <w:tc>
          <w:tcPr>
            <w:tcW w:w="2480" w:type="dxa"/>
            <w:vAlign w:val="bottom"/>
            <w:shd w:val="clear" w:color="auto" w:fill="F9F0F0"/>
          </w:tcPr>
          <w:p>
            <w:pPr>
              <w:ind w:left="140"/>
              <w:spacing w:after="0"/>
              <w:rPr>
                <w:sz w:val="20"/>
                <w:szCs w:val="20"/>
                <w:color w:val="auto"/>
              </w:rPr>
            </w:pPr>
            <w:r>
              <w:rPr>
                <w:rFonts w:ascii="Arial" w:cs="Arial" w:eastAsia="Arial" w:hAnsi="Arial"/>
                <w:sz w:val="16"/>
                <w:szCs w:val="16"/>
                <w:color w:val="auto"/>
              </w:rPr>
              <w:t>goals in an uncertain market</w:t>
            </w:r>
          </w:p>
        </w:tc>
        <w:tc>
          <w:tcPr>
            <w:tcW w:w="0" w:type="dxa"/>
            <w:vAlign w:val="bottom"/>
          </w:tcPr>
          <w:p>
            <w:pPr>
              <w:spacing w:after="0"/>
              <w:rPr>
                <w:sz w:val="1"/>
                <w:szCs w:val="1"/>
                <w:color w:val="auto"/>
              </w:rPr>
            </w:pPr>
          </w:p>
        </w:tc>
      </w:tr>
      <w:tr>
        <w:trPr>
          <w:trHeight w:val="203"/>
        </w:trPr>
        <w:tc>
          <w:tcPr>
            <w:tcW w:w="1080" w:type="dxa"/>
            <w:vAlign w:val="bottom"/>
            <w:tcBorders>
              <w:bottom w:val="single" w:sz="8" w:color="CB233C"/>
            </w:tcBorders>
            <w:shd w:val="clear" w:color="auto" w:fill="F9F0F0"/>
          </w:tcPr>
          <w:p>
            <w:pPr>
              <w:spacing w:after="0"/>
              <w:rPr>
                <w:sz w:val="17"/>
                <w:szCs w:val="17"/>
                <w:color w:val="auto"/>
              </w:rPr>
            </w:pPr>
          </w:p>
        </w:tc>
        <w:tc>
          <w:tcPr>
            <w:tcW w:w="2360" w:type="dxa"/>
            <w:vAlign w:val="bottom"/>
            <w:tcBorders>
              <w:bottom w:val="single" w:sz="8" w:color="CB233C"/>
            </w:tcBorders>
            <w:shd w:val="clear" w:color="auto" w:fill="F9F0F0"/>
          </w:tcPr>
          <w:p>
            <w:pPr>
              <w:spacing w:after="0"/>
              <w:rPr>
                <w:sz w:val="17"/>
                <w:szCs w:val="17"/>
                <w:color w:val="auto"/>
              </w:rPr>
            </w:pPr>
          </w:p>
        </w:tc>
        <w:tc>
          <w:tcPr>
            <w:tcW w:w="280" w:type="dxa"/>
            <w:vAlign w:val="bottom"/>
            <w:tcBorders>
              <w:bottom w:val="single" w:sz="8" w:color="CB233C"/>
            </w:tcBorders>
            <w:shd w:val="clear" w:color="auto" w:fill="F9F0F0"/>
          </w:tcPr>
          <w:p>
            <w:pPr>
              <w:spacing w:after="0"/>
              <w:rPr>
                <w:sz w:val="17"/>
                <w:szCs w:val="17"/>
                <w:color w:val="auto"/>
              </w:rPr>
            </w:pPr>
          </w:p>
        </w:tc>
        <w:tc>
          <w:tcPr>
            <w:tcW w:w="2040" w:type="dxa"/>
            <w:vAlign w:val="bottom"/>
            <w:tcBorders>
              <w:bottom w:val="single" w:sz="8" w:color="CB233C"/>
            </w:tcBorders>
            <w:shd w:val="clear" w:color="auto" w:fill="F9F0F0"/>
          </w:tcPr>
          <w:p>
            <w:pPr>
              <w:spacing w:after="0"/>
              <w:rPr>
                <w:sz w:val="17"/>
                <w:szCs w:val="17"/>
                <w:color w:val="auto"/>
              </w:rPr>
            </w:pPr>
          </w:p>
        </w:tc>
        <w:tc>
          <w:tcPr>
            <w:tcW w:w="2360" w:type="dxa"/>
            <w:vAlign w:val="bottom"/>
            <w:tcBorders>
              <w:bottom w:val="single" w:sz="8" w:color="CB233C"/>
            </w:tcBorders>
            <w:shd w:val="clear" w:color="auto" w:fill="F9F0F0"/>
          </w:tcPr>
          <w:p>
            <w:pPr>
              <w:spacing w:after="0"/>
              <w:rPr>
                <w:sz w:val="17"/>
                <w:szCs w:val="17"/>
                <w:color w:val="auto"/>
              </w:rPr>
            </w:pPr>
          </w:p>
        </w:tc>
        <w:tc>
          <w:tcPr>
            <w:tcW w:w="2480" w:type="dxa"/>
            <w:vAlign w:val="bottom"/>
            <w:tcBorders>
              <w:bottom w:val="single" w:sz="8" w:color="CB233C"/>
            </w:tcBorders>
            <w:shd w:val="clear" w:color="auto" w:fill="F9F0F0"/>
          </w:tcPr>
          <w:p>
            <w:pPr>
              <w:ind w:left="140"/>
              <w:spacing w:after="0"/>
              <w:rPr>
                <w:sz w:val="20"/>
                <w:szCs w:val="20"/>
                <w:color w:val="auto"/>
              </w:rPr>
            </w:pPr>
            <w:r>
              <w:rPr>
                <w:rFonts w:ascii="Arial" w:cs="Arial" w:eastAsia="Arial" w:hAnsi="Arial"/>
                <w:sz w:val="16"/>
                <w:szCs w:val="16"/>
                <w:color w:val="auto"/>
              </w:rPr>
              <w:t>environment.</w:t>
            </w:r>
          </w:p>
        </w:tc>
        <w:tc>
          <w:tcPr>
            <w:tcW w:w="0" w:type="dxa"/>
            <w:vAlign w:val="bottom"/>
          </w:tcPr>
          <w:p>
            <w:pPr>
              <w:spacing w:after="0"/>
              <w:rPr>
                <w:sz w:val="1"/>
                <w:szCs w:val="1"/>
                <w:color w:val="auto"/>
              </w:rPr>
            </w:pPr>
          </w:p>
        </w:tc>
      </w:tr>
      <w:tr>
        <w:trPr>
          <w:trHeight w:val="168"/>
        </w:trPr>
        <w:tc>
          <w:tcPr>
            <w:tcW w:w="1080" w:type="dxa"/>
            <w:vAlign w:val="bottom"/>
          </w:tcPr>
          <w:p>
            <w:pPr>
              <w:ind w:left="40"/>
              <w:spacing w:after="0" w:line="168" w:lineRule="exact"/>
              <w:rPr>
                <w:sz w:val="20"/>
                <w:szCs w:val="20"/>
                <w:color w:val="auto"/>
              </w:rPr>
            </w:pPr>
            <w:r>
              <w:rPr>
                <w:rFonts w:ascii="Arial" w:cs="Arial" w:eastAsia="Arial" w:hAnsi="Arial"/>
                <w:sz w:val="16"/>
                <w:szCs w:val="16"/>
                <w:b w:val="1"/>
                <w:bCs w:val="1"/>
                <w:color w:val="CB233C"/>
              </w:rPr>
              <w:t>Long-Term</w:t>
            </w:r>
          </w:p>
        </w:tc>
        <w:tc>
          <w:tcPr>
            <w:tcW w:w="2360" w:type="dxa"/>
            <w:vAlign w:val="bottom"/>
          </w:tcPr>
          <w:p>
            <w:pPr>
              <w:ind w:left="140"/>
              <w:spacing w:after="0" w:line="168" w:lineRule="exact"/>
              <w:rPr>
                <w:sz w:val="20"/>
                <w:szCs w:val="20"/>
                <w:color w:val="auto"/>
              </w:rPr>
            </w:pPr>
            <w:r>
              <w:rPr>
                <w:rFonts w:ascii="Arial" w:cs="Arial" w:eastAsia="Arial" w:hAnsi="Arial"/>
                <w:sz w:val="16"/>
                <w:szCs w:val="16"/>
                <w:color w:val="auto"/>
              </w:rPr>
              <w:t>To motivate and incentivize</w:t>
            </w:r>
          </w:p>
        </w:tc>
        <w:tc>
          <w:tcPr>
            <w:tcW w:w="2320" w:type="dxa"/>
            <w:vAlign w:val="bottom"/>
            <w:gridSpan w:val="2"/>
          </w:tcPr>
          <w:p>
            <w:pPr>
              <w:ind w:left="120"/>
              <w:spacing w:after="0" w:line="168" w:lineRule="exact"/>
              <w:rPr>
                <w:sz w:val="20"/>
                <w:szCs w:val="20"/>
                <w:color w:val="auto"/>
              </w:rPr>
            </w:pPr>
            <w:r>
              <w:rPr>
                <w:rFonts w:ascii="Arial" w:cs="Arial" w:eastAsia="Arial" w:hAnsi="Arial"/>
                <w:sz w:val="16"/>
                <w:szCs w:val="16"/>
                <w:color w:val="auto"/>
              </w:rPr>
              <w:t>Value is delivered:</w:t>
            </w:r>
          </w:p>
        </w:tc>
        <w:tc>
          <w:tcPr>
            <w:tcW w:w="2360" w:type="dxa"/>
            <w:vAlign w:val="bottom"/>
          </w:tcPr>
          <w:p>
            <w:pPr>
              <w:ind w:left="160"/>
              <w:spacing w:after="0" w:line="168" w:lineRule="exact"/>
              <w:rPr>
                <w:sz w:val="20"/>
                <w:szCs w:val="20"/>
                <w:color w:val="auto"/>
              </w:rPr>
            </w:pPr>
            <w:r>
              <w:rPr>
                <w:rFonts w:ascii="Arial" w:cs="Arial" w:eastAsia="Arial" w:hAnsi="Arial"/>
                <w:sz w:val="16"/>
                <w:szCs w:val="16"/>
                <w:color w:val="auto"/>
              </w:rPr>
              <w:t>The 2021 performance units</w:t>
            </w:r>
          </w:p>
        </w:tc>
        <w:tc>
          <w:tcPr>
            <w:tcW w:w="2480" w:type="dxa"/>
            <w:vAlign w:val="bottom"/>
          </w:tcPr>
          <w:p>
            <w:pPr>
              <w:ind w:left="140"/>
              <w:spacing w:after="0" w:line="168" w:lineRule="exact"/>
              <w:rPr>
                <w:sz w:val="20"/>
                <w:szCs w:val="20"/>
                <w:color w:val="auto"/>
              </w:rPr>
            </w:pPr>
            <w:r>
              <w:rPr>
                <w:rFonts w:ascii="Arial" w:cs="Arial" w:eastAsia="Arial" w:hAnsi="Arial"/>
                <w:sz w:val="16"/>
                <w:szCs w:val="16"/>
                <w:color w:val="auto"/>
              </w:rPr>
              <w:t>Award values were targeted at</w:t>
            </w:r>
          </w:p>
        </w:tc>
        <w:tc>
          <w:tcPr>
            <w:tcW w:w="0" w:type="dxa"/>
            <w:vAlign w:val="bottom"/>
          </w:tcPr>
          <w:p>
            <w:pPr>
              <w:spacing w:after="0"/>
              <w:rPr>
                <w:sz w:val="1"/>
                <w:szCs w:val="1"/>
                <w:color w:val="auto"/>
              </w:rPr>
            </w:pPr>
          </w:p>
        </w:tc>
      </w:tr>
      <w:tr>
        <w:trPr>
          <w:trHeight w:val="189"/>
        </w:trPr>
        <w:tc>
          <w:tcPr>
            <w:tcW w:w="1080" w:type="dxa"/>
            <w:vAlign w:val="bottom"/>
          </w:tcPr>
          <w:p>
            <w:pPr>
              <w:ind w:left="40"/>
              <w:spacing w:after="0"/>
              <w:rPr>
                <w:sz w:val="20"/>
                <w:szCs w:val="20"/>
                <w:color w:val="auto"/>
              </w:rPr>
            </w:pPr>
            <w:r>
              <w:rPr>
                <w:rFonts w:ascii="Arial" w:cs="Arial" w:eastAsia="Arial" w:hAnsi="Arial"/>
                <w:sz w:val="16"/>
                <w:szCs w:val="16"/>
                <w:b w:val="1"/>
                <w:bCs w:val="1"/>
                <w:color w:val="CB233C"/>
              </w:rPr>
              <w:t>Incentives</w:t>
            </w:r>
          </w:p>
        </w:tc>
        <w:tc>
          <w:tcPr>
            <w:tcW w:w="2360" w:type="dxa"/>
            <w:vAlign w:val="bottom"/>
          </w:tcPr>
          <w:p>
            <w:pPr>
              <w:ind w:left="140"/>
              <w:spacing w:after="0"/>
              <w:rPr>
                <w:sz w:val="20"/>
                <w:szCs w:val="20"/>
                <w:color w:val="auto"/>
              </w:rPr>
            </w:pPr>
            <w:r>
              <w:rPr>
                <w:rFonts w:ascii="Arial" w:cs="Arial" w:eastAsia="Arial" w:hAnsi="Arial"/>
                <w:sz w:val="16"/>
                <w:szCs w:val="16"/>
                <w:color w:val="auto"/>
              </w:rPr>
              <w:t>sustained performance over</w:t>
            </w: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360" w:type="dxa"/>
            <w:vAlign w:val="bottom"/>
          </w:tcPr>
          <w:p>
            <w:pPr>
              <w:ind w:left="160"/>
              <w:spacing w:after="0"/>
              <w:rPr>
                <w:sz w:val="20"/>
                <w:szCs w:val="20"/>
                <w:color w:val="auto"/>
              </w:rPr>
            </w:pPr>
            <w:r>
              <w:rPr>
                <w:rFonts w:ascii="Arial" w:cs="Arial" w:eastAsia="Arial" w:hAnsi="Arial"/>
                <w:sz w:val="16"/>
                <w:szCs w:val="16"/>
                <w:color w:val="auto"/>
              </w:rPr>
              <w:t>measured against ROCE</w:t>
            </w:r>
          </w:p>
        </w:tc>
        <w:tc>
          <w:tcPr>
            <w:tcW w:w="2480" w:type="dxa"/>
            <w:vAlign w:val="bottom"/>
          </w:tcPr>
          <w:p>
            <w:pPr>
              <w:ind w:left="140"/>
              <w:spacing w:after="0"/>
              <w:rPr>
                <w:sz w:val="20"/>
                <w:szCs w:val="20"/>
                <w:color w:val="auto"/>
              </w:rPr>
            </w:pPr>
            <w:r>
              <w:rPr>
                <w:rFonts w:ascii="Arial" w:cs="Arial" w:eastAsia="Arial" w:hAnsi="Arial"/>
                <w:sz w:val="16"/>
                <w:szCs w:val="16"/>
                <w:color w:val="auto"/>
              </w:rPr>
              <w:t>the market median for 2021.</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2360" w:type="dxa"/>
            <w:vAlign w:val="bottom"/>
          </w:tcPr>
          <w:p>
            <w:pPr>
              <w:ind w:left="140"/>
              <w:spacing w:after="0"/>
              <w:rPr>
                <w:sz w:val="20"/>
                <w:szCs w:val="20"/>
                <w:color w:val="auto"/>
              </w:rPr>
            </w:pPr>
            <w:r>
              <w:rPr>
                <w:rFonts w:ascii="Arial" w:cs="Arial" w:eastAsia="Arial" w:hAnsi="Arial"/>
                <w:sz w:val="16"/>
                <w:szCs w:val="16"/>
                <w:color w:val="auto"/>
              </w:rPr>
              <w:t>the long-term. Aligns</w:t>
            </w:r>
          </w:p>
        </w:tc>
        <w:tc>
          <w:tcPr>
            <w:tcW w:w="280" w:type="dxa"/>
            <w:vAlign w:val="bottom"/>
          </w:tcPr>
          <w:p>
            <w:pPr>
              <w:ind w:left="180"/>
              <w:spacing w:after="0"/>
              <w:rPr>
                <w:sz w:val="20"/>
                <w:szCs w:val="20"/>
                <w:color w:val="auto"/>
              </w:rPr>
            </w:pPr>
            <w:r>
              <w:rPr>
                <w:rFonts w:ascii="Arial" w:cs="Arial" w:eastAsia="Arial" w:hAnsi="Arial"/>
                <w:sz w:val="16"/>
                <w:szCs w:val="16"/>
                <w:color w:val="CB233C"/>
              </w:rPr>
              <w:t>•</w:t>
            </w:r>
          </w:p>
        </w:tc>
        <w:tc>
          <w:tcPr>
            <w:tcW w:w="2040" w:type="dxa"/>
            <w:vAlign w:val="bottom"/>
          </w:tcPr>
          <w:p>
            <w:pPr>
              <w:ind w:left="40"/>
              <w:spacing w:after="0"/>
              <w:rPr>
                <w:sz w:val="20"/>
                <w:szCs w:val="20"/>
                <w:color w:val="auto"/>
              </w:rPr>
            </w:pPr>
            <w:r>
              <w:rPr>
                <w:rFonts w:ascii="Arial" w:cs="Arial" w:eastAsia="Arial" w:hAnsi="Arial"/>
                <w:sz w:val="16"/>
                <w:szCs w:val="16"/>
                <w:color w:val="auto"/>
              </w:rPr>
              <w:t>70% performance units</w:t>
            </w:r>
          </w:p>
        </w:tc>
        <w:tc>
          <w:tcPr>
            <w:tcW w:w="2360" w:type="dxa"/>
            <w:vAlign w:val="bottom"/>
          </w:tcPr>
          <w:p>
            <w:pPr>
              <w:ind w:left="160"/>
              <w:spacing w:after="0"/>
              <w:rPr>
                <w:sz w:val="20"/>
                <w:szCs w:val="20"/>
                <w:color w:val="auto"/>
              </w:rPr>
            </w:pPr>
            <w:r>
              <w:rPr>
                <w:rFonts w:ascii="Arial" w:cs="Arial" w:eastAsia="Arial" w:hAnsi="Arial"/>
                <w:sz w:val="16"/>
                <w:szCs w:val="16"/>
                <w:color w:val="auto"/>
              </w:rPr>
              <w:t>performance relative to</w:t>
            </w: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2360" w:type="dxa"/>
            <w:vAlign w:val="bottom"/>
          </w:tcPr>
          <w:p>
            <w:pPr>
              <w:ind w:left="140"/>
              <w:spacing w:after="0"/>
              <w:rPr>
                <w:sz w:val="20"/>
                <w:szCs w:val="20"/>
                <w:color w:val="auto"/>
              </w:rPr>
            </w:pPr>
            <w:r>
              <w:rPr>
                <w:rFonts w:ascii="Arial" w:cs="Arial" w:eastAsia="Arial" w:hAnsi="Arial"/>
                <w:sz w:val="16"/>
                <w:szCs w:val="16"/>
                <w:color w:val="auto"/>
              </w:rPr>
              <w:t>interests of our NEOs with</w:t>
            </w:r>
          </w:p>
        </w:tc>
        <w:tc>
          <w:tcPr>
            <w:tcW w:w="280" w:type="dxa"/>
            <w:vAlign w:val="bottom"/>
          </w:tcPr>
          <w:p>
            <w:pPr>
              <w:spacing w:after="0"/>
              <w:rPr>
                <w:sz w:val="16"/>
                <w:szCs w:val="16"/>
                <w:color w:val="auto"/>
              </w:rPr>
            </w:pPr>
          </w:p>
        </w:tc>
        <w:tc>
          <w:tcPr>
            <w:tcW w:w="2040" w:type="dxa"/>
            <w:vAlign w:val="bottom"/>
          </w:tcPr>
          <w:p>
            <w:pPr>
              <w:ind w:left="80"/>
              <w:spacing w:after="0"/>
              <w:rPr>
                <w:sz w:val="20"/>
                <w:szCs w:val="20"/>
                <w:color w:val="auto"/>
              </w:rPr>
            </w:pPr>
            <w:r>
              <w:rPr>
                <w:rFonts w:ascii="Arial" w:cs="Arial" w:eastAsia="Arial" w:hAnsi="Arial"/>
                <w:sz w:val="16"/>
                <w:szCs w:val="16"/>
                <w:color w:val="auto"/>
              </w:rPr>
              <w:t>measured over three</w:t>
            </w:r>
          </w:p>
        </w:tc>
        <w:tc>
          <w:tcPr>
            <w:tcW w:w="2360" w:type="dxa"/>
            <w:vAlign w:val="bottom"/>
          </w:tcPr>
          <w:p>
            <w:pPr>
              <w:ind w:left="160"/>
              <w:spacing w:after="0"/>
              <w:rPr>
                <w:sz w:val="20"/>
                <w:szCs w:val="20"/>
                <w:color w:val="auto"/>
              </w:rPr>
            </w:pPr>
            <w:r>
              <w:rPr>
                <w:rFonts w:ascii="Arial" w:cs="Arial" w:eastAsia="Arial" w:hAnsi="Arial"/>
                <w:sz w:val="16"/>
                <w:szCs w:val="16"/>
                <w:color w:val="auto"/>
              </w:rPr>
              <w:t>performance peers and</w:t>
            </w: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2360" w:type="dxa"/>
            <w:vAlign w:val="bottom"/>
          </w:tcPr>
          <w:p>
            <w:pPr>
              <w:ind w:left="140"/>
              <w:spacing w:after="0"/>
              <w:rPr>
                <w:sz w:val="20"/>
                <w:szCs w:val="20"/>
                <w:color w:val="auto"/>
              </w:rPr>
            </w:pPr>
            <w:r>
              <w:rPr>
                <w:rFonts w:ascii="Arial" w:cs="Arial" w:eastAsia="Arial" w:hAnsi="Arial"/>
                <w:sz w:val="16"/>
                <w:szCs w:val="16"/>
                <w:color w:val="auto"/>
              </w:rPr>
              <w:t>long-term shareholders.</w:t>
            </w:r>
          </w:p>
        </w:tc>
        <w:tc>
          <w:tcPr>
            <w:tcW w:w="280" w:type="dxa"/>
            <w:vAlign w:val="bottom"/>
          </w:tcPr>
          <w:p>
            <w:pPr>
              <w:spacing w:after="0"/>
              <w:rPr>
                <w:sz w:val="16"/>
                <w:szCs w:val="16"/>
                <w:color w:val="auto"/>
              </w:rPr>
            </w:pPr>
          </w:p>
        </w:tc>
        <w:tc>
          <w:tcPr>
            <w:tcW w:w="2040" w:type="dxa"/>
            <w:vAlign w:val="bottom"/>
          </w:tcPr>
          <w:p>
            <w:pPr>
              <w:ind w:left="80"/>
              <w:spacing w:after="0"/>
              <w:rPr>
                <w:sz w:val="20"/>
                <w:szCs w:val="20"/>
                <w:color w:val="auto"/>
              </w:rPr>
            </w:pPr>
            <w:r>
              <w:rPr>
                <w:rFonts w:ascii="Arial" w:cs="Arial" w:eastAsia="Arial" w:hAnsi="Arial"/>
                <w:sz w:val="16"/>
                <w:szCs w:val="16"/>
                <w:color w:val="auto"/>
              </w:rPr>
              <w:t>years (1/2 in stock; 1/2 in</w:t>
            </w:r>
          </w:p>
        </w:tc>
        <w:tc>
          <w:tcPr>
            <w:tcW w:w="2360" w:type="dxa"/>
            <w:vAlign w:val="bottom"/>
          </w:tcPr>
          <w:p>
            <w:pPr>
              <w:ind w:left="160"/>
              <w:spacing w:after="0"/>
              <w:rPr>
                <w:sz w:val="20"/>
                <w:szCs w:val="20"/>
                <w:color w:val="auto"/>
              </w:rPr>
            </w:pPr>
            <w:r>
              <w:rPr>
                <w:rFonts w:ascii="Arial" w:cs="Arial" w:eastAsia="Arial" w:hAnsi="Arial"/>
                <w:sz w:val="16"/>
                <w:szCs w:val="16"/>
                <w:color w:val="auto"/>
              </w:rPr>
              <w:t>includes a relative TSR</w:t>
            </w: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ind w:left="80"/>
              <w:spacing w:after="0"/>
              <w:rPr>
                <w:sz w:val="20"/>
                <w:szCs w:val="20"/>
                <w:color w:val="auto"/>
              </w:rPr>
            </w:pPr>
            <w:r>
              <w:rPr>
                <w:rFonts w:ascii="Arial" w:cs="Arial" w:eastAsia="Arial" w:hAnsi="Arial"/>
                <w:sz w:val="16"/>
                <w:szCs w:val="16"/>
                <w:color w:val="auto"/>
              </w:rPr>
              <w:t>cash) with relative TSR</w:t>
            </w:r>
          </w:p>
        </w:tc>
        <w:tc>
          <w:tcPr>
            <w:tcW w:w="2360" w:type="dxa"/>
            <w:vAlign w:val="bottom"/>
          </w:tcPr>
          <w:p>
            <w:pPr>
              <w:ind w:left="160"/>
              <w:spacing w:after="0"/>
              <w:rPr>
                <w:sz w:val="20"/>
                <w:szCs w:val="20"/>
                <w:color w:val="auto"/>
              </w:rPr>
            </w:pPr>
            <w:r>
              <w:rPr>
                <w:rFonts w:ascii="Arial" w:cs="Arial" w:eastAsia="Arial" w:hAnsi="Arial"/>
                <w:sz w:val="16"/>
                <w:szCs w:val="16"/>
                <w:color w:val="auto"/>
              </w:rPr>
              <w:t>modifier.</w:t>
            </w: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ind w:left="80"/>
              <w:spacing w:after="0"/>
              <w:rPr>
                <w:sz w:val="20"/>
                <w:szCs w:val="20"/>
                <w:color w:val="auto"/>
              </w:rPr>
            </w:pPr>
            <w:r>
              <w:rPr>
                <w:rFonts w:ascii="Arial" w:cs="Arial" w:eastAsia="Arial" w:hAnsi="Arial"/>
                <w:sz w:val="16"/>
                <w:szCs w:val="16"/>
                <w:color w:val="auto"/>
              </w:rPr>
              <w:t>modifier</w:t>
            </w:r>
          </w:p>
        </w:tc>
        <w:tc>
          <w:tcPr>
            <w:tcW w:w="2360" w:type="dxa"/>
            <w:vAlign w:val="bottom"/>
            <w:vMerge w:val="restart"/>
          </w:tcPr>
          <w:p>
            <w:pPr>
              <w:ind w:left="160"/>
              <w:spacing w:after="0"/>
              <w:rPr>
                <w:sz w:val="20"/>
                <w:szCs w:val="20"/>
                <w:color w:val="auto"/>
              </w:rPr>
            </w:pPr>
            <w:r>
              <w:rPr>
                <w:rFonts w:ascii="Arial" w:cs="Arial" w:eastAsia="Arial" w:hAnsi="Arial"/>
                <w:sz w:val="16"/>
                <w:szCs w:val="16"/>
                <w:color w:val="auto"/>
              </w:rPr>
              <w:t>Restricted stock grants have</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80" w:type="dxa"/>
            <w:vAlign w:val="bottom"/>
          </w:tcPr>
          <w:p>
            <w:pPr>
              <w:ind w:left="180"/>
              <w:spacing w:after="0" w:line="180" w:lineRule="exact"/>
              <w:rPr>
                <w:sz w:val="20"/>
                <w:szCs w:val="20"/>
                <w:color w:val="auto"/>
              </w:rPr>
            </w:pPr>
            <w:r>
              <w:rPr>
                <w:rFonts w:ascii="Arial" w:cs="Arial" w:eastAsia="Arial" w:hAnsi="Arial"/>
                <w:sz w:val="16"/>
                <w:szCs w:val="16"/>
                <w:color w:val="CB233C"/>
              </w:rPr>
              <w:t>•</w:t>
            </w:r>
          </w:p>
        </w:tc>
        <w:tc>
          <w:tcPr>
            <w:tcW w:w="2040" w:type="dxa"/>
            <w:vAlign w:val="bottom"/>
          </w:tcPr>
          <w:p>
            <w:pPr>
              <w:ind w:left="40"/>
              <w:spacing w:after="0" w:line="180" w:lineRule="exact"/>
              <w:rPr>
                <w:sz w:val="20"/>
                <w:szCs w:val="20"/>
                <w:color w:val="auto"/>
              </w:rPr>
            </w:pPr>
            <w:r>
              <w:rPr>
                <w:rFonts w:ascii="Arial" w:cs="Arial" w:eastAsia="Arial" w:hAnsi="Arial"/>
                <w:sz w:val="16"/>
                <w:szCs w:val="16"/>
                <w:color w:val="auto"/>
              </w:rPr>
              <w:t>30% restricted stock</w:t>
            </w:r>
          </w:p>
        </w:tc>
        <w:tc>
          <w:tcPr>
            <w:tcW w:w="236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-2303780</wp:posOffset>
            </wp:positionV>
            <wp:extent cx="6729095" cy="25374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729095" cy="2537460"/>
                    </a:xfrm>
                    <a:prstGeom prst="rect">
                      <a:avLst/>
                    </a:prstGeom>
                    <a:noFill/>
                  </pic:spPr>
                </pic:pic>
              </a:graphicData>
            </a:graphic>
          </wp:anchor>
        </w:drawing>
      </w:r>
    </w:p>
    <w:p>
      <w:pPr>
        <w:ind w:left="5920"/>
        <w:spacing w:after="0" w:line="234" w:lineRule="auto"/>
        <w:rPr>
          <w:sz w:val="20"/>
          <w:szCs w:val="20"/>
          <w:color w:val="auto"/>
        </w:rPr>
      </w:pPr>
      <w:r>
        <w:rPr>
          <w:rFonts w:ascii="Arial" w:cs="Arial" w:eastAsia="Arial" w:hAnsi="Arial"/>
          <w:sz w:val="16"/>
          <w:szCs w:val="16"/>
          <w:color w:val="auto"/>
        </w:rPr>
        <w:t>time-based vesting and value</w:t>
      </w:r>
    </w:p>
    <w:p>
      <w:pPr>
        <w:ind w:left="5920"/>
        <w:spacing w:after="0"/>
        <w:rPr>
          <w:sz w:val="20"/>
          <w:szCs w:val="20"/>
          <w:color w:val="auto"/>
        </w:rPr>
      </w:pPr>
      <w:r>
        <w:rPr>
          <w:rFonts w:ascii="Arial" w:cs="Arial" w:eastAsia="Arial" w:hAnsi="Arial"/>
          <w:sz w:val="16"/>
          <w:szCs w:val="16"/>
          <w:color w:val="auto"/>
        </w:rPr>
        <w:t>is driven by our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672909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729095" cy="8255"/>
                    </a:xfrm>
                    <a:prstGeom prst="rect">
                      <a:avLst/>
                    </a:prstGeom>
                    <a:noFill/>
                  </pic:spPr>
                </pic:pic>
              </a:graphicData>
            </a:graphic>
          </wp:anchor>
        </w:drawing>
      </w:r>
    </w:p>
    <w:p>
      <w:pPr>
        <w:spacing w:after="0" w:line="17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-46990</wp:posOffset>
            </wp:positionV>
            <wp:extent cx="48863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886325" cy="88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175260</wp:posOffset>
            </wp:positionV>
            <wp:extent cx="713232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520" w:space="120"/>
            <w:col w:w="10600"/>
          </w:cols>
          <w:pgMar w:left="320" w:top="238" w:right="339" w:bottom="1440" w:gutter="0" w:footer="0" w:header="0"/>
          <w:type w:val="continuous"/>
        </w:sectPr>
      </w:pPr>
    </w:p>
    <w:bookmarkStart w:id="46" w:name="page47"/>
    <w:bookmarkEnd w:id="4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Mix</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illustrated below, the majority of our CEO’s and NEOs’ total direct compensation opportunity is performance-based, at-risk, and long-term. The graphs depict the mix of total target direct compensation set for our CEO and NEOs for the 2021 plan year. As part of its process, the Compensation Committee makes decisions about target long-term incentive award opportunities for the following year during its regular December meeting. For the 2021 plan year, the Compensation Committee approved restricted stock grants in 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104775</wp:posOffset>
            </wp:positionV>
            <wp:extent cx="5786755" cy="2057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8675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Setting Executive Compensation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Role of the Compensation Committee</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Compensation Committee oversees the executive compensation program and has overall responsibility for making final decisions about total compensation for all of the NEOs, except for the CEO, which is set by the entire Board of Directors. As part of its annual process, the Compensation Committee works closely with senior management (as appropriate) and the Compensation Committee’s independent compensation consultant. This process ensures consistency from year to year and adherence to the responsibilities listed in the Committee’s Charter, which is available on our website.</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CEO does not provide recommendations concerning his own compensation, nor is he present when his compensation is discussed by the Compensation Committee. The Compensation Committee, with input from its independent compensation consultant, discusses the elements of his compensation in executive session and makes a recommendation to all the non-management Directors for discussion and final approval. At the Compensation Committee’s request, a member of management attends the executive session to answer questions.</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CEO, with input from the Compensation Committee’s independent compensation consultant, assists the Compensation Committee in setting compensation for the other NEOs.</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Use of Independent Consultants and Advisors</w:t>
      </w:r>
    </w:p>
    <w:p>
      <w:pPr>
        <w:spacing w:after="0" w:line="20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Compensation Committee engaged Pearl Meyer as its independent compensation consultant during 2021. Pearl Meyer does not provide any other services to us. The primary responsibilities of the independent compensation consultant are to:</w:t>
      </w:r>
    </w:p>
    <w:p>
      <w:pPr>
        <w:spacing w:after="0" w:line="129"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6"/>
          <w:szCs w:val="16"/>
          <w:color w:val="CB233C"/>
        </w:rPr>
      </w:pPr>
      <w:r>
        <w:rPr>
          <w:rFonts w:ascii="Arial" w:cs="Arial" w:eastAsia="Arial" w:hAnsi="Arial"/>
          <w:sz w:val="16"/>
          <w:szCs w:val="16"/>
          <w:color w:val="auto"/>
        </w:rPr>
        <w:t>Provide independent and objective market data;</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63"/>
        </w:numPr>
        <w:rPr>
          <w:rFonts w:ascii="Arial" w:cs="Arial" w:eastAsia="Arial" w:hAnsi="Arial"/>
          <w:sz w:val="16"/>
          <w:szCs w:val="16"/>
          <w:color w:val="CB233C"/>
        </w:rPr>
      </w:pPr>
      <w:r>
        <w:rPr>
          <w:rFonts w:ascii="Arial" w:cs="Arial" w:eastAsia="Arial" w:hAnsi="Arial"/>
          <w:sz w:val="16"/>
          <w:szCs w:val="16"/>
          <w:color w:val="auto"/>
        </w:rPr>
        <w:t>Conduct compensation analysis;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63"/>
        </w:numPr>
        <w:rPr>
          <w:rFonts w:ascii="Arial" w:cs="Arial" w:eastAsia="Arial" w:hAnsi="Arial"/>
          <w:sz w:val="16"/>
          <w:szCs w:val="16"/>
          <w:color w:val="CB233C"/>
        </w:rPr>
      </w:pPr>
      <w:r>
        <w:rPr>
          <w:rFonts w:ascii="Arial" w:cs="Arial" w:eastAsia="Arial" w:hAnsi="Arial"/>
          <w:sz w:val="16"/>
          <w:szCs w:val="16"/>
          <w:color w:val="auto"/>
        </w:rPr>
        <w:t>Recommend potential changes to the Comparator Peer Group and performance peer group;</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63"/>
        </w:numPr>
        <w:rPr>
          <w:rFonts w:ascii="Arial" w:cs="Arial" w:eastAsia="Arial" w:hAnsi="Arial"/>
          <w:sz w:val="16"/>
          <w:szCs w:val="16"/>
          <w:color w:val="CB233C"/>
        </w:rPr>
      </w:pPr>
      <w:r>
        <w:rPr>
          <w:rFonts w:ascii="Arial" w:cs="Arial" w:eastAsia="Arial" w:hAnsi="Arial"/>
          <w:sz w:val="16"/>
          <w:szCs w:val="16"/>
          <w:color w:val="auto"/>
        </w:rPr>
        <w:t>Recommend plan design changes;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63"/>
        </w:numPr>
        <w:rPr>
          <w:rFonts w:ascii="Arial" w:cs="Arial" w:eastAsia="Arial" w:hAnsi="Arial"/>
          <w:sz w:val="16"/>
          <w:szCs w:val="16"/>
          <w:color w:val="CB233C"/>
        </w:rPr>
      </w:pPr>
      <w:r>
        <w:rPr>
          <w:rFonts w:ascii="Arial" w:cs="Arial" w:eastAsia="Arial" w:hAnsi="Arial"/>
          <w:sz w:val="16"/>
          <w:szCs w:val="16"/>
          <w:color w:val="auto"/>
        </w:rPr>
        <w:t>Advise on risks associated with compensation plans; and</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63"/>
        </w:numPr>
        <w:rPr>
          <w:rFonts w:ascii="Arial" w:cs="Arial" w:eastAsia="Arial" w:hAnsi="Arial"/>
          <w:sz w:val="16"/>
          <w:szCs w:val="16"/>
          <w:color w:val="CB233C"/>
        </w:rPr>
      </w:pPr>
      <w:r>
        <w:rPr>
          <w:rFonts w:ascii="Arial" w:cs="Arial" w:eastAsia="Arial" w:hAnsi="Arial"/>
          <w:sz w:val="16"/>
          <w:szCs w:val="16"/>
          <w:color w:val="auto"/>
        </w:rPr>
        <w:t>Review and advise on pay programs and pay levels.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These services are provided as requested by the Compensation Committee throughout the year. Based on their review of our executive compensation program, Pearl Meyer concluded that our compensation plans do not appear to present any material risks to the Company or its shareholders in the design, metrics, interaction between, or administration of the incentive plans.</w:t>
      </w:r>
    </w:p>
    <w:p>
      <w:pPr>
        <w:spacing w:after="0" w:line="239" w:lineRule="exact"/>
        <w:rPr>
          <w:sz w:val="20"/>
          <w:szCs w:val="20"/>
          <w:color w:val="auto"/>
        </w:r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342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Comparator and Performance Peer Companies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Compensation Committee uses various market data to examine and set target compensation opportunities for the NEOs, as well as determine actual award payouts, to ensure that it provides competitive compensation opportunities and approves actual compensation outcomes that are aligned with shareholder expectations. The following provides context for the different peer groups used to support the Compensation Committee’s process:</w:t>
      </w:r>
    </w:p>
    <w:p>
      <w:pPr>
        <w:spacing w:after="0" w:line="144"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6"/>
          <w:szCs w:val="16"/>
          <w:color w:val="CB233C"/>
        </w:rPr>
      </w:pPr>
      <w:r>
        <w:rPr>
          <w:rFonts w:ascii="Arial" w:cs="Arial" w:eastAsia="Arial" w:hAnsi="Arial"/>
          <w:sz w:val="16"/>
          <w:szCs w:val="16"/>
          <w:color w:val="auto"/>
        </w:rPr>
        <w:t>Comparator Peer Group — used to determine market levels of total compensation for the 2021 plan year.</w:t>
      </w:r>
    </w:p>
    <w:p>
      <w:pPr>
        <w:spacing w:after="0" w:line="86" w:lineRule="exact"/>
        <w:rPr>
          <w:rFonts w:ascii="Arial" w:cs="Arial" w:eastAsia="Arial" w:hAnsi="Arial"/>
          <w:sz w:val="16"/>
          <w:szCs w:val="16"/>
          <w:color w:val="CB233C"/>
        </w:rPr>
      </w:pPr>
    </w:p>
    <w:p>
      <w:pPr>
        <w:ind w:left="180" w:right="20" w:hanging="172"/>
        <w:spacing w:after="0" w:line="286" w:lineRule="auto"/>
        <w:tabs>
          <w:tab w:leader="none" w:pos="180" w:val="left"/>
        </w:tabs>
        <w:numPr>
          <w:ilvl w:val="0"/>
          <w:numId w:val="64"/>
        </w:numPr>
        <w:rPr>
          <w:rFonts w:ascii="Arial" w:cs="Arial" w:eastAsia="Arial" w:hAnsi="Arial"/>
          <w:sz w:val="16"/>
          <w:szCs w:val="16"/>
          <w:color w:val="CB233C"/>
        </w:rPr>
      </w:pPr>
      <w:r>
        <w:rPr>
          <w:rFonts w:ascii="Arial" w:cs="Arial" w:eastAsia="Arial" w:hAnsi="Arial"/>
          <w:sz w:val="16"/>
          <w:szCs w:val="16"/>
          <w:color w:val="auto"/>
        </w:rPr>
        <w:t>Performance Peer Group — used to assess relative ROCE performance over a three-year performance period for determining Performance Unit Program (PUP) payouts.</w:t>
      </w:r>
    </w:p>
    <w:p>
      <w:pPr>
        <w:spacing w:after="0" w:line="20" w:lineRule="exact"/>
        <w:rPr>
          <w:rFonts w:ascii="Arial" w:cs="Arial" w:eastAsia="Arial" w:hAnsi="Arial"/>
          <w:sz w:val="16"/>
          <w:szCs w:val="16"/>
          <w:color w:val="CB233C"/>
        </w:rPr>
      </w:pPr>
    </w:p>
    <w:p>
      <w:pPr>
        <w:ind w:left="180" w:right="20" w:hanging="172"/>
        <w:spacing w:after="0" w:line="286" w:lineRule="auto"/>
        <w:tabs>
          <w:tab w:leader="none" w:pos="180" w:val="left"/>
        </w:tabs>
        <w:numPr>
          <w:ilvl w:val="0"/>
          <w:numId w:val="64"/>
        </w:numPr>
        <w:rPr>
          <w:rFonts w:ascii="Arial" w:cs="Arial" w:eastAsia="Arial" w:hAnsi="Arial"/>
          <w:sz w:val="16"/>
          <w:szCs w:val="16"/>
          <w:color w:val="CB233C"/>
        </w:rPr>
      </w:pPr>
      <w:r>
        <w:rPr>
          <w:rFonts w:ascii="Arial" w:cs="Arial" w:eastAsia="Arial" w:hAnsi="Arial"/>
          <w:sz w:val="16"/>
          <w:szCs w:val="16"/>
          <w:color w:val="auto"/>
        </w:rPr>
        <w:t>Oilfield Services Index (OSX) — used to assess relative TSR performance and adds a long-term performance component to the PUP directly linked to stock price (modifier imposes an award penalty for bottom quartile performance and provides an incentive for top quartile performance).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CB233C"/>
        </w:rPr>
        <w:t>2021 Comparator Peer Group</w:t>
      </w:r>
    </w:p>
    <w:p>
      <w:pPr>
        <w:spacing w:after="0" w:line="19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Compensation Committee regularly assesses the market competitiveness of the Company’s executive compensation program based on data from a comparator peer group. The companies comprising the Comparator Peer Group are selected based on the following considerations:</w:t>
      </w:r>
    </w:p>
    <w:p>
      <w:pPr>
        <w:spacing w:after="0" w:line="129"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16"/>
          <w:szCs w:val="16"/>
          <w:color w:val="CB233C"/>
        </w:rPr>
      </w:pPr>
      <w:r>
        <w:rPr>
          <w:rFonts w:ascii="Arial" w:cs="Arial" w:eastAsia="Arial" w:hAnsi="Arial"/>
          <w:sz w:val="16"/>
          <w:szCs w:val="16"/>
          <w:color w:val="auto"/>
        </w:rPr>
        <w:t>Market capitalization;</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65"/>
        </w:numPr>
        <w:rPr>
          <w:rFonts w:ascii="Arial" w:cs="Arial" w:eastAsia="Arial" w:hAnsi="Arial"/>
          <w:sz w:val="16"/>
          <w:szCs w:val="16"/>
          <w:color w:val="CB233C"/>
        </w:rPr>
      </w:pPr>
      <w:r>
        <w:rPr>
          <w:rFonts w:ascii="Arial" w:cs="Arial" w:eastAsia="Arial" w:hAnsi="Arial"/>
          <w:sz w:val="16"/>
          <w:szCs w:val="16"/>
          <w:color w:val="auto"/>
        </w:rPr>
        <w:t>Revenue and number of employees;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65"/>
        </w:numPr>
        <w:rPr>
          <w:rFonts w:ascii="Arial" w:cs="Arial" w:eastAsia="Arial" w:hAnsi="Arial"/>
          <w:sz w:val="16"/>
          <w:szCs w:val="16"/>
          <w:color w:val="CB233C"/>
        </w:rPr>
      </w:pPr>
      <w:r>
        <w:rPr>
          <w:rFonts w:ascii="Arial" w:cs="Arial" w:eastAsia="Arial" w:hAnsi="Arial"/>
          <w:sz w:val="16"/>
          <w:szCs w:val="16"/>
          <w:color w:val="auto"/>
        </w:rPr>
        <w:t>Global impact and reach; and</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65"/>
        </w:numPr>
        <w:rPr>
          <w:rFonts w:ascii="Arial" w:cs="Arial" w:eastAsia="Arial" w:hAnsi="Arial"/>
          <w:sz w:val="16"/>
          <w:szCs w:val="16"/>
          <w:color w:val="CB233C"/>
        </w:rPr>
      </w:pPr>
      <w:r>
        <w:rPr>
          <w:rFonts w:ascii="Arial" w:cs="Arial" w:eastAsia="Arial" w:hAnsi="Arial"/>
          <w:sz w:val="16"/>
          <w:szCs w:val="16"/>
          <w:color w:val="auto"/>
        </w:rPr>
        <w:t>Industry affiliation.</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Industry affiliation includes companies that are involved in the oil and natural gas and energy services industries. With data provided by the independent compensation consultant, the Compensation Committee reviews the Comparator Peer Group annually to ensure relevance.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Given the market uncertainty and business disruptions during 2020, the Compensation Committee determined, with input from its independent compensation consultant, that annual benchmarking data would be insufficient for annual compensation decisions. The Compensation Committee used data from the 2020 Comparator Peer Group of the following peer companies within the energy industry and selected companies representing general industry to determine market levels of total compensation for the 2021 plan year: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Borders>
              <w:top w:val="single" w:sz="8" w:color="CB233C"/>
            </w:tcBorders>
            <w:shd w:val="clear" w:color="auto" w:fill="EBECEE"/>
          </w:tcPr>
          <w:p>
            <w:pPr>
              <w:jc w:val="center"/>
              <w:spacing w:after="0"/>
              <w:rPr>
                <w:sz w:val="20"/>
                <w:szCs w:val="20"/>
                <w:color w:val="auto"/>
              </w:rPr>
            </w:pPr>
            <w:r>
              <w:rPr>
                <w:rFonts w:ascii="Arial" w:cs="Arial" w:eastAsia="Arial" w:hAnsi="Arial"/>
                <w:sz w:val="16"/>
                <w:szCs w:val="16"/>
                <w:color w:val="auto"/>
              </w:rPr>
              <w:t>3M Company</w:t>
            </w:r>
          </w:p>
        </w:tc>
        <w:tc>
          <w:tcPr>
            <w:tcW w:w="5640" w:type="dxa"/>
            <w:vAlign w:val="bottom"/>
            <w:tcBorders>
              <w:top w:val="single" w:sz="8" w:color="CB233C"/>
            </w:tcBorders>
            <w:shd w:val="clear" w:color="auto" w:fill="EBECEE"/>
          </w:tcPr>
          <w:p>
            <w:pPr>
              <w:jc w:val="center"/>
              <w:spacing w:after="0"/>
              <w:rPr>
                <w:sz w:val="20"/>
                <w:szCs w:val="20"/>
                <w:color w:val="auto"/>
              </w:rPr>
            </w:pPr>
            <w:r>
              <w:rPr>
                <w:rFonts w:ascii="Arial" w:cs="Arial" w:eastAsia="Arial" w:hAnsi="Arial"/>
                <w:sz w:val="16"/>
                <w:szCs w:val="16"/>
                <w:color w:val="auto"/>
              </w:rPr>
              <w:t>Hess Corporation</w:t>
            </w:r>
          </w:p>
        </w:tc>
      </w:tr>
      <w:tr>
        <w:trPr>
          <w:trHeight w:val="215"/>
        </w:trPr>
        <w:tc>
          <w:tcPr>
            <w:tcW w:w="5600" w:type="dxa"/>
            <w:vAlign w:val="bottom"/>
          </w:tcPr>
          <w:p>
            <w:pPr>
              <w:jc w:val="center"/>
              <w:spacing w:after="0"/>
              <w:rPr>
                <w:sz w:val="20"/>
                <w:szCs w:val="20"/>
                <w:color w:val="auto"/>
              </w:rPr>
            </w:pPr>
            <w:r>
              <w:rPr>
                <w:rFonts w:ascii="Arial" w:cs="Arial" w:eastAsia="Arial" w:hAnsi="Arial"/>
                <w:sz w:val="16"/>
                <w:szCs w:val="16"/>
                <w:color w:val="auto"/>
              </w:rPr>
              <w:t>Anadarko Petroleum Corporation</w:t>
            </w:r>
          </w:p>
        </w:tc>
        <w:tc>
          <w:tcPr>
            <w:tcW w:w="5640" w:type="dxa"/>
            <w:vAlign w:val="bottom"/>
          </w:tcPr>
          <w:p>
            <w:pPr>
              <w:jc w:val="center"/>
              <w:spacing w:after="0"/>
              <w:rPr>
                <w:sz w:val="20"/>
                <w:szCs w:val="20"/>
                <w:color w:val="auto"/>
              </w:rPr>
            </w:pPr>
            <w:r>
              <w:rPr>
                <w:rFonts w:ascii="Arial" w:cs="Arial" w:eastAsia="Arial" w:hAnsi="Arial"/>
                <w:sz w:val="16"/>
                <w:szCs w:val="16"/>
                <w:color w:val="auto"/>
              </w:rPr>
              <w:t>Honeywell International Inc.</w:t>
            </w:r>
          </w:p>
        </w:tc>
      </w:tr>
      <w:tr>
        <w:trPr>
          <w:trHeight w:val="217"/>
        </w:trPr>
        <w:tc>
          <w:tcPr>
            <w:tcW w:w="5600" w:type="dxa"/>
            <w:vAlign w:val="bottom"/>
            <w:shd w:val="clear" w:color="auto" w:fill="EBECEE"/>
          </w:tcPr>
          <w:p>
            <w:pPr>
              <w:jc w:val="center"/>
              <w:spacing w:after="0"/>
              <w:rPr>
                <w:sz w:val="20"/>
                <w:szCs w:val="20"/>
                <w:color w:val="auto"/>
              </w:rPr>
            </w:pPr>
            <w:r>
              <w:rPr>
                <w:rFonts w:ascii="Arial" w:cs="Arial" w:eastAsia="Arial" w:hAnsi="Arial"/>
                <w:sz w:val="16"/>
                <w:szCs w:val="16"/>
                <w:color w:val="auto"/>
              </w:rPr>
              <w:t>Apache Corporation</w:t>
            </w:r>
          </w:p>
        </w:tc>
        <w:tc>
          <w:tcPr>
            <w:tcW w:w="5640" w:type="dxa"/>
            <w:vAlign w:val="bottom"/>
            <w:shd w:val="clear" w:color="auto" w:fill="EBECEE"/>
          </w:tcPr>
          <w:p>
            <w:pPr>
              <w:jc w:val="center"/>
              <w:spacing w:after="0"/>
              <w:rPr>
                <w:sz w:val="20"/>
                <w:szCs w:val="20"/>
                <w:color w:val="auto"/>
              </w:rPr>
            </w:pPr>
            <w:r>
              <w:rPr>
                <w:rFonts w:ascii="Arial" w:cs="Arial" w:eastAsia="Arial" w:hAnsi="Arial"/>
                <w:sz w:val="16"/>
                <w:szCs w:val="16"/>
                <w:color w:val="auto"/>
              </w:rPr>
              <w:t>Johnson Controls International plc</w:t>
            </w:r>
          </w:p>
        </w:tc>
      </w:tr>
      <w:tr>
        <w:trPr>
          <w:trHeight w:val="215"/>
        </w:trPr>
        <w:tc>
          <w:tcPr>
            <w:tcW w:w="5600" w:type="dxa"/>
            <w:vAlign w:val="bottom"/>
          </w:tcPr>
          <w:p>
            <w:pPr>
              <w:jc w:val="center"/>
              <w:spacing w:after="0"/>
              <w:rPr>
                <w:sz w:val="20"/>
                <w:szCs w:val="20"/>
                <w:color w:val="auto"/>
              </w:rPr>
            </w:pPr>
            <w:r>
              <w:rPr>
                <w:rFonts w:ascii="Arial" w:cs="Arial" w:eastAsia="Arial" w:hAnsi="Arial"/>
                <w:sz w:val="16"/>
                <w:szCs w:val="16"/>
                <w:color w:val="auto"/>
              </w:rPr>
              <w:t>Baker Hughes</w:t>
            </w:r>
          </w:p>
        </w:tc>
        <w:tc>
          <w:tcPr>
            <w:tcW w:w="5640" w:type="dxa"/>
            <w:vAlign w:val="bottom"/>
          </w:tcPr>
          <w:p>
            <w:pPr>
              <w:jc w:val="center"/>
              <w:spacing w:after="0"/>
              <w:rPr>
                <w:sz w:val="20"/>
                <w:szCs w:val="20"/>
                <w:color w:val="auto"/>
              </w:rPr>
            </w:pPr>
            <w:r>
              <w:rPr>
                <w:rFonts w:ascii="Arial" w:cs="Arial" w:eastAsia="Arial" w:hAnsi="Arial"/>
                <w:sz w:val="16"/>
                <w:szCs w:val="16"/>
                <w:color w:val="auto"/>
              </w:rPr>
              <w:t>National Oilwell Varco, Inc.</w:t>
            </w:r>
          </w:p>
        </w:tc>
      </w:tr>
      <w:tr>
        <w:trPr>
          <w:trHeight w:val="217"/>
        </w:trPr>
        <w:tc>
          <w:tcPr>
            <w:tcW w:w="5600" w:type="dxa"/>
            <w:vAlign w:val="bottom"/>
            <w:shd w:val="clear" w:color="auto" w:fill="EBECEE"/>
          </w:tcPr>
          <w:p>
            <w:pPr>
              <w:jc w:val="center"/>
              <w:spacing w:after="0"/>
              <w:rPr>
                <w:sz w:val="20"/>
                <w:szCs w:val="20"/>
                <w:color w:val="auto"/>
              </w:rPr>
            </w:pPr>
            <w:r>
              <w:rPr>
                <w:rFonts w:ascii="Arial" w:cs="Arial" w:eastAsia="Arial" w:hAnsi="Arial"/>
                <w:sz w:val="16"/>
                <w:szCs w:val="16"/>
                <w:color w:val="auto"/>
              </w:rPr>
              <w:t>Caterpillar Inc.</w:t>
            </w:r>
          </w:p>
        </w:tc>
        <w:tc>
          <w:tcPr>
            <w:tcW w:w="5640" w:type="dxa"/>
            <w:vAlign w:val="bottom"/>
            <w:shd w:val="clear" w:color="auto" w:fill="EBECEE"/>
          </w:tcPr>
          <w:p>
            <w:pPr>
              <w:jc w:val="center"/>
              <w:spacing w:after="0"/>
              <w:rPr>
                <w:sz w:val="20"/>
                <w:szCs w:val="20"/>
                <w:color w:val="auto"/>
              </w:rPr>
            </w:pPr>
            <w:r>
              <w:rPr>
                <w:rFonts w:ascii="Arial" w:cs="Arial" w:eastAsia="Arial" w:hAnsi="Arial"/>
                <w:sz w:val="16"/>
                <w:szCs w:val="16"/>
                <w:color w:val="auto"/>
              </w:rPr>
              <w:t>Occidental Petroleum Corporation</w:t>
            </w:r>
          </w:p>
        </w:tc>
      </w:tr>
      <w:tr>
        <w:trPr>
          <w:trHeight w:val="215"/>
        </w:trPr>
        <w:tc>
          <w:tcPr>
            <w:tcW w:w="5600" w:type="dxa"/>
            <w:vAlign w:val="bottom"/>
          </w:tcPr>
          <w:p>
            <w:pPr>
              <w:jc w:val="center"/>
              <w:spacing w:after="0"/>
              <w:rPr>
                <w:sz w:val="20"/>
                <w:szCs w:val="20"/>
                <w:color w:val="auto"/>
              </w:rPr>
            </w:pPr>
            <w:r>
              <w:rPr>
                <w:rFonts w:ascii="Arial" w:cs="Arial" w:eastAsia="Arial" w:hAnsi="Arial"/>
                <w:sz w:val="16"/>
                <w:szCs w:val="16"/>
                <w:color w:val="auto"/>
              </w:rPr>
              <w:t>ConocoPhillips</w:t>
            </w:r>
          </w:p>
        </w:tc>
        <w:tc>
          <w:tcPr>
            <w:tcW w:w="5640" w:type="dxa"/>
            <w:vAlign w:val="bottom"/>
          </w:tcPr>
          <w:p>
            <w:pPr>
              <w:jc w:val="center"/>
              <w:spacing w:after="0"/>
              <w:rPr>
                <w:sz w:val="20"/>
                <w:szCs w:val="20"/>
                <w:color w:val="auto"/>
              </w:rPr>
            </w:pPr>
            <w:r>
              <w:rPr>
                <w:rFonts w:ascii="Arial" w:cs="Arial" w:eastAsia="Arial" w:hAnsi="Arial"/>
                <w:sz w:val="16"/>
                <w:szCs w:val="16"/>
                <w:color w:val="auto"/>
              </w:rPr>
              <w:t>Raytheon Company</w:t>
            </w:r>
          </w:p>
        </w:tc>
      </w:tr>
      <w:tr>
        <w:trPr>
          <w:trHeight w:val="217"/>
        </w:trPr>
        <w:tc>
          <w:tcPr>
            <w:tcW w:w="5600" w:type="dxa"/>
            <w:vAlign w:val="bottom"/>
            <w:shd w:val="clear" w:color="auto" w:fill="EBECEE"/>
          </w:tcPr>
          <w:p>
            <w:pPr>
              <w:jc w:val="center"/>
              <w:spacing w:after="0"/>
              <w:rPr>
                <w:sz w:val="20"/>
                <w:szCs w:val="20"/>
                <w:color w:val="auto"/>
              </w:rPr>
            </w:pPr>
            <w:r>
              <w:rPr>
                <w:rFonts w:ascii="Arial" w:cs="Arial" w:eastAsia="Arial" w:hAnsi="Arial"/>
                <w:sz w:val="16"/>
                <w:szCs w:val="16"/>
                <w:color w:val="auto"/>
              </w:rPr>
              <w:t>Deere and Company</w:t>
            </w:r>
          </w:p>
        </w:tc>
        <w:tc>
          <w:tcPr>
            <w:tcW w:w="5640" w:type="dxa"/>
            <w:vAlign w:val="bottom"/>
            <w:shd w:val="clear" w:color="auto" w:fill="EBECEE"/>
          </w:tcPr>
          <w:p>
            <w:pPr>
              <w:jc w:val="center"/>
              <w:spacing w:after="0"/>
              <w:rPr>
                <w:sz w:val="20"/>
                <w:szCs w:val="20"/>
                <w:color w:val="auto"/>
              </w:rPr>
            </w:pPr>
            <w:r>
              <w:rPr>
                <w:rFonts w:ascii="Arial" w:cs="Arial" w:eastAsia="Arial" w:hAnsi="Arial"/>
                <w:sz w:val="16"/>
                <w:szCs w:val="16"/>
                <w:color w:val="auto"/>
              </w:rPr>
              <w:t>Schlumberger Limited</w:t>
            </w:r>
          </w:p>
        </w:tc>
      </w:tr>
      <w:tr>
        <w:trPr>
          <w:trHeight w:val="215"/>
        </w:trPr>
        <w:tc>
          <w:tcPr>
            <w:tcW w:w="5600" w:type="dxa"/>
            <w:vAlign w:val="bottom"/>
          </w:tcPr>
          <w:p>
            <w:pPr>
              <w:jc w:val="center"/>
              <w:spacing w:after="0"/>
              <w:rPr>
                <w:sz w:val="20"/>
                <w:szCs w:val="20"/>
                <w:color w:val="auto"/>
              </w:rPr>
            </w:pPr>
            <w:r>
              <w:rPr>
                <w:rFonts w:ascii="Arial" w:cs="Arial" w:eastAsia="Arial" w:hAnsi="Arial"/>
                <w:sz w:val="16"/>
                <w:szCs w:val="16"/>
                <w:color w:val="auto"/>
              </w:rPr>
              <w:t>Emerson Electric Co.</w:t>
            </w:r>
          </w:p>
        </w:tc>
        <w:tc>
          <w:tcPr>
            <w:tcW w:w="5640" w:type="dxa"/>
            <w:vAlign w:val="bottom"/>
          </w:tcPr>
          <w:p>
            <w:pPr>
              <w:jc w:val="center"/>
              <w:spacing w:after="0"/>
              <w:rPr>
                <w:sz w:val="20"/>
                <w:szCs w:val="20"/>
                <w:color w:val="auto"/>
              </w:rPr>
            </w:pPr>
            <w:r>
              <w:rPr>
                <w:rFonts w:ascii="Arial" w:cs="Arial" w:eastAsia="Arial" w:hAnsi="Arial"/>
                <w:sz w:val="16"/>
                <w:szCs w:val="16"/>
                <w:color w:val="auto"/>
              </w:rPr>
              <w:t>Transocean Ltd.</w:t>
            </w:r>
          </w:p>
        </w:tc>
      </w:tr>
      <w:tr>
        <w:trPr>
          <w:trHeight w:val="216"/>
        </w:trPr>
        <w:tc>
          <w:tcPr>
            <w:tcW w:w="5600" w:type="dxa"/>
            <w:vAlign w:val="bottom"/>
            <w:tcBorders>
              <w:bottom w:val="single" w:sz="8" w:color="CB233C"/>
            </w:tcBorders>
            <w:shd w:val="clear" w:color="auto" w:fill="EBECEE"/>
          </w:tcPr>
          <w:p>
            <w:pPr>
              <w:jc w:val="center"/>
              <w:spacing w:after="0"/>
              <w:rPr>
                <w:sz w:val="20"/>
                <w:szCs w:val="20"/>
                <w:color w:val="auto"/>
              </w:rPr>
            </w:pPr>
            <w:r>
              <w:rPr>
                <w:rFonts w:ascii="Arial" w:cs="Arial" w:eastAsia="Arial" w:hAnsi="Arial"/>
                <w:sz w:val="16"/>
                <w:szCs w:val="16"/>
                <w:color w:val="auto"/>
              </w:rPr>
              <w:t>Fluor Corporation</w:t>
            </w:r>
          </w:p>
        </w:tc>
        <w:tc>
          <w:tcPr>
            <w:tcW w:w="5640" w:type="dxa"/>
            <w:vAlign w:val="bottom"/>
            <w:tcBorders>
              <w:bottom w:val="single" w:sz="8" w:color="CB233C"/>
            </w:tcBorders>
            <w:shd w:val="clear" w:color="auto" w:fill="EBECEE"/>
          </w:tcPr>
          <w:p>
            <w:pPr>
              <w:jc w:val="center"/>
              <w:spacing w:after="0"/>
              <w:rPr>
                <w:sz w:val="20"/>
                <w:szCs w:val="20"/>
                <w:color w:val="auto"/>
              </w:rPr>
            </w:pPr>
            <w:r>
              <w:rPr>
                <w:rFonts w:ascii="Arial" w:cs="Arial" w:eastAsia="Arial" w:hAnsi="Arial"/>
                <w:sz w:val="16"/>
                <w:szCs w:val="16"/>
                <w:color w:val="auto"/>
              </w:rPr>
              <w:t>Weatherford International plc</w:t>
            </w:r>
          </w:p>
        </w:tc>
      </w:tr>
    </w:tbl>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Because of variances in market capitalization and revenue size among the companies comprising our Comparator Peer Group, the market data is size adjusted by revenue as necessary so that it is comparable with our trailing 12 months revenue. These adjusted values are used to compare our executives’ compensation to those of the Comparator Peer Group.</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Total compensation for each NEO is structured to target market competitive pay levels in base salary and short- and long-term incentive opportunities. We</w:t>
      </w:r>
    </w:p>
    <w:p>
      <w:pPr>
        <w:spacing w:after="0" w:line="18"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also place an emphasis on variable pay at risk, which enables this compensation structure to position actual pay above or below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our Comparator Peer Group depending on performance.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A consistent pre-tax, present value methodology is used in assessing stock-based and other long-term incentive awards.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independent compensation consultant gathers and performs an analysis of market data for each NEO, comparing each of their individual components of compensation and total compensation to that of the Comparator Peer Group. This competitive analysis consists of comparing the market data of each of the</w:t>
      </w:r>
    </w:p>
    <w:p>
      <w:pPr>
        <w:spacing w:after="0"/>
        <w:rPr>
          <w:sz w:val="20"/>
          <w:szCs w:val="20"/>
          <w:color w:val="auto"/>
        </w:rPr>
      </w:pPr>
      <w:r>
        <w:rPr>
          <w:rFonts w:ascii="Arial" w:cs="Arial" w:eastAsia="Arial" w:hAnsi="Arial"/>
          <w:sz w:val="16"/>
          <w:szCs w:val="16"/>
          <w:color w:val="auto"/>
        </w:rPr>
        <w:t>pay elements and total compensation at the 25</w:t>
      </w:r>
      <w:r>
        <w:rPr>
          <w:rFonts w:ascii="Arial" w:cs="Arial" w:eastAsia="Arial" w:hAnsi="Arial"/>
          <w:sz w:val="26"/>
          <w:szCs w:val="26"/>
          <w:color w:val="auto"/>
          <w:vertAlign w:val="superscript"/>
        </w:rPr>
        <w:t>th</w:t>
      </w:r>
      <w:r>
        <w:rPr>
          <w:rFonts w:ascii="Arial" w:cs="Arial" w:eastAsia="Arial" w:hAnsi="Arial"/>
          <w:sz w:val="16"/>
          <w:szCs w:val="16"/>
          <w:color w:val="auto"/>
        </w:rPr>
        <w:t>, 50</w:t>
      </w:r>
      <w:r>
        <w:rPr>
          <w:rFonts w:ascii="Arial" w:cs="Arial" w:eastAsia="Arial" w:hAnsi="Arial"/>
          <w:sz w:val="26"/>
          <w:szCs w:val="26"/>
          <w:color w:val="auto"/>
          <w:vertAlign w:val="superscript"/>
        </w:rPr>
        <w:t>th</w:t>
      </w:r>
      <w:r>
        <w:rPr>
          <w:rFonts w:ascii="Arial" w:cs="Arial" w:eastAsia="Arial" w:hAnsi="Arial"/>
          <w:sz w:val="16"/>
          <w:szCs w:val="16"/>
          <w:color w:val="auto"/>
        </w:rPr>
        <w:t>, and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percentiles of the Comparator Peer Group to current compensation for each NEO.</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When determining target total compensation for the CEO, the Compensation Committee takes into consideration competitive market pay levels for the CEOs in the Comparator Peer Group. The Compensation Committee also considers the CEO’s performance and accomplishments in the areas of business development and expansion, management succession, development and retention of management, ethical leadership, and the achievement of financial and operational objectives. Each year, our CEO and the members of the Board agree upon a set of objectives addressing the following areas:</w:t>
      </w:r>
    </w:p>
    <w:p>
      <w:pPr>
        <w:spacing w:after="0" w:line="151"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6"/>
          <w:szCs w:val="16"/>
          <w:color w:val="CB233C"/>
        </w:rPr>
      </w:pPr>
      <w:r>
        <w:rPr>
          <w:rFonts w:ascii="Arial" w:cs="Arial" w:eastAsia="Arial" w:hAnsi="Arial"/>
          <w:sz w:val="16"/>
          <w:szCs w:val="16"/>
          <w:color w:val="auto"/>
        </w:rPr>
        <w:t>Leadership and vision;</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66"/>
        </w:numPr>
        <w:rPr>
          <w:rFonts w:ascii="Arial" w:cs="Arial" w:eastAsia="Arial" w:hAnsi="Arial"/>
          <w:sz w:val="16"/>
          <w:szCs w:val="16"/>
          <w:color w:val="CB233C"/>
        </w:rPr>
      </w:pPr>
      <w:r>
        <w:rPr>
          <w:rFonts w:ascii="Arial" w:cs="Arial" w:eastAsia="Arial" w:hAnsi="Arial"/>
          <w:sz w:val="16"/>
          <w:szCs w:val="16"/>
          <w:color w:val="auto"/>
        </w:rPr>
        <w:t>Integrity;</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66"/>
        </w:numPr>
        <w:rPr>
          <w:rFonts w:ascii="Arial" w:cs="Arial" w:eastAsia="Arial" w:hAnsi="Arial"/>
          <w:sz w:val="16"/>
          <w:szCs w:val="16"/>
          <w:color w:val="CB233C"/>
        </w:rPr>
      </w:pPr>
      <w:r>
        <w:rPr>
          <w:rFonts w:ascii="Arial" w:cs="Arial" w:eastAsia="Arial" w:hAnsi="Arial"/>
          <w:sz w:val="16"/>
          <w:szCs w:val="16"/>
          <w:color w:val="auto"/>
        </w:rPr>
        <w:t>Keeping the Board informed on matters affecting Halliburton;</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66"/>
        </w:numPr>
        <w:rPr>
          <w:rFonts w:ascii="Arial" w:cs="Arial" w:eastAsia="Arial" w:hAnsi="Arial"/>
          <w:sz w:val="16"/>
          <w:szCs w:val="16"/>
          <w:color w:val="CB233C"/>
        </w:rPr>
      </w:pPr>
      <w:r>
        <w:rPr>
          <w:rFonts w:ascii="Arial" w:cs="Arial" w:eastAsia="Arial" w:hAnsi="Arial"/>
          <w:sz w:val="16"/>
          <w:szCs w:val="16"/>
          <w:color w:val="auto"/>
        </w:rPr>
        <w:t>Performance of the business;</w:t>
      </w:r>
    </w:p>
    <w:p>
      <w:pPr>
        <w:spacing w:after="0" w:line="19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886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6"/>
          <w:szCs w:val="16"/>
          <w:color w:val="CB233C"/>
        </w:rPr>
      </w:pPr>
      <w:r>
        <w:rPr>
          <w:rFonts w:ascii="Arial" w:cs="Arial" w:eastAsia="Arial" w:hAnsi="Arial"/>
          <w:sz w:val="16"/>
          <w:szCs w:val="16"/>
          <w:color w:val="auto"/>
        </w:rPr>
        <w:t>Development and implementation of initiatives that provide long-term economic benefits;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67"/>
        </w:numPr>
        <w:rPr>
          <w:rFonts w:ascii="Arial" w:cs="Arial" w:eastAsia="Arial" w:hAnsi="Arial"/>
          <w:sz w:val="16"/>
          <w:szCs w:val="16"/>
          <w:color w:val="CB233C"/>
        </w:rPr>
      </w:pPr>
      <w:r>
        <w:rPr>
          <w:rFonts w:ascii="Arial" w:cs="Arial" w:eastAsia="Arial" w:hAnsi="Arial"/>
          <w:sz w:val="16"/>
          <w:szCs w:val="16"/>
          <w:color w:val="auto"/>
        </w:rPr>
        <w:t>Accomplishment of strategic objectives; and</w:t>
      </w:r>
    </w:p>
    <w:p>
      <w:pPr>
        <w:spacing w:after="0" w:line="30" w:lineRule="exact"/>
        <w:rPr>
          <w:rFonts w:ascii="Arial" w:cs="Arial" w:eastAsia="Arial" w:hAnsi="Arial"/>
          <w:sz w:val="16"/>
          <w:szCs w:val="16"/>
          <w:color w:val="CB233C"/>
        </w:rPr>
      </w:pPr>
    </w:p>
    <w:p>
      <w:pPr>
        <w:ind w:left="180" w:hanging="172"/>
        <w:spacing w:after="0" w:line="228" w:lineRule="auto"/>
        <w:tabs>
          <w:tab w:leader="none" w:pos="180" w:val="left"/>
        </w:tabs>
        <w:numPr>
          <w:ilvl w:val="0"/>
          <w:numId w:val="67"/>
        </w:numPr>
        <w:rPr>
          <w:rFonts w:ascii="Arial" w:cs="Arial" w:eastAsia="Arial" w:hAnsi="Arial"/>
          <w:sz w:val="32"/>
          <w:szCs w:val="32"/>
          <w:color w:val="CB233C"/>
          <w:vertAlign w:val="superscript"/>
        </w:rPr>
      </w:pPr>
      <w:r>
        <w:rPr>
          <w:rFonts w:ascii="Arial" w:cs="Arial" w:eastAsia="Arial" w:hAnsi="Arial"/>
          <w:sz w:val="16"/>
          <w:szCs w:val="16"/>
          <w:color w:val="auto"/>
        </w:rPr>
        <w:t>Development of management.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See Individual Performance Highlights for the objectives set for Mr. Miller and his performance against those objectives.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Other NEO compensation is determined similarly by evaluating each NEO’s performance and considering the market competitive pay levels of the Comparator Peer Group for the NEO’s position. The Compensation Committee also considers the importance of keeping our management team focused and stable, especially given that other oilfield services companies have aggressively recruited our NEOs and other executives in the past. In fact, over thirty of our former executives have departed to become CEOs and/or senior executives of other oilfield services companies.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CB233C"/>
        </w:rPr>
        <w:t>2021 Performance Peer Group</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For determining PUP award payouts, the Compensation Committee measures ROCE on a relative basis over three years to the results of a performance peer group it selects. The Performance Peer Group used for the PUP is comprised of oilfield equipment and services companies and domestic and international exploration and production companies. This peer group is used for the PUP because these companies represent the timing, cyclicality, and volatility of the oil and natural gas industry and provide an appropriate industry group for measuring our relative performance.</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2021 cycle, the Compensation Committee set the performance measures on a 100% relative ROCE basis with relative performance to be measured as of the three-year period ending December 31, 2023.</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Performance Peer Group used for the 2021 PUP consists of the following companies: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Borders>
              <w:top w:val="single" w:sz="8" w:color="CB233C"/>
            </w:tcBorders>
            <w:shd w:val="clear" w:color="auto" w:fill="EBECEE"/>
          </w:tcPr>
          <w:p>
            <w:pPr>
              <w:jc w:val="center"/>
              <w:spacing w:after="0"/>
              <w:rPr>
                <w:sz w:val="20"/>
                <w:szCs w:val="20"/>
                <w:color w:val="auto"/>
              </w:rPr>
            </w:pPr>
            <w:r>
              <w:rPr>
                <w:rFonts w:ascii="Arial" w:cs="Arial" w:eastAsia="Arial" w:hAnsi="Arial"/>
                <w:sz w:val="16"/>
                <w:szCs w:val="16"/>
                <w:color w:val="auto"/>
              </w:rPr>
              <w:t>Apache Corporation</w:t>
            </w:r>
          </w:p>
        </w:tc>
        <w:tc>
          <w:tcPr>
            <w:tcW w:w="5560" w:type="dxa"/>
            <w:vAlign w:val="bottom"/>
            <w:tcBorders>
              <w:top w:val="single" w:sz="8" w:color="CB233C"/>
            </w:tcBorders>
            <w:shd w:val="clear" w:color="auto" w:fill="EBECEE"/>
          </w:tcPr>
          <w:p>
            <w:pPr>
              <w:jc w:val="center"/>
              <w:spacing w:after="0"/>
              <w:rPr>
                <w:sz w:val="20"/>
                <w:szCs w:val="20"/>
                <w:color w:val="auto"/>
              </w:rPr>
            </w:pPr>
            <w:r>
              <w:rPr>
                <w:rFonts w:ascii="Arial" w:cs="Arial" w:eastAsia="Arial" w:hAnsi="Arial"/>
                <w:sz w:val="16"/>
                <w:szCs w:val="16"/>
                <w:color w:val="auto"/>
              </w:rPr>
              <w:t>Nabors Industries Ltd.</w:t>
            </w:r>
          </w:p>
        </w:tc>
      </w:tr>
      <w:tr>
        <w:trPr>
          <w:trHeight w:val="189"/>
        </w:trPr>
        <w:tc>
          <w:tcPr>
            <w:tcW w:w="5680" w:type="dxa"/>
            <w:vAlign w:val="bottom"/>
          </w:tcPr>
          <w:p>
            <w:pPr>
              <w:jc w:val="center"/>
              <w:spacing w:after="0"/>
              <w:rPr>
                <w:sz w:val="20"/>
                <w:szCs w:val="20"/>
                <w:color w:val="auto"/>
              </w:rPr>
            </w:pPr>
            <w:r>
              <w:rPr>
                <w:rFonts w:ascii="Arial" w:cs="Arial" w:eastAsia="Arial" w:hAnsi="Arial"/>
                <w:sz w:val="16"/>
                <w:szCs w:val="16"/>
                <w:color w:val="auto"/>
              </w:rPr>
              <w:t>Baker Hughes</w:t>
            </w:r>
          </w:p>
        </w:tc>
        <w:tc>
          <w:tcPr>
            <w:tcW w:w="5560" w:type="dxa"/>
            <w:vAlign w:val="bottom"/>
          </w:tcPr>
          <w:p>
            <w:pPr>
              <w:jc w:val="center"/>
              <w:spacing w:after="0"/>
              <w:rPr>
                <w:sz w:val="20"/>
                <w:szCs w:val="20"/>
                <w:color w:val="auto"/>
              </w:rPr>
            </w:pPr>
            <w:r>
              <w:rPr>
                <w:rFonts w:ascii="Arial" w:cs="Arial" w:eastAsia="Arial" w:hAnsi="Arial"/>
                <w:sz w:val="16"/>
                <w:szCs w:val="16"/>
                <w:color w:val="auto"/>
              </w:rPr>
              <w:t>National Oilwell Varco, Inc.</w:t>
            </w:r>
          </w:p>
        </w:tc>
      </w:tr>
      <w:tr>
        <w:trPr>
          <w:trHeight w:val="189"/>
        </w:trPr>
        <w:tc>
          <w:tcPr>
            <w:tcW w:w="5680" w:type="dxa"/>
            <w:vAlign w:val="bottom"/>
            <w:shd w:val="clear" w:color="auto" w:fill="EBECEE"/>
          </w:tcPr>
          <w:p>
            <w:pPr>
              <w:jc w:val="center"/>
              <w:spacing w:after="0"/>
              <w:rPr>
                <w:sz w:val="20"/>
                <w:szCs w:val="20"/>
                <w:color w:val="auto"/>
              </w:rPr>
            </w:pPr>
            <w:r>
              <w:rPr>
                <w:rFonts w:ascii="Arial" w:cs="Arial" w:eastAsia="Arial" w:hAnsi="Arial"/>
                <w:sz w:val="16"/>
                <w:szCs w:val="16"/>
                <w:color w:val="auto"/>
              </w:rPr>
              <w:t>Chesapeake Energy Corporation</w:t>
            </w:r>
          </w:p>
        </w:tc>
        <w:tc>
          <w:tcPr>
            <w:tcW w:w="5560" w:type="dxa"/>
            <w:vAlign w:val="bottom"/>
            <w:shd w:val="clear" w:color="auto" w:fill="EBECEE"/>
          </w:tcPr>
          <w:p>
            <w:pPr>
              <w:jc w:val="center"/>
              <w:spacing w:after="0"/>
              <w:rPr>
                <w:sz w:val="20"/>
                <w:szCs w:val="20"/>
                <w:color w:val="auto"/>
              </w:rPr>
            </w:pPr>
            <w:r>
              <w:rPr>
                <w:rFonts w:ascii="Arial" w:cs="Arial" w:eastAsia="Arial" w:hAnsi="Arial"/>
                <w:sz w:val="16"/>
                <w:szCs w:val="16"/>
                <w:color w:val="auto"/>
              </w:rPr>
              <w:t>Schlumberger Limited</w:t>
            </w:r>
          </w:p>
        </w:tc>
      </w:tr>
      <w:tr>
        <w:trPr>
          <w:trHeight w:val="189"/>
        </w:trPr>
        <w:tc>
          <w:tcPr>
            <w:tcW w:w="5680" w:type="dxa"/>
            <w:vAlign w:val="bottom"/>
          </w:tcPr>
          <w:p>
            <w:pPr>
              <w:jc w:val="center"/>
              <w:spacing w:after="0"/>
              <w:rPr>
                <w:sz w:val="20"/>
                <w:szCs w:val="20"/>
                <w:color w:val="auto"/>
              </w:rPr>
            </w:pPr>
            <w:r>
              <w:rPr>
                <w:rFonts w:ascii="Arial" w:cs="Arial" w:eastAsia="Arial" w:hAnsi="Arial"/>
                <w:sz w:val="16"/>
                <w:szCs w:val="16"/>
                <w:color w:val="auto"/>
              </w:rPr>
              <w:t>Devon Energy Corporation</w:t>
            </w:r>
          </w:p>
        </w:tc>
        <w:tc>
          <w:tcPr>
            <w:tcW w:w="5560" w:type="dxa"/>
            <w:vAlign w:val="bottom"/>
          </w:tcPr>
          <w:p>
            <w:pPr>
              <w:jc w:val="center"/>
              <w:spacing w:after="0"/>
              <w:rPr>
                <w:sz w:val="20"/>
                <w:szCs w:val="20"/>
                <w:color w:val="auto"/>
              </w:rPr>
            </w:pPr>
            <w:r>
              <w:rPr>
                <w:rFonts w:ascii="Arial" w:cs="Arial" w:eastAsia="Arial" w:hAnsi="Arial"/>
                <w:sz w:val="16"/>
                <w:szCs w:val="16"/>
                <w:color w:val="auto"/>
                <w:w w:val="98"/>
              </w:rPr>
              <w:t>TechnipFMC</w:t>
            </w:r>
          </w:p>
        </w:tc>
      </w:tr>
      <w:tr>
        <w:trPr>
          <w:trHeight w:val="189"/>
        </w:trPr>
        <w:tc>
          <w:tcPr>
            <w:tcW w:w="5680" w:type="dxa"/>
            <w:vAlign w:val="bottom"/>
            <w:shd w:val="clear" w:color="auto" w:fill="EBECEE"/>
          </w:tcPr>
          <w:p>
            <w:pPr>
              <w:jc w:val="center"/>
              <w:spacing w:after="0"/>
              <w:rPr>
                <w:sz w:val="20"/>
                <w:szCs w:val="20"/>
                <w:color w:val="auto"/>
              </w:rPr>
            </w:pPr>
            <w:r>
              <w:rPr>
                <w:rFonts w:ascii="Arial" w:cs="Arial" w:eastAsia="Arial" w:hAnsi="Arial"/>
                <w:sz w:val="16"/>
                <w:szCs w:val="16"/>
                <w:color w:val="auto"/>
              </w:rPr>
              <w:t>Hess Corporation</w:t>
            </w:r>
          </w:p>
        </w:tc>
        <w:tc>
          <w:tcPr>
            <w:tcW w:w="5560" w:type="dxa"/>
            <w:vAlign w:val="bottom"/>
            <w:shd w:val="clear" w:color="auto" w:fill="EBECEE"/>
          </w:tcPr>
          <w:p>
            <w:pPr>
              <w:jc w:val="center"/>
              <w:spacing w:after="0"/>
              <w:rPr>
                <w:sz w:val="20"/>
                <w:szCs w:val="20"/>
                <w:color w:val="auto"/>
              </w:rPr>
            </w:pPr>
            <w:r>
              <w:rPr>
                <w:rFonts w:ascii="Arial" w:cs="Arial" w:eastAsia="Arial" w:hAnsi="Arial"/>
                <w:sz w:val="16"/>
                <w:szCs w:val="16"/>
                <w:color w:val="auto"/>
              </w:rPr>
              <w:t>Transocean Ltd.</w:t>
            </w:r>
          </w:p>
        </w:tc>
      </w:tr>
      <w:tr>
        <w:trPr>
          <w:trHeight w:val="189"/>
        </w:trPr>
        <w:tc>
          <w:tcPr>
            <w:tcW w:w="5680" w:type="dxa"/>
            <w:vAlign w:val="bottom"/>
          </w:tcPr>
          <w:p>
            <w:pPr>
              <w:jc w:val="center"/>
              <w:spacing w:after="0"/>
              <w:rPr>
                <w:sz w:val="20"/>
                <w:szCs w:val="20"/>
                <w:color w:val="auto"/>
              </w:rPr>
            </w:pPr>
            <w:r>
              <w:rPr>
                <w:rFonts w:ascii="Arial" w:cs="Arial" w:eastAsia="Arial" w:hAnsi="Arial"/>
                <w:sz w:val="16"/>
                <w:szCs w:val="16"/>
                <w:color w:val="auto"/>
              </w:rPr>
              <w:t>Marathon Oil Corporation</w:t>
            </w:r>
          </w:p>
        </w:tc>
        <w:tc>
          <w:tcPr>
            <w:tcW w:w="5560" w:type="dxa"/>
            <w:vAlign w:val="bottom"/>
          </w:tcPr>
          <w:p>
            <w:pPr>
              <w:jc w:val="center"/>
              <w:spacing w:after="0"/>
              <w:rPr>
                <w:sz w:val="20"/>
                <w:szCs w:val="20"/>
                <w:color w:val="auto"/>
              </w:rPr>
            </w:pPr>
            <w:r>
              <w:rPr>
                <w:rFonts w:ascii="Arial" w:cs="Arial" w:eastAsia="Arial" w:hAnsi="Arial"/>
                <w:sz w:val="16"/>
                <w:szCs w:val="16"/>
                <w:color w:val="auto"/>
              </w:rPr>
              <w:t>Weatherford International plc</w:t>
            </w:r>
          </w:p>
        </w:tc>
      </w:tr>
      <w:tr>
        <w:trPr>
          <w:trHeight w:val="189"/>
        </w:trPr>
        <w:tc>
          <w:tcPr>
            <w:tcW w:w="5680" w:type="dxa"/>
            <w:vAlign w:val="bottom"/>
            <w:tcBorders>
              <w:bottom w:val="single" w:sz="8" w:color="CB233C"/>
            </w:tcBorders>
            <w:shd w:val="clear" w:color="auto" w:fill="EBECEE"/>
          </w:tcPr>
          <w:p>
            <w:pPr>
              <w:jc w:val="center"/>
              <w:spacing w:after="0"/>
              <w:rPr>
                <w:sz w:val="20"/>
                <w:szCs w:val="20"/>
                <w:color w:val="auto"/>
              </w:rPr>
            </w:pPr>
            <w:r>
              <w:rPr>
                <w:rFonts w:ascii="Arial" w:cs="Arial" w:eastAsia="Arial" w:hAnsi="Arial"/>
                <w:sz w:val="16"/>
                <w:szCs w:val="16"/>
                <w:color w:val="auto"/>
              </w:rPr>
              <w:t>Murphy Oil Corporation</w:t>
            </w:r>
          </w:p>
        </w:tc>
        <w:tc>
          <w:tcPr>
            <w:tcW w:w="5560" w:type="dxa"/>
            <w:vAlign w:val="bottom"/>
            <w:tcBorders>
              <w:bottom w:val="single" w:sz="8" w:color="CB233C"/>
            </w:tcBorders>
            <w:shd w:val="clear" w:color="auto" w:fill="EBECEE"/>
          </w:tcPr>
          <w:p>
            <w:pPr>
              <w:jc w:val="center"/>
              <w:spacing w:after="0"/>
              <w:rPr>
                <w:sz w:val="20"/>
                <w:szCs w:val="20"/>
                <w:color w:val="auto"/>
              </w:rPr>
            </w:pPr>
            <w:r>
              <w:rPr>
                <w:rFonts w:ascii="Arial" w:cs="Arial" w:eastAsia="Arial" w:hAnsi="Arial"/>
                <w:sz w:val="16"/>
                <w:szCs w:val="16"/>
                <w:color w:val="auto"/>
              </w:rPr>
              <w:t>The Williams Companies, Inc.</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CB233C"/>
        </w:rPr>
        <w:t>OSX</w:t>
      </w:r>
    </w:p>
    <w:p>
      <w:pPr>
        <w:spacing w:after="0" w:line="19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addition to relative ROCE, the PUP also uses a relative TSR modifier that compares three-year performance against the OSX and can increase or decrease the incentive opportunity payout by 25%. The OSX is comprised of companies that are engaged in the same industry as we are. These are also the same companies with whom we compete for investors’ dollars.</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2021 Executive Compensation Outcomes in Detail</w:t>
      </w:r>
    </w:p>
    <w:p>
      <w:pPr>
        <w:spacing w:after="0" w:line="3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Base Salary</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Compensation Committee generally targets base salaries at the median of the Comparator Peer Group. The Compensation Committee also considers the following factors when setting base salary:</w:t>
      </w:r>
    </w:p>
    <w:p>
      <w:pPr>
        <w:spacing w:after="0" w:line="129"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6"/>
          <w:szCs w:val="16"/>
          <w:color w:val="CB233C"/>
        </w:rPr>
      </w:pPr>
      <w:r>
        <w:rPr>
          <w:rFonts w:ascii="Arial" w:cs="Arial" w:eastAsia="Arial" w:hAnsi="Arial"/>
          <w:sz w:val="16"/>
          <w:szCs w:val="16"/>
          <w:color w:val="auto"/>
        </w:rPr>
        <w:t>Level of responsibility;</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68"/>
        </w:numPr>
        <w:rPr>
          <w:rFonts w:ascii="Arial" w:cs="Arial" w:eastAsia="Arial" w:hAnsi="Arial"/>
          <w:sz w:val="16"/>
          <w:szCs w:val="16"/>
          <w:color w:val="CB233C"/>
        </w:rPr>
      </w:pPr>
      <w:r>
        <w:rPr>
          <w:rFonts w:ascii="Arial" w:cs="Arial" w:eastAsia="Arial" w:hAnsi="Arial"/>
          <w:sz w:val="16"/>
          <w:szCs w:val="16"/>
          <w:color w:val="auto"/>
        </w:rPr>
        <w:t>Experience in current role and equitable compensation relationships among internal peers;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68"/>
        </w:numPr>
        <w:rPr>
          <w:rFonts w:ascii="Arial" w:cs="Arial" w:eastAsia="Arial" w:hAnsi="Arial"/>
          <w:sz w:val="16"/>
          <w:szCs w:val="16"/>
          <w:color w:val="CB233C"/>
        </w:rPr>
      </w:pPr>
      <w:r>
        <w:rPr>
          <w:rFonts w:ascii="Arial" w:cs="Arial" w:eastAsia="Arial" w:hAnsi="Arial"/>
          <w:sz w:val="16"/>
          <w:szCs w:val="16"/>
          <w:color w:val="auto"/>
        </w:rPr>
        <w:t>Performance and leadership; and</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68"/>
        </w:numPr>
        <w:rPr>
          <w:rFonts w:ascii="Arial" w:cs="Arial" w:eastAsia="Arial" w:hAnsi="Arial"/>
          <w:sz w:val="16"/>
          <w:szCs w:val="16"/>
          <w:color w:val="CB233C"/>
        </w:rPr>
      </w:pPr>
      <w:r>
        <w:rPr>
          <w:rFonts w:ascii="Arial" w:cs="Arial" w:eastAsia="Arial" w:hAnsi="Arial"/>
          <w:sz w:val="16"/>
          <w:szCs w:val="16"/>
          <w:color w:val="auto"/>
        </w:rPr>
        <w:t>External factors involving competitive positioning, general economic conditions, and marketplace compensation trends.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 specific formula is applied to determine the weight of each factor.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Salary reviews are conducted annually to evaluate each executive. Individual salaries are not necessarily adjusted each year.</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response to the substantial decline in global demand for oil caused by the COVID-19 pandemic, as well as the impact of the pandemic on the broader economic environment and our business, Mr. Miller and the other NEOs voluntarily reduced their base salaries by 20% and 10%, respectively, effective May 1, 2020.</w:t>
      </w:r>
    </w:p>
    <w:p>
      <w:pPr>
        <w:spacing w:after="0" w:line="14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At its regular December 2020 meeting, the Compensation Committee determined that base salaries for our NEOs would be reinstated to their pre-reduction January 1, 2020, levels on January 1, 2021.</w:t>
      </w:r>
    </w:p>
    <w:p>
      <w:pPr>
        <w:spacing w:after="0" w:line="223" w:lineRule="exact"/>
        <w:rPr>
          <w:sz w:val="20"/>
          <w:szCs w:val="20"/>
          <w:color w:val="auto"/>
        </w:r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754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Short-Term (Annual) Incentive</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Annual Performance Pay Plan is designed to provide executives and other key members of management the opportunity to earn an annual cash bonus based on the annual performance of the Company. The Annual Performance Pay Plan places a significant percentage of each NEO’s annual cash compensation at risk and aligns the interests of executives and shareholders. It is administered in accordance with the terms of the Stock and Incentive Plan.</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CB233C"/>
        </w:rPr>
        <w:t>Impact of the Macroeconomic Environment and COVID-19 on Our Approach to Annual Incentives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Given the market uncertainty and continuing business challenges driven by the COVID-19 pandemic, the Compensation Committee decided at the onset of 2021 that it would replace its traditional 12-month performance period with two, six-month performance periods that would run from January 1, 2021, through</w:t>
      </w:r>
    </w:p>
    <w:p>
      <w:pPr>
        <w:jc w:val="both"/>
        <w:spacing w:after="0" w:line="184" w:lineRule="auto"/>
        <w:rPr>
          <w:sz w:val="20"/>
          <w:szCs w:val="20"/>
          <w:color w:val="auto"/>
        </w:rPr>
      </w:pPr>
      <w:r>
        <w:rPr>
          <w:rFonts w:ascii="Arial" w:cs="Arial" w:eastAsia="Arial" w:hAnsi="Arial"/>
          <w:sz w:val="16"/>
          <w:szCs w:val="16"/>
          <w:color w:val="auto"/>
        </w:rPr>
        <w:t>June 30, 2021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performance period), and July 1, 2021, through December 31, 2021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performance period). Given the economic uncertainty, this split plan-year approach provided the Committee the agility mid-year to ensure that the performance goals for the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performance period were appropriately rigorous. This resulted in more challenging performance goals for the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half of the year than for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half of the year. Specifically, the threshold</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performance goals for the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performance period the Committee set were higher than both the maximum performance goals and actual results for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performance period. The aggregate performance goals would have been lower if established for a 12-month performance period.</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CB233C"/>
        </w:rPr>
        <w:t>2021 Target Award Opportunities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Individual incentive award opportunities are established as a percentage of base salary at the beginning of the plan year based on market competitive targets. The maximum award a NEO can receive is limited to two times the target opportunity level. The level of achievement of annual performance determines the dollar amount of incentive compensation payable to participants following completion of the plan year. The Compensation Committee set incentive award opportunities under the plan for 2021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Borders>
              <w:bottom w:val="single" w:sz="8" w:color="CB233C"/>
            </w:tcBorders>
          </w:tcPr>
          <w:p>
            <w:pPr>
              <w:ind w:left="60"/>
              <w:spacing w:after="0"/>
              <w:rPr>
                <w:sz w:val="20"/>
                <w:szCs w:val="20"/>
                <w:color w:val="auto"/>
              </w:rPr>
            </w:pPr>
            <w:r>
              <w:rPr>
                <w:rFonts w:ascii="Arial" w:cs="Arial" w:eastAsia="Arial" w:hAnsi="Arial"/>
                <w:sz w:val="16"/>
                <w:szCs w:val="16"/>
                <w:b w:val="1"/>
                <w:bCs w:val="1"/>
                <w:color w:val="auto"/>
              </w:rPr>
              <w:t>NEO</w:t>
            </w:r>
          </w:p>
        </w:tc>
        <w:tc>
          <w:tcPr>
            <w:tcW w:w="4580" w:type="dxa"/>
            <w:vAlign w:val="bottom"/>
            <w:tcBorders>
              <w:bottom w:val="single" w:sz="8" w:color="CB233C"/>
            </w:tcBorders>
          </w:tcPr>
          <w:p>
            <w:pPr>
              <w:jc w:val="right"/>
              <w:ind w:right="399"/>
              <w:spacing w:after="0"/>
              <w:rPr>
                <w:sz w:val="20"/>
                <w:szCs w:val="20"/>
                <w:color w:val="auto"/>
              </w:rPr>
            </w:pPr>
            <w:r>
              <w:rPr>
                <w:rFonts w:ascii="Arial" w:cs="Arial" w:eastAsia="Arial" w:hAnsi="Arial"/>
                <w:sz w:val="16"/>
                <w:szCs w:val="16"/>
                <w:b w:val="1"/>
                <w:bCs w:val="1"/>
                <w:color w:val="auto"/>
              </w:rPr>
              <w:t>Threshold</w:t>
            </w:r>
          </w:p>
        </w:tc>
        <w:tc>
          <w:tcPr>
            <w:tcW w:w="1300" w:type="dxa"/>
            <w:vAlign w:val="bottom"/>
            <w:tcBorders>
              <w:bottom w:val="single" w:sz="8" w:color="CB233C"/>
            </w:tcBorders>
          </w:tcPr>
          <w:p>
            <w:pPr>
              <w:jc w:val="right"/>
              <w:ind w:right="239"/>
              <w:spacing w:after="0"/>
              <w:rPr>
                <w:sz w:val="20"/>
                <w:szCs w:val="20"/>
                <w:color w:val="auto"/>
              </w:rPr>
            </w:pPr>
            <w:r>
              <w:rPr>
                <w:rFonts w:ascii="Arial" w:cs="Arial" w:eastAsia="Arial" w:hAnsi="Arial"/>
                <w:sz w:val="16"/>
                <w:szCs w:val="16"/>
                <w:b w:val="1"/>
                <w:bCs w:val="1"/>
                <w:color w:val="auto"/>
              </w:rPr>
              <w:t>Target</w:t>
            </w:r>
          </w:p>
        </w:tc>
        <w:tc>
          <w:tcPr>
            <w:tcW w:w="112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Maximum</w:t>
            </w:r>
          </w:p>
        </w:tc>
      </w:tr>
      <w:tr>
        <w:trPr>
          <w:trHeight w:val="183"/>
        </w:trPr>
        <w:tc>
          <w:tcPr>
            <w:tcW w:w="4240" w:type="dxa"/>
            <w:vAlign w:val="bottom"/>
            <w:shd w:val="clear" w:color="auto" w:fill="EBECEE"/>
          </w:tcPr>
          <w:p>
            <w:pPr>
              <w:ind w:left="60"/>
              <w:spacing w:after="0" w:line="183" w:lineRule="exact"/>
              <w:rPr>
                <w:sz w:val="20"/>
                <w:szCs w:val="20"/>
                <w:color w:val="auto"/>
              </w:rPr>
            </w:pPr>
            <w:r>
              <w:rPr>
                <w:rFonts w:ascii="Arial" w:cs="Arial" w:eastAsia="Arial" w:hAnsi="Arial"/>
                <w:sz w:val="16"/>
                <w:szCs w:val="16"/>
                <w:b w:val="1"/>
                <w:bCs w:val="1"/>
                <w:color w:val="auto"/>
              </w:rPr>
              <w:t>Mr. Miller</w:t>
            </w:r>
          </w:p>
        </w:tc>
        <w:tc>
          <w:tcPr>
            <w:tcW w:w="4580" w:type="dxa"/>
            <w:vAlign w:val="bottom"/>
            <w:shd w:val="clear" w:color="auto" w:fill="EBECEE"/>
          </w:tcPr>
          <w:p>
            <w:pPr>
              <w:jc w:val="right"/>
              <w:ind w:right="399"/>
              <w:spacing w:after="0" w:line="183" w:lineRule="exact"/>
              <w:rPr>
                <w:sz w:val="20"/>
                <w:szCs w:val="20"/>
                <w:color w:val="auto"/>
              </w:rPr>
            </w:pPr>
            <w:r>
              <w:rPr>
                <w:rFonts w:ascii="Arial" w:cs="Arial" w:eastAsia="Arial" w:hAnsi="Arial"/>
                <w:sz w:val="16"/>
                <w:szCs w:val="16"/>
                <w:color w:val="auto"/>
              </w:rPr>
              <w:t>60%</w:t>
            </w:r>
          </w:p>
        </w:tc>
        <w:tc>
          <w:tcPr>
            <w:tcW w:w="1300" w:type="dxa"/>
            <w:vAlign w:val="bottom"/>
            <w:shd w:val="clear" w:color="auto" w:fill="EBECEE"/>
          </w:tcPr>
          <w:p>
            <w:pPr>
              <w:jc w:val="right"/>
              <w:ind w:right="239"/>
              <w:spacing w:after="0" w:line="183" w:lineRule="exact"/>
              <w:rPr>
                <w:sz w:val="20"/>
                <w:szCs w:val="20"/>
                <w:color w:val="auto"/>
              </w:rPr>
            </w:pPr>
            <w:r>
              <w:rPr>
                <w:rFonts w:ascii="Arial" w:cs="Arial" w:eastAsia="Arial" w:hAnsi="Arial"/>
                <w:sz w:val="16"/>
                <w:szCs w:val="16"/>
                <w:color w:val="auto"/>
              </w:rPr>
              <w:t>150%</w:t>
            </w:r>
          </w:p>
        </w:tc>
        <w:tc>
          <w:tcPr>
            <w:tcW w:w="1120" w:type="dxa"/>
            <w:vAlign w:val="bottom"/>
            <w:shd w:val="clear" w:color="auto" w:fill="EBECEE"/>
          </w:tcPr>
          <w:p>
            <w:pPr>
              <w:jc w:val="right"/>
              <w:spacing w:after="0" w:line="183" w:lineRule="exact"/>
              <w:rPr>
                <w:sz w:val="20"/>
                <w:szCs w:val="20"/>
                <w:color w:val="auto"/>
              </w:rPr>
            </w:pPr>
            <w:r>
              <w:rPr>
                <w:rFonts w:ascii="Arial" w:cs="Arial" w:eastAsia="Arial" w:hAnsi="Arial"/>
                <w:sz w:val="16"/>
                <w:szCs w:val="16"/>
                <w:color w:val="auto"/>
              </w:rPr>
              <w:t>300%</w:t>
            </w:r>
          </w:p>
        </w:tc>
      </w:tr>
      <w:tr>
        <w:trPr>
          <w:trHeight w:val="189"/>
        </w:trPr>
        <w:tc>
          <w:tcPr>
            <w:tcW w:w="4240" w:type="dxa"/>
            <w:vAlign w:val="bottom"/>
          </w:tcPr>
          <w:p>
            <w:pPr>
              <w:ind w:left="60"/>
              <w:spacing w:after="0"/>
              <w:rPr>
                <w:sz w:val="20"/>
                <w:szCs w:val="20"/>
                <w:color w:val="auto"/>
              </w:rPr>
            </w:pPr>
            <w:r>
              <w:rPr>
                <w:rFonts w:ascii="Arial" w:cs="Arial" w:eastAsia="Arial" w:hAnsi="Arial"/>
                <w:sz w:val="16"/>
                <w:szCs w:val="16"/>
                <w:b w:val="1"/>
                <w:bCs w:val="1"/>
                <w:color w:val="auto"/>
              </w:rPr>
              <w:t>Mr. Loeffler</w:t>
            </w:r>
          </w:p>
        </w:tc>
        <w:tc>
          <w:tcPr>
            <w:tcW w:w="4580" w:type="dxa"/>
            <w:vAlign w:val="bottom"/>
          </w:tcPr>
          <w:p>
            <w:pPr>
              <w:jc w:val="right"/>
              <w:ind w:right="399"/>
              <w:spacing w:after="0"/>
              <w:rPr>
                <w:sz w:val="20"/>
                <w:szCs w:val="20"/>
                <w:color w:val="auto"/>
              </w:rPr>
            </w:pPr>
            <w:r>
              <w:rPr>
                <w:rFonts w:ascii="Arial" w:cs="Arial" w:eastAsia="Arial" w:hAnsi="Arial"/>
                <w:sz w:val="16"/>
                <w:szCs w:val="16"/>
                <w:color w:val="auto"/>
              </w:rPr>
              <w:t>40%</w:t>
            </w: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100%</w:t>
            </w:r>
          </w:p>
        </w:tc>
        <w:tc>
          <w:tcPr>
            <w:tcW w:w="112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189"/>
        </w:trPr>
        <w:tc>
          <w:tcPr>
            <w:tcW w:w="4240" w:type="dxa"/>
            <w:vAlign w:val="bottom"/>
            <w:shd w:val="clear" w:color="auto" w:fill="EBECEE"/>
          </w:tcPr>
          <w:p>
            <w:pPr>
              <w:ind w:left="60"/>
              <w:spacing w:after="0"/>
              <w:rPr>
                <w:sz w:val="20"/>
                <w:szCs w:val="20"/>
                <w:color w:val="auto"/>
              </w:rPr>
            </w:pPr>
            <w:r>
              <w:rPr>
                <w:rFonts w:ascii="Arial" w:cs="Arial" w:eastAsia="Arial" w:hAnsi="Arial"/>
                <w:sz w:val="16"/>
                <w:szCs w:val="16"/>
                <w:b w:val="1"/>
                <w:bCs w:val="1"/>
                <w:color w:val="auto"/>
              </w:rPr>
              <w:t>Mr. Carre</w:t>
            </w:r>
          </w:p>
        </w:tc>
        <w:tc>
          <w:tcPr>
            <w:tcW w:w="4580" w:type="dxa"/>
            <w:vAlign w:val="bottom"/>
            <w:shd w:val="clear" w:color="auto" w:fill="EBECEE"/>
          </w:tcPr>
          <w:p>
            <w:pPr>
              <w:jc w:val="right"/>
              <w:ind w:right="399"/>
              <w:spacing w:after="0"/>
              <w:rPr>
                <w:sz w:val="20"/>
                <w:szCs w:val="20"/>
                <w:color w:val="auto"/>
              </w:rPr>
            </w:pPr>
            <w:r>
              <w:rPr>
                <w:rFonts w:ascii="Arial" w:cs="Arial" w:eastAsia="Arial" w:hAnsi="Arial"/>
                <w:sz w:val="16"/>
                <w:szCs w:val="16"/>
                <w:color w:val="auto"/>
              </w:rPr>
              <w:t>40%</w:t>
            </w:r>
          </w:p>
        </w:tc>
        <w:tc>
          <w:tcPr>
            <w:tcW w:w="1300" w:type="dxa"/>
            <w:vAlign w:val="bottom"/>
            <w:shd w:val="clear" w:color="auto" w:fill="EBECEE"/>
          </w:tcPr>
          <w:p>
            <w:pPr>
              <w:jc w:val="right"/>
              <w:ind w:right="239"/>
              <w:spacing w:after="0"/>
              <w:rPr>
                <w:sz w:val="20"/>
                <w:szCs w:val="20"/>
                <w:color w:val="auto"/>
              </w:rPr>
            </w:pPr>
            <w:r>
              <w:rPr>
                <w:rFonts w:ascii="Arial" w:cs="Arial" w:eastAsia="Arial" w:hAnsi="Arial"/>
                <w:sz w:val="16"/>
                <w:szCs w:val="16"/>
                <w:color w:val="auto"/>
              </w:rPr>
              <w:t>100%</w:t>
            </w:r>
          </w:p>
        </w:tc>
        <w:tc>
          <w:tcPr>
            <w:tcW w:w="1120" w:type="dxa"/>
            <w:vAlign w:val="bottom"/>
            <w:shd w:val="clear" w:color="auto" w:fill="EBECEE"/>
          </w:tcPr>
          <w:p>
            <w:pPr>
              <w:jc w:val="right"/>
              <w:spacing w:after="0"/>
              <w:rPr>
                <w:sz w:val="20"/>
                <w:szCs w:val="20"/>
                <w:color w:val="auto"/>
              </w:rPr>
            </w:pPr>
            <w:r>
              <w:rPr>
                <w:rFonts w:ascii="Arial" w:cs="Arial" w:eastAsia="Arial" w:hAnsi="Arial"/>
                <w:sz w:val="16"/>
                <w:szCs w:val="16"/>
                <w:color w:val="auto"/>
              </w:rPr>
              <w:t>200%</w:t>
            </w:r>
          </w:p>
        </w:tc>
      </w:tr>
      <w:tr>
        <w:trPr>
          <w:trHeight w:val="189"/>
        </w:trPr>
        <w:tc>
          <w:tcPr>
            <w:tcW w:w="4240" w:type="dxa"/>
            <w:vAlign w:val="bottom"/>
          </w:tcPr>
          <w:p>
            <w:pPr>
              <w:ind w:left="60"/>
              <w:spacing w:after="0"/>
              <w:rPr>
                <w:sz w:val="20"/>
                <w:szCs w:val="20"/>
                <w:color w:val="auto"/>
              </w:rPr>
            </w:pPr>
            <w:r>
              <w:rPr>
                <w:rFonts w:ascii="Arial" w:cs="Arial" w:eastAsia="Arial" w:hAnsi="Arial"/>
                <w:sz w:val="16"/>
                <w:szCs w:val="16"/>
                <w:b w:val="1"/>
                <w:bCs w:val="1"/>
                <w:color w:val="auto"/>
              </w:rPr>
              <w:t>Mr. Rainey</w:t>
            </w:r>
          </w:p>
        </w:tc>
        <w:tc>
          <w:tcPr>
            <w:tcW w:w="4580" w:type="dxa"/>
            <w:vAlign w:val="bottom"/>
          </w:tcPr>
          <w:p>
            <w:pPr>
              <w:jc w:val="right"/>
              <w:ind w:right="399"/>
              <w:spacing w:after="0"/>
              <w:rPr>
                <w:sz w:val="20"/>
                <w:szCs w:val="20"/>
                <w:color w:val="auto"/>
              </w:rPr>
            </w:pPr>
            <w:r>
              <w:rPr>
                <w:rFonts w:ascii="Arial" w:cs="Arial" w:eastAsia="Arial" w:hAnsi="Arial"/>
                <w:sz w:val="16"/>
                <w:szCs w:val="16"/>
                <w:color w:val="auto"/>
              </w:rPr>
              <w:t>44%</w:t>
            </w: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110%</w:t>
            </w:r>
          </w:p>
        </w:tc>
        <w:tc>
          <w:tcPr>
            <w:tcW w:w="112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189"/>
        </w:trPr>
        <w:tc>
          <w:tcPr>
            <w:tcW w:w="4240" w:type="dxa"/>
            <w:vAlign w:val="bottom"/>
            <w:tcBorders>
              <w:bottom w:val="single" w:sz="8" w:color="CB233C"/>
            </w:tcBorders>
            <w:shd w:val="clear" w:color="auto" w:fill="EBECEE"/>
          </w:tcPr>
          <w:p>
            <w:pPr>
              <w:ind w:left="60"/>
              <w:spacing w:after="0"/>
              <w:rPr>
                <w:sz w:val="20"/>
                <w:szCs w:val="20"/>
                <w:color w:val="auto"/>
              </w:rPr>
            </w:pPr>
            <w:r>
              <w:rPr>
                <w:rFonts w:ascii="Arial" w:cs="Arial" w:eastAsia="Arial" w:hAnsi="Arial"/>
                <w:sz w:val="16"/>
                <w:szCs w:val="16"/>
                <w:b w:val="1"/>
                <w:bCs w:val="1"/>
                <w:color w:val="auto"/>
              </w:rPr>
              <w:t>Mr. Richard</w:t>
            </w:r>
          </w:p>
        </w:tc>
        <w:tc>
          <w:tcPr>
            <w:tcW w:w="4580" w:type="dxa"/>
            <w:vAlign w:val="bottom"/>
            <w:tcBorders>
              <w:bottom w:val="single" w:sz="8" w:color="CB233C"/>
            </w:tcBorders>
            <w:shd w:val="clear" w:color="auto" w:fill="EBECEE"/>
          </w:tcPr>
          <w:p>
            <w:pPr>
              <w:jc w:val="right"/>
              <w:ind w:right="399"/>
              <w:spacing w:after="0"/>
              <w:rPr>
                <w:sz w:val="20"/>
                <w:szCs w:val="20"/>
                <w:color w:val="auto"/>
              </w:rPr>
            </w:pPr>
            <w:r>
              <w:rPr>
                <w:rFonts w:ascii="Arial" w:cs="Arial" w:eastAsia="Arial" w:hAnsi="Arial"/>
                <w:sz w:val="16"/>
                <w:szCs w:val="16"/>
                <w:color w:val="auto"/>
              </w:rPr>
              <w:t>44%</w:t>
            </w:r>
          </w:p>
        </w:tc>
        <w:tc>
          <w:tcPr>
            <w:tcW w:w="1300" w:type="dxa"/>
            <w:vAlign w:val="bottom"/>
            <w:tcBorders>
              <w:bottom w:val="single" w:sz="8" w:color="CB233C"/>
            </w:tcBorders>
            <w:shd w:val="clear" w:color="auto" w:fill="EBECEE"/>
          </w:tcPr>
          <w:p>
            <w:pPr>
              <w:jc w:val="right"/>
              <w:ind w:right="239"/>
              <w:spacing w:after="0"/>
              <w:rPr>
                <w:sz w:val="20"/>
                <w:szCs w:val="20"/>
                <w:color w:val="auto"/>
              </w:rPr>
            </w:pPr>
            <w:r>
              <w:rPr>
                <w:rFonts w:ascii="Arial" w:cs="Arial" w:eastAsia="Arial" w:hAnsi="Arial"/>
                <w:sz w:val="16"/>
                <w:szCs w:val="16"/>
                <w:color w:val="auto"/>
              </w:rPr>
              <w:t>110%</w:t>
            </w:r>
          </w:p>
        </w:tc>
        <w:tc>
          <w:tcPr>
            <w:tcW w:w="1120" w:type="dxa"/>
            <w:vAlign w:val="bottom"/>
            <w:tcBorders>
              <w:bottom w:val="single" w:sz="8" w:color="CB233C"/>
            </w:tcBorders>
            <w:shd w:val="clear" w:color="auto" w:fill="EBECEE"/>
          </w:tcPr>
          <w:p>
            <w:pPr>
              <w:jc w:val="right"/>
              <w:spacing w:after="0"/>
              <w:rPr>
                <w:sz w:val="20"/>
                <w:szCs w:val="20"/>
                <w:color w:val="auto"/>
              </w:rPr>
            </w:pPr>
            <w:r>
              <w:rPr>
                <w:rFonts w:ascii="Arial" w:cs="Arial" w:eastAsia="Arial" w:hAnsi="Arial"/>
                <w:sz w:val="16"/>
                <w:szCs w:val="16"/>
                <w:color w:val="auto"/>
              </w:rPr>
              <w:t>220%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Threshold, Target, and Maximum opportunity dollar amounts can be found in the Grants of Plan-Based Awards in Fiscal 2021 table.</w:t>
      </w:r>
    </w:p>
    <w:p>
      <w:pPr>
        <w:spacing w:after="0" w:line="19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886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CB233C"/>
        </w:rPr>
        <w:t>2021 Financial Performance Metrics and Results</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2021, as discussed above, performance under the Annual Performance Pay Plan was based on the achievement of pre-established performance metrics: Net Operating Profit After-Taxes (NOPAT) and Asset Turns. The Compensation Committee selected these metrics because they are key financial measures upon which we set our performance expectations for the year and place an increased emphasis on free cash flow and capital discipline.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100330</wp:posOffset>
            </wp:positionV>
            <wp:extent cx="4465955" cy="33775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465955"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4"/>
          <w:szCs w:val="14"/>
          <w:i w:val="1"/>
          <w:iCs w:val="1"/>
          <w:color w:val="auto"/>
        </w:rPr>
      </w:pPr>
      <w:r>
        <w:rPr>
          <w:rFonts w:ascii="Arial" w:cs="Arial" w:eastAsia="Arial" w:hAnsi="Arial"/>
          <w:sz w:val="14"/>
          <w:szCs w:val="14"/>
          <w:i w:val="1"/>
          <w:iCs w:val="1"/>
          <w:color w:val="auto"/>
        </w:rPr>
        <w:t>Average Net Assets excludes cash and marketable investments, and current and non-current deferred income tax assets.</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69"/>
        </w:numPr>
        <w:rPr>
          <w:rFonts w:ascii="Arial" w:cs="Arial" w:eastAsia="Arial" w:hAnsi="Arial"/>
          <w:sz w:val="14"/>
          <w:szCs w:val="14"/>
          <w:i w:val="1"/>
          <w:iCs w:val="1"/>
          <w:color w:val="auto"/>
        </w:rPr>
      </w:pPr>
      <w:r>
        <w:rPr>
          <w:rFonts w:ascii="Arial" w:cs="Arial" w:eastAsia="Arial" w:hAnsi="Arial"/>
          <w:sz w:val="14"/>
          <w:szCs w:val="14"/>
          <w:i w:val="1"/>
          <w:iCs w:val="1"/>
          <w:color w:val="auto"/>
        </w:rPr>
        <w:t>Average Net Liabilities excludes current and long-term debt, which includes finance lease liabilities, and non-current deferred income tax liability.</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Adjustments in the calculation of NOPAT and Asset Turns may, at times, be approved by the Compensation Committee and can include the treatment of unusual items that may have impacted our actual results.</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At the beginning of each plan year, the Compensation Committee approves an incentive award schedule that equates levels of performance with cash reward opportunities. The performance goals range from “Threshold” to “Target” to “Maximum”. Threshold reflects the minimum performance level which must be achieved for an award to be earned and Maximum reflects the maximum awards that can be earned.</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Traditionally, the performance goals are based on our annual operating plan, as reviewed and approved by our Board, and are set at levels to meet or exceed shareholder expectations of our performance, as well as expectations of the relative performance to our competitors. Given the cyclical nature of our business, our performance goals vary from year to year, which can similarly impact the difficulty in achieving the goals. The Compensation Committee may also consider other business performance factors that are important to our investors, including health, safety, environment, and service quality, in determining the final payout amounts under the Annual Performance Pay Plan.</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For both performance periods, the Compensation Committee set performance goals for our NEOs based on Company-wide consolidated NOPAT results. Threshold NOPAT was based on 90% of planned Operating Income, Target NOPAT on 100% of planned Operating Income, and Maximum NOPAT on 110% of planned Operating Income. Threshold Asset Turns was based on 98% of planned Revenues, Target Asset Turns on 100% of planned Revenues, and Maximum Asset Turns on 102% of planned Revenues. Net Invested Capital was based on 100% of our operating plan in all performance range scenarios.</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Compensation Committee set the 2021 award levels, targeted to the market median, for our NEOs based on the Company-wide consolidated NOPAT and Asset Turns results.</w:t>
      </w:r>
    </w:p>
    <w:p>
      <w:pPr>
        <w:spacing w:after="0" w:line="129" w:lineRule="exact"/>
        <w:rPr>
          <w:sz w:val="20"/>
          <w:szCs w:val="20"/>
          <w:color w:val="auto"/>
        </w:r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754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The performance goals for both performance periods are noted in the table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Borders>
              <w:bottom w:val="single" w:sz="8" w:color="CB233C"/>
            </w:tcBorders>
          </w:tcPr>
          <w:p>
            <w:pPr>
              <w:spacing w:after="0"/>
              <w:rPr>
                <w:sz w:val="17"/>
                <w:szCs w:val="17"/>
                <w:color w:val="auto"/>
              </w:rPr>
            </w:pPr>
          </w:p>
        </w:tc>
        <w:tc>
          <w:tcPr>
            <w:tcW w:w="1540" w:type="dxa"/>
            <w:vAlign w:val="bottom"/>
            <w:tcBorders>
              <w:bottom w:val="single" w:sz="8" w:color="CB233C"/>
            </w:tcBorders>
          </w:tcPr>
          <w:p>
            <w:pPr>
              <w:spacing w:after="0"/>
              <w:rPr>
                <w:sz w:val="17"/>
                <w:szCs w:val="17"/>
                <w:color w:val="auto"/>
              </w:rPr>
            </w:pPr>
          </w:p>
        </w:tc>
        <w:tc>
          <w:tcPr>
            <w:tcW w:w="1080" w:type="dxa"/>
            <w:vAlign w:val="bottom"/>
            <w:tcBorders>
              <w:bottom w:val="single" w:sz="8" w:color="CB233C"/>
            </w:tcBorders>
          </w:tcPr>
          <w:p>
            <w:pPr>
              <w:spacing w:after="0"/>
              <w:rPr>
                <w:sz w:val="17"/>
                <w:szCs w:val="17"/>
                <w:color w:val="auto"/>
              </w:rPr>
            </w:pPr>
          </w:p>
        </w:tc>
        <w:tc>
          <w:tcPr>
            <w:tcW w:w="2180" w:type="dxa"/>
            <w:vAlign w:val="bottom"/>
            <w:tcBorders>
              <w:bottom w:val="single" w:sz="8" w:color="CB233C"/>
            </w:tcBorders>
            <w:gridSpan w:val="2"/>
          </w:tcPr>
          <w:p>
            <w:pPr>
              <w:jc w:val="right"/>
              <w:ind w:right="419"/>
              <w:spacing w:after="0"/>
              <w:rPr>
                <w:sz w:val="20"/>
                <w:szCs w:val="20"/>
                <w:color w:val="auto"/>
              </w:rPr>
            </w:pPr>
            <w:r>
              <w:rPr>
                <w:rFonts w:ascii="Arial" w:cs="Arial" w:eastAsia="Arial" w:hAnsi="Arial"/>
                <w:sz w:val="16"/>
                <w:szCs w:val="16"/>
                <w:b w:val="1"/>
                <w:bCs w:val="1"/>
                <w:color w:val="auto"/>
              </w:rPr>
              <w:t>Performance Range</w:t>
            </w:r>
          </w:p>
        </w:tc>
        <w:tc>
          <w:tcPr>
            <w:tcW w:w="1120" w:type="dxa"/>
            <w:vAlign w:val="bottom"/>
            <w:tcBorders>
              <w:bottom w:val="single" w:sz="8" w:color="CB233C"/>
            </w:tcBorders>
          </w:tcPr>
          <w:p>
            <w:pPr>
              <w:spacing w:after="0"/>
              <w:rPr>
                <w:sz w:val="17"/>
                <w:szCs w:val="17"/>
                <w:color w:val="auto"/>
              </w:rPr>
            </w:pPr>
          </w:p>
        </w:tc>
        <w:tc>
          <w:tcPr>
            <w:tcW w:w="920" w:type="dxa"/>
            <w:vAlign w:val="bottom"/>
            <w:tcBorders>
              <w:bottom w:val="single" w:sz="8" w:color="CB233C"/>
            </w:tcBorders>
          </w:tcPr>
          <w:p>
            <w:pPr>
              <w:spacing w:after="0"/>
              <w:rPr>
                <w:sz w:val="17"/>
                <w:szCs w:val="17"/>
                <w:color w:val="auto"/>
              </w:rPr>
            </w:pPr>
          </w:p>
        </w:tc>
      </w:tr>
      <w:tr>
        <w:trPr>
          <w:trHeight w:val="196"/>
        </w:trPr>
        <w:tc>
          <w:tcPr>
            <w:tcW w:w="4400" w:type="dxa"/>
            <w:vAlign w:val="bottom"/>
            <w:tcBorders>
              <w:bottom w:val="single" w:sz="8" w:color="CB233C"/>
            </w:tcBorders>
          </w:tcPr>
          <w:p>
            <w:pPr>
              <w:ind w:left="60"/>
              <w:spacing w:after="0"/>
              <w:rPr>
                <w:sz w:val="20"/>
                <w:szCs w:val="20"/>
                <w:color w:val="auto"/>
              </w:rPr>
            </w:pPr>
            <w:r>
              <w:rPr>
                <w:rFonts w:ascii="Arial" w:cs="Arial" w:eastAsia="Arial" w:hAnsi="Arial"/>
                <w:sz w:val="16"/>
                <w:szCs w:val="16"/>
                <w:b w:val="1"/>
                <w:bCs w:val="1"/>
                <w:color w:val="auto"/>
              </w:rPr>
              <w:t>Performance Period</w:t>
            </w:r>
          </w:p>
        </w:tc>
        <w:tc>
          <w:tcPr>
            <w:tcW w:w="1540" w:type="dxa"/>
            <w:vAlign w:val="bottom"/>
            <w:tcBorders>
              <w:bottom w:val="single" w:sz="8" w:color="CB233C"/>
            </w:tcBorders>
          </w:tcPr>
          <w:p>
            <w:pPr>
              <w:jc w:val="right"/>
              <w:ind w:right="99"/>
              <w:spacing w:after="0"/>
              <w:rPr>
                <w:sz w:val="20"/>
                <w:szCs w:val="20"/>
                <w:color w:val="auto"/>
              </w:rPr>
            </w:pPr>
            <w:r>
              <w:rPr>
                <w:rFonts w:ascii="Arial" w:cs="Arial" w:eastAsia="Arial" w:hAnsi="Arial"/>
                <w:sz w:val="16"/>
                <w:szCs w:val="16"/>
                <w:b w:val="1"/>
                <w:bCs w:val="1"/>
                <w:color w:val="auto"/>
              </w:rPr>
              <w:t>Metrics</w:t>
            </w:r>
          </w:p>
        </w:tc>
        <w:tc>
          <w:tcPr>
            <w:tcW w:w="1080" w:type="dxa"/>
            <w:vAlign w:val="bottom"/>
            <w:tcBorders>
              <w:bottom w:val="single" w:sz="8" w:color="CB233C"/>
            </w:tcBorders>
          </w:tcPr>
          <w:p>
            <w:pPr>
              <w:jc w:val="right"/>
              <w:ind w:right="39"/>
              <w:spacing w:after="0"/>
              <w:rPr>
                <w:sz w:val="20"/>
                <w:szCs w:val="20"/>
                <w:color w:val="auto"/>
              </w:rPr>
            </w:pPr>
            <w:r>
              <w:rPr>
                <w:rFonts w:ascii="Arial" w:cs="Arial" w:eastAsia="Arial" w:hAnsi="Arial"/>
                <w:sz w:val="16"/>
                <w:szCs w:val="16"/>
                <w:b w:val="1"/>
                <w:bCs w:val="1"/>
                <w:color w:val="auto"/>
              </w:rPr>
              <w:t>Weighting</w:t>
            </w:r>
          </w:p>
        </w:tc>
        <w:tc>
          <w:tcPr>
            <w:tcW w:w="1180" w:type="dxa"/>
            <w:vAlign w:val="bottom"/>
            <w:tcBorders>
              <w:bottom w:val="single" w:sz="8" w:color="CB233C"/>
            </w:tcBorders>
          </w:tcPr>
          <w:p>
            <w:pPr>
              <w:jc w:val="right"/>
              <w:ind w:right="199"/>
              <w:spacing w:after="0"/>
              <w:rPr>
                <w:sz w:val="20"/>
                <w:szCs w:val="20"/>
                <w:color w:val="auto"/>
              </w:rPr>
            </w:pPr>
            <w:r>
              <w:rPr>
                <w:rFonts w:ascii="Arial" w:cs="Arial" w:eastAsia="Arial" w:hAnsi="Arial"/>
                <w:sz w:val="16"/>
                <w:szCs w:val="16"/>
                <w:b w:val="1"/>
                <w:bCs w:val="1"/>
                <w:color w:val="auto"/>
              </w:rPr>
              <w:t>Threshold</w:t>
            </w:r>
          </w:p>
        </w:tc>
        <w:tc>
          <w:tcPr>
            <w:tcW w:w="1000" w:type="dxa"/>
            <w:vAlign w:val="bottom"/>
            <w:tcBorders>
              <w:bottom w:val="single" w:sz="8" w:color="CB233C"/>
            </w:tcBorders>
          </w:tcPr>
          <w:p>
            <w:pPr>
              <w:jc w:val="right"/>
              <w:ind w:right="99"/>
              <w:spacing w:after="0"/>
              <w:rPr>
                <w:sz w:val="20"/>
                <w:szCs w:val="20"/>
                <w:color w:val="auto"/>
              </w:rPr>
            </w:pPr>
            <w:r>
              <w:rPr>
                <w:rFonts w:ascii="Arial" w:cs="Arial" w:eastAsia="Arial" w:hAnsi="Arial"/>
                <w:sz w:val="16"/>
                <w:szCs w:val="16"/>
                <w:b w:val="1"/>
                <w:bCs w:val="1"/>
                <w:color w:val="auto"/>
              </w:rPr>
              <w:t>Target</w:t>
            </w:r>
          </w:p>
        </w:tc>
        <w:tc>
          <w:tcPr>
            <w:tcW w:w="1120" w:type="dxa"/>
            <w:vAlign w:val="bottom"/>
            <w:tcBorders>
              <w:bottom w:val="single" w:sz="8" w:color="CB233C"/>
            </w:tcBorders>
          </w:tcPr>
          <w:p>
            <w:pPr>
              <w:jc w:val="right"/>
              <w:ind w:right="99"/>
              <w:spacing w:after="0"/>
              <w:rPr>
                <w:sz w:val="20"/>
                <w:szCs w:val="20"/>
                <w:color w:val="auto"/>
              </w:rPr>
            </w:pPr>
            <w:r>
              <w:rPr>
                <w:rFonts w:ascii="Arial" w:cs="Arial" w:eastAsia="Arial" w:hAnsi="Arial"/>
                <w:sz w:val="16"/>
                <w:szCs w:val="16"/>
                <w:b w:val="1"/>
                <w:bCs w:val="1"/>
                <w:color w:val="auto"/>
              </w:rPr>
              <w:t>Maximum</w:t>
            </w:r>
          </w:p>
        </w:tc>
        <w:tc>
          <w:tcPr>
            <w:tcW w:w="92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Actual</w:t>
            </w:r>
          </w:p>
        </w:tc>
      </w:tr>
      <w:tr>
        <w:trPr>
          <w:trHeight w:val="183"/>
        </w:trPr>
        <w:tc>
          <w:tcPr>
            <w:tcW w:w="4400" w:type="dxa"/>
            <w:vAlign w:val="bottom"/>
            <w:shd w:val="clear" w:color="auto" w:fill="EBECEE"/>
          </w:tcPr>
          <w:p>
            <w:pPr>
              <w:ind w:left="60"/>
              <w:spacing w:after="0"/>
              <w:rPr>
                <w:sz w:val="20"/>
                <w:szCs w:val="20"/>
                <w:color w:val="auto"/>
              </w:rPr>
            </w:pPr>
            <w:r>
              <w:rPr>
                <w:rFonts w:ascii="Arial" w:cs="Arial" w:eastAsia="Arial" w:hAnsi="Arial"/>
                <w:sz w:val="16"/>
                <w:szCs w:val="16"/>
                <w:color w:val="auto"/>
              </w:rPr>
              <w:t>January 1, 2021, through June 30, 2021</w:t>
            </w:r>
          </w:p>
        </w:tc>
        <w:tc>
          <w:tcPr>
            <w:tcW w:w="1540" w:type="dxa"/>
            <w:vAlign w:val="bottom"/>
            <w:shd w:val="clear" w:color="auto" w:fill="EBECEE"/>
          </w:tcPr>
          <w:p>
            <w:pPr>
              <w:jc w:val="right"/>
              <w:ind w:right="99"/>
              <w:spacing w:after="0"/>
              <w:rPr>
                <w:sz w:val="20"/>
                <w:szCs w:val="20"/>
                <w:color w:val="auto"/>
              </w:rPr>
            </w:pPr>
            <w:r>
              <w:rPr>
                <w:rFonts w:ascii="Arial" w:cs="Arial" w:eastAsia="Arial" w:hAnsi="Arial"/>
                <w:sz w:val="16"/>
                <w:szCs w:val="16"/>
                <w:color w:val="auto"/>
              </w:rPr>
              <w:t>NOPAT</w:t>
            </w:r>
          </w:p>
        </w:tc>
        <w:tc>
          <w:tcPr>
            <w:tcW w:w="1080" w:type="dxa"/>
            <w:vAlign w:val="bottom"/>
            <w:shd w:val="clear" w:color="auto" w:fill="EBECEE"/>
          </w:tcPr>
          <w:p>
            <w:pPr>
              <w:jc w:val="right"/>
              <w:ind w:right="39"/>
              <w:spacing w:after="0"/>
              <w:rPr>
                <w:sz w:val="20"/>
                <w:szCs w:val="20"/>
                <w:color w:val="auto"/>
              </w:rPr>
            </w:pPr>
            <w:r>
              <w:rPr>
                <w:rFonts w:ascii="Arial" w:cs="Arial" w:eastAsia="Arial" w:hAnsi="Arial"/>
                <w:sz w:val="16"/>
                <w:szCs w:val="16"/>
                <w:color w:val="auto"/>
              </w:rPr>
              <w:t>75%</w:t>
            </w:r>
          </w:p>
        </w:tc>
        <w:tc>
          <w:tcPr>
            <w:tcW w:w="1180" w:type="dxa"/>
            <w:vAlign w:val="bottom"/>
            <w:shd w:val="clear" w:color="auto" w:fill="EBECEE"/>
          </w:tcPr>
          <w:p>
            <w:pPr>
              <w:jc w:val="right"/>
              <w:ind w:right="199"/>
              <w:spacing w:after="0"/>
              <w:rPr>
                <w:sz w:val="20"/>
                <w:szCs w:val="20"/>
                <w:color w:val="auto"/>
              </w:rPr>
            </w:pPr>
            <w:r>
              <w:rPr>
                <w:rFonts w:ascii="Arial" w:cs="Arial" w:eastAsia="Arial" w:hAnsi="Arial"/>
                <w:sz w:val="16"/>
                <w:szCs w:val="16"/>
                <w:color w:val="auto"/>
              </w:rPr>
              <w:t>$448 M</w:t>
            </w:r>
          </w:p>
        </w:tc>
        <w:tc>
          <w:tcPr>
            <w:tcW w:w="1000" w:type="dxa"/>
            <w:vAlign w:val="bottom"/>
            <w:shd w:val="clear" w:color="auto" w:fill="EBECEE"/>
          </w:tcPr>
          <w:p>
            <w:pPr>
              <w:jc w:val="right"/>
              <w:ind w:right="99"/>
              <w:spacing w:after="0"/>
              <w:rPr>
                <w:sz w:val="20"/>
                <w:szCs w:val="20"/>
                <w:color w:val="auto"/>
              </w:rPr>
            </w:pPr>
            <w:r>
              <w:rPr>
                <w:rFonts w:ascii="Arial" w:cs="Arial" w:eastAsia="Arial" w:hAnsi="Arial"/>
                <w:sz w:val="16"/>
                <w:szCs w:val="16"/>
                <w:color w:val="auto"/>
              </w:rPr>
              <w:t>$501 M</w:t>
            </w:r>
          </w:p>
        </w:tc>
        <w:tc>
          <w:tcPr>
            <w:tcW w:w="1120" w:type="dxa"/>
            <w:vAlign w:val="bottom"/>
            <w:shd w:val="clear" w:color="auto" w:fill="EBECEE"/>
          </w:tcPr>
          <w:p>
            <w:pPr>
              <w:jc w:val="right"/>
              <w:ind w:right="99"/>
              <w:spacing w:after="0"/>
              <w:rPr>
                <w:sz w:val="20"/>
                <w:szCs w:val="20"/>
                <w:color w:val="auto"/>
              </w:rPr>
            </w:pPr>
            <w:r>
              <w:rPr>
                <w:rFonts w:ascii="Arial" w:cs="Arial" w:eastAsia="Arial" w:hAnsi="Arial"/>
                <w:sz w:val="16"/>
                <w:szCs w:val="16"/>
                <w:color w:val="auto"/>
              </w:rPr>
              <w:t>$554 M</w:t>
            </w:r>
          </w:p>
        </w:tc>
        <w:tc>
          <w:tcPr>
            <w:tcW w:w="920" w:type="dxa"/>
            <w:vAlign w:val="bottom"/>
            <w:shd w:val="clear" w:color="auto" w:fill="EBECEE"/>
          </w:tcPr>
          <w:p>
            <w:pPr>
              <w:jc w:val="right"/>
              <w:spacing w:after="0"/>
              <w:rPr>
                <w:sz w:val="20"/>
                <w:szCs w:val="20"/>
                <w:color w:val="auto"/>
              </w:rPr>
            </w:pPr>
            <w:r>
              <w:rPr>
                <w:rFonts w:ascii="Arial" w:cs="Arial" w:eastAsia="Arial" w:hAnsi="Arial"/>
                <w:sz w:val="16"/>
                <w:szCs w:val="16"/>
                <w:color w:val="auto"/>
              </w:rPr>
              <w:t>$609 M</w:t>
            </w:r>
          </w:p>
        </w:tc>
      </w:tr>
      <w:tr>
        <w:trPr>
          <w:trHeight w:val="242"/>
        </w:trPr>
        <w:tc>
          <w:tcPr>
            <w:tcW w:w="4400" w:type="dxa"/>
            <w:vAlign w:val="bottom"/>
            <w:shd w:val="clear" w:color="auto" w:fill="EBECEE"/>
          </w:tcPr>
          <w:p>
            <w:pPr>
              <w:ind w:left="60"/>
              <w:spacing w:after="0" w:line="242" w:lineRule="exact"/>
              <w:rPr>
                <w:sz w:val="20"/>
                <w:szCs w:val="20"/>
                <w:color w:val="auto"/>
              </w:rPr>
            </w:pPr>
            <w:r>
              <w:rPr>
                <w:rFonts w:ascii="Arial" w:cs="Arial" w:eastAsia="Arial" w:hAnsi="Arial"/>
                <w:sz w:val="16"/>
                <w:szCs w:val="16"/>
                <w:color w:val="auto"/>
              </w:rPr>
              <w:t>(1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performance period)</w:t>
            </w:r>
          </w:p>
        </w:tc>
        <w:tc>
          <w:tcPr>
            <w:tcW w:w="1540" w:type="dxa"/>
            <w:vAlign w:val="bottom"/>
            <w:shd w:val="clear" w:color="auto" w:fill="EBECEE"/>
          </w:tcPr>
          <w:p>
            <w:pPr>
              <w:jc w:val="right"/>
              <w:ind w:right="99"/>
              <w:spacing w:after="0"/>
              <w:rPr>
                <w:sz w:val="20"/>
                <w:szCs w:val="20"/>
                <w:color w:val="auto"/>
              </w:rPr>
            </w:pPr>
            <w:r>
              <w:rPr>
                <w:rFonts w:ascii="Arial" w:cs="Arial" w:eastAsia="Arial" w:hAnsi="Arial"/>
                <w:sz w:val="16"/>
                <w:szCs w:val="16"/>
                <w:color w:val="auto"/>
              </w:rPr>
              <w:t>Asset Turns</w:t>
            </w:r>
          </w:p>
        </w:tc>
        <w:tc>
          <w:tcPr>
            <w:tcW w:w="1080" w:type="dxa"/>
            <w:vAlign w:val="bottom"/>
            <w:shd w:val="clear" w:color="auto" w:fill="EBECEE"/>
          </w:tcPr>
          <w:p>
            <w:pPr>
              <w:jc w:val="right"/>
              <w:ind w:right="39"/>
              <w:spacing w:after="0"/>
              <w:rPr>
                <w:sz w:val="20"/>
                <w:szCs w:val="20"/>
                <w:color w:val="auto"/>
              </w:rPr>
            </w:pPr>
            <w:r>
              <w:rPr>
                <w:rFonts w:ascii="Arial" w:cs="Arial" w:eastAsia="Arial" w:hAnsi="Arial"/>
                <w:sz w:val="16"/>
                <w:szCs w:val="16"/>
                <w:color w:val="auto"/>
              </w:rPr>
              <w:t>25%</w:t>
            </w:r>
          </w:p>
        </w:tc>
        <w:tc>
          <w:tcPr>
            <w:tcW w:w="1180" w:type="dxa"/>
            <w:vAlign w:val="bottom"/>
            <w:shd w:val="clear" w:color="auto" w:fill="EBECEE"/>
          </w:tcPr>
          <w:p>
            <w:pPr>
              <w:jc w:val="right"/>
              <w:ind w:right="199"/>
              <w:spacing w:after="0"/>
              <w:rPr>
                <w:sz w:val="20"/>
                <w:szCs w:val="20"/>
                <w:color w:val="auto"/>
              </w:rPr>
            </w:pPr>
            <w:r>
              <w:rPr>
                <w:rFonts w:ascii="Arial" w:cs="Arial" w:eastAsia="Arial" w:hAnsi="Arial"/>
                <w:sz w:val="16"/>
                <w:szCs w:val="16"/>
                <w:color w:val="auto"/>
              </w:rPr>
              <w:t>0.647</w:t>
            </w:r>
          </w:p>
        </w:tc>
        <w:tc>
          <w:tcPr>
            <w:tcW w:w="1000" w:type="dxa"/>
            <w:vAlign w:val="bottom"/>
            <w:shd w:val="clear" w:color="auto" w:fill="EBECEE"/>
          </w:tcPr>
          <w:p>
            <w:pPr>
              <w:jc w:val="right"/>
              <w:ind w:right="99"/>
              <w:spacing w:after="0"/>
              <w:rPr>
                <w:sz w:val="20"/>
                <w:szCs w:val="20"/>
                <w:color w:val="auto"/>
              </w:rPr>
            </w:pPr>
            <w:r>
              <w:rPr>
                <w:rFonts w:ascii="Arial" w:cs="Arial" w:eastAsia="Arial" w:hAnsi="Arial"/>
                <w:sz w:val="16"/>
                <w:szCs w:val="16"/>
                <w:color w:val="auto"/>
              </w:rPr>
              <w:t>0.660</w:t>
            </w:r>
          </w:p>
        </w:tc>
        <w:tc>
          <w:tcPr>
            <w:tcW w:w="1120" w:type="dxa"/>
            <w:vAlign w:val="bottom"/>
            <w:shd w:val="clear" w:color="auto" w:fill="EBECEE"/>
          </w:tcPr>
          <w:p>
            <w:pPr>
              <w:jc w:val="right"/>
              <w:ind w:right="99"/>
              <w:spacing w:after="0"/>
              <w:rPr>
                <w:sz w:val="20"/>
                <w:szCs w:val="20"/>
                <w:color w:val="auto"/>
              </w:rPr>
            </w:pPr>
            <w:r>
              <w:rPr>
                <w:rFonts w:ascii="Arial" w:cs="Arial" w:eastAsia="Arial" w:hAnsi="Arial"/>
                <w:sz w:val="16"/>
                <w:szCs w:val="16"/>
                <w:color w:val="auto"/>
              </w:rPr>
              <w:t>0.673</w:t>
            </w:r>
          </w:p>
        </w:tc>
        <w:tc>
          <w:tcPr>
            <w:tcW w:w="920" w:type="dxa"/>
            <w:vAlign w:val="bottom"/>
            <w:shd w:val="clear" w:color="auto" w:fill="EBECEE"/>
          </w:tcPr>
          <w:p>
            <w:pPr>
              <w:jc w:val="right"/>
              <w:spacing w:after="0"/>
              <w:rPr>
                <w:sz w:val="20"/>
                <w:szCs w:val="20"/>
                <w:color w:val="auto"/>
              </w:rPr>
            </w:pPr>
            <w:r>
              <w:rPr>
                <w:rFonts w:ascii="Arial" w:cs="Arial" w:eastAsia="Arial" w:hAnsi="Arial"/>
                <w:sz w:val="16"/>
                <w:szCs w:val="16"/>
                <w:color w:val="auto"/>
              </w:rPr>
              <w:t>0.686</w:t>
            </w:r>
          </w:p>
        </w:tc>
      </w:tr>
      <w:tr>
        <w:trPr>
          <w:trHeight w:val="190"/>
        </w:trPr>
        <w:tc>
          <w:tcPr>
            <w:tcW w:w="4400" w:type="dxa"/>
            <w:vAlign w:val="bottom"/>
          </w:tcPr>
          <w:p>
            <w:pPr>
              <w:ind w:left="60"/>
              <w:spacing w:after="0"/>
              <w:rPr>
                <w:sz w:val="20"/>
                <w:szCs w:val="20"/>
                <w:color w:val="auto"/>
              </w:rPr>
            </w:pPr>
            <w:r>
              <w:rPr>
                <w:rFonts w:ascii="Arial" w:cs="Arial" w:eastAsia="Arial" w:hAnsi="Arial"/>
                <w:sz w:val="16"/>
                <w:szCs w:val="16"/>
                <w:color w:val="auto"/>
              </w:rPr>
              <w:t>July 1, 2021, through December 31, 2021</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NOPAT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$662 M</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$739 M</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$817 M</w:t>
            </w:r>
          </w:p>
        </w:tc>
        <w:tc>
          <w:tcPr>
            <w:tcW w:w="920" w:type="dxa"/>
            <w:vAlign w:val="bottom"/>
          </w:tcPr>
          <w:p>
            <w:pPr>
              <w:jc w:val="right"/>
              <w:spacing w:after="0"/>
              <w:rPr>
                <w:sz w:val="20"/>
                <w:szCs w:val="20"/>
                <w:color w:val="auto"/>
              </w:rPr>
            </w:pPr>
            <w:r>
              <w:rPr>
                <w:rFonts w:ascii="Arial" w:cs="Arial" w:eastAsia="Arial" w:hAnsi="Arial"/>
                <w:sz w:val="16"/>
                <w:szCs w:val="16"/>
                <w:color w:val="auto"/>
              </w:rPr>
              <w:t>$1,444 M</w:t>
            </w:r>
          </w:p>
        </w:tc>
      </w:tr>
      <w:tr>
        <w:trPr>
          <w:trHeight w:val="242"/>
        </w:trPr>
        <w:tc>
          <w:tcPr>
            <w:tcW w:w="4400" w:type="dxa"/>
            <w:vAlign w:val="bottom"/>
            <w:tcBorders>
              <w:bottom w:val="single" w:sz="8" w:color="CB233C"/>
            </w:tcBorders>
          </w:tcPr>
          <w:p>
            <w:pPr>
              <w:ind w:left="60"/>
              <w:spacing w:after="0" w:line="242" w:lineRule="exact"/>
              <w:rPr>
                <w:sz w:val="20"/>
                <w:szCs w:val="20"/>
                <w:color w:val="auto"/>
              </w:rPr>
            </w:pPr>
            <w:r>
              <w:rPr>
                <w:rFonts w:ascii="Arial" w:cs="Arial" w:eastAsia="Arial" w:hAnsi="Arial"/>
                <w:sz w:val="16"/>
                <w:szCs w:val="16"/>
                <w:color w:val="auto"/>
              </w:rPr>
              <w:t>(2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performance period)</w:t>
            </w:r>
          </w:p>
        </w:tc>
        <w:tc>
          <w:tcPr>
            <w:tcW w:w="1540" w:type="dxa"/>
            <w:vAlign w:val="bottom"/>
            <w:tcBorders>
              <w:bottom w:val="single" w:sz="8" w:color="CB233C"/>
            </w:tcBorders>
          </w:tcPr>
          <w:p>
            <w:pPr>
              <w:jc w:val="right"/>
              <w:ind w:right="99"/>
              <w:spacing w:after="0"/>
              <w:rPr>
                <w:sz w:val="20"/>
                <w:szCs w:val="20"/>
                <w:color w:val="auto"/>
              </w:rPr>
            </w:pPr>
            <w:r>
              <w:rPr>
                <w:rFonts w:ascii="Arial" w:cs="Arial" w:eastAsia="Arial" w:hAnsi="Arial"/>
                <w:sz w:val="16"/>
                <w:szCs w:val="16"/>
                <w:color w:val="auto"/>
              </w:rPr>
              <w:t>Asset Turns</w:t>
            </w:r>
          </w:p>
        </w:tc>
        <w:tc>
          <w:tcPr>
            <w:tcW w:w="1080" w:type="dxa"/>
            <w:vAlign w:val="bottom"/>
            <w:tcBorders>
              <w:bottom w:val="single" w:sz="8" w:color="CB233C"/>
            </w:tcBorders>
          </w:tcPr>
          <w:p>
            <w:pPr>
              <w:jc w:val="right"/>
              <w:ind w:right="39"/>
              <w:spacing w:after="0"/>
              <w:rPr>
                <w:sz w:val="20"/>
                <w:szCs w:val="20"/>
                <w:color w:val="auto"/>
              </w:rPr>
            </w:pPr>
            <w:r>
              <w:rPr>
                <w:rFonts w:ascii="Arial" w:cs="Arial" w:eastAsia="Arial" w:hAnsi="Arial"/>
                <w:sz w:val="16"/>
                <w:szCs w:val="16"/>
                <w:color w:val="auto"/>
              </w:rPr>
              <w:t>25%</w:t>
            </w:r>
          </w:p>
        </w:tc>
        <w:tc>
          <w:tcPr>
            <w:tcW w:w="1180" w:type="dxa"/>
            <w:vAlign w:val="bottom"/>
            <w:tcBorders>
              <w:bottom w:val="single" w:sz="8" w:color="CB233C"/>
            </w:tcBorders>
          </w:tcPr>
          <w:p>
            <w:pPr>
              <w:jc w:val="right"/>
              <w:ind w:right="199"/>
              <w:spacing w:after="0"/>
              <w:rPr>
                <w:sz w:val="20"/>
                <w:szCs w:val="20"/>
                <w:color w:val="auto"/>
              </w:rPr>
            </w:pPr>
            <w:r>
              <w:rPr>
                <w:rFonts w:ascii="Arial" w:cs="Arial" w:eastAsia="Arial" w:hAnsi="Arial"/>
                <w:sz w:val="16"/>
                <w:szCs w:val="16"/>
                <w:color w:val="auto"/>
              </w:rPr>
              <w:t>0.731</w:t>
            </w:r>
          </w:p>
        </w:tc>
        <w:tc>
          <w:tcPr>
            <w:tcW w:w="1000" w:type="dxa"/>
            <w:vAlign w:val="bottom"/>
            <w:tcBorders>
              <w:bottom w:val="single" w:sz="8" w:color="CB233C"/>
            </w:tcBorders>
          </w:tcPr>
          <w:p>
            <w:pPr>
              <w:jc w:val="right"/>
              <w:ind w:right="99"/>
              <w:spacing w:after="0"/>
              <w:rPr>
                <w:sz w:val="20"/>
                <w:szCs w:val="20"/>
                <w:color w:val="auto"/>
              </w:rPr>
            </w:pPr>
            <w:r>
              <w:rPr>
                <w:rFonts w:ascii="Arial" w:cs="Arial" w:eastAsia="Arial" w:hAnsi="Arial"/>
                <w:sz w:val="16"/>
                <w:szCs w:val="16"/>
                <w:color w:val="auto"/>
              </w:rPr>
              <w:t>0.746</w:t>
            </w:r>
          </w:p>
        </w:tc>
        <w:tc>
          <w:tcPr>
            <w:tcW w:w="1120" w:type="dxa"/>
            <w:vAlign w:val="bottom"/>
            <w:tcBorders>
              <w:bottom w:val="single" w:sz="8" w:color="CB233C"/>
            </w:tcBorders>
          </w:tcPr>
          <w:p>
            <w:pPr>
              <w:jc w:val="right"/>
              <w:ind w:right="99"/>
              <w:spacing w:after="0"/>
              <w:rPr>
                <w:sz w:val="20"/>
                <w:szCs w:val="20"/>
                <w:color w:val="auto"/>
              </w:rPr>
            </w:pPr>
            <w:r>
              <w:rPr>
                <w:rFonts w:ascii="Arial" w:cs="Arial" w:eastAsia="Arial" w:hAnsi="Arial"/>
                <w:sz w:val="16"/>
                <w:szCs w:val="16"/>
                <w:color w:val="auto"/>
              </w:rPr>
              <w:t>0.761</w:t>
            </w:r>
          </w:p>
        </w:tc>
        <w:tc>
          <w:tcPr>
            <w:tcW w:w="92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0.789</w:t>
            </w:r>
          </w:p>
        </w:tc>
      </w:tr>
    </w:tbl>
    <w:p>
      <w:pPr>
        <w:spacing w:after="0" w:line="176"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Because actual 2021 Asset Turns and NOPAT results for both of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and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performance periods exceeded the maximum performance goals, our NEOs received an overall payout of 200% of target for the Annual Performance Pay Plan. As evidence of the Compensation Committee’s commitment to setting robust targets, over the past ten years, the Annual Performance Pay Plan achieved Maximum performance levels four times, Target performance levels two times, and fell short of the Threshold performance level four times, resulting in no payout.</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Long-Term Incentives</w:t>
      </w:r>
    </w:p>
    <w:p>
      <w:pPr>
        <w:spacing w:after="0" w:line="20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Stock and Incentive Plan is designed to reward consistent achievement of value creation and operating performance goals, align management with shareholder interests, and encourage long-term perspective and commitment. Long-term incentives represent the largest component of total executive compensation opportunity.</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Using a mix of incentive vehicles allows us to provide a diversified yet balanced long-term incentive program that effectively addresses volatility in our industry and in the stock market, in addition to maintaining an incentive to meet performance goals. For the 2021 plan year, the Compensation Committee used the following combination of equity vehicles for long-term incentive grants: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40" w:type="dxa"/>
            <w:vAlign w:val="bottom"/>
            <w:tcBorders>
              <w:bottom w:val="single" w:sz="8" w:color="CB233C"/>
            </w:tcBorders>
          </w:tcPr>
          <w:p>
            <w:pPr>
              <w:ind w:left="60"/>
              <w:spacing w:after="0"/>
              <w:rPr>
                <w:sz w:val="20"/>
                <w:szCs w:val="20"/>
                <w:color w:val="auto"/>
              </w:rPr>
            </w:pPr>
            <w:r>
              <w:rPr>
                <w:rFonts w:ascii="Arial" w:cs="Arial" w:eastAsia="Arial" w:hAnsi="Arial"/>
                <w:sz w:val="16"/>
                <w:szCs w:val="16"/>
                <w:b w:val="1"/>
                <w:bCs w:val="1"/>
                <w:color w:val="auto"/>
              </w:rPr>
              <w:t>Vehicle</w:t>
            </w:r>
          </w:p>
        </w:tc>
        <w:tc>
          <w:tcPr>
            <w:tcW w:w="2180" w:type="dxa"/>
            <w:vAlign w:val="bottom"/>
            <w:tcBorders>
              <w:bottom w:val="single" w:sz="8" w:color="CB233C"/>
            </w:tcBorders>
          </w:tcPr>
          <w:p>
            <w:pPr>
              <w:ind w:left="560"/>
              <w:spacing w:after="0"/>
              <w:rPr>
                <w:sz w:val="20"/>
                <w:szCs w:val="20"/>
                <w:color w:val="auto"/>
              </w:rPr>
            </w:pPr>
            <w:r>
              <w:rPr>
                <w:rFonts w:ascii="Arial" w:cs="Arial" w:eastAsia="Arial" w:hAnsi="Arial"/>
                <w:sz w:val="16"/>
                <w:szCs w:val="16"/>
                <w:b w:val="1"/>
                <w:bCs w:val="1"/>
                <w:color w:val="auto"/>
              </w:rPr>
              <w:t>Weighting</w:t>
            </w:r>
          </w:p>
        </w:tc>
        <w:tc>
          <w:tcPr>
            <w:tcW w:w="7120" w:type="dxa"/>
            <w:vAlign w:val="bottom"/>
            <w:tcBorders>
              <w:bottom w:val="single" w:sz="8" w:color="CB233C"/>
            </w:tcBorders>
          </w:tcPr>
          <w:p>
            <w:pPr>
              <w:ind w:left="620"/>
              <w:spacing w:after="0"/>
              <w:rPr>
                <w:sz w:val="20"/>
                <w:szCs w:val="20"/>
                <w:color w:val="auto"/>
              </w:rPr>
            </w:pPr>
            <w:r>
              <w:rPr>
                <w:rFonts w:ascii="Arial" w:cs="Arial" w:eastAsia="Arial" w:hAnsi="Arial"/>
                <w:sz w:val="16"/>
                <w:szCs w:val="16"/>
                <w:b w:val="1"/>
                <w:bCs w:val="1"/>
                <w:color w:val="auto"/>
              </w:rPr>
              <w:t>Purpose</w:t>
            </w:r>
          </w:p>
        </w:tc>
      </w:tr>
      <w:tr>
        <w:trPr>
          <w:trHeight w:val="168"/>
        </w:trPr>
        <w:tc>
          <w:tcPr>
            <w:tcW w:w="1940" w:type="dxa"/>
            <w:vAlign w:val="bottom"/>
            <w:shd w:val="clear" w:color="auto" w:fill="EBECEE"/>
          </w:tcPr>
          <w:p>
            <w:pPr>
              <w:ind w:left="60"/>
              <w:spacing w:after="0" w:line="168" w:lineRule="exact"/>
              <w:rPr>
                <w:sz w:val="20"/>
                <w:szCs w:val="20"/>
                <w:color w:val="auto"/>
              </w:rPr>
            </w:pPr>
            <w:r>
              <w:rPr>
                <w:rFonts w:ascii="Arial" w:cs="Arial" w:eastAsia="Arial" w:hAnsi="Arial"/>
                <w:sz w:val="16"/>
                <w:szCs w:val="16"/>
                <w:color w:val="auto"/>
              </w:rPr>
              <w:t>Performance Units</w:t>
            </w:r>
          </w:p>
        </w:tc>
        <w:tc>
          <w:tcPr>
            <w:tcW w:w="2180" w:type="dxa"/>
            <w:vAlign w:val="bottom"/>
            <w:shd w:val="clear" w:color="auto" w:fill="EBECEE"/>
          </w:tcPr>
          <w:p>
            <w:pPr>
              <w:ind w:left="560"/>
              <w:spacing w:after="0" w:line="168" w:lineRule="exact"/>
              <w:rPr>
                <w:sz w:val="20"/>
                <w:szCs w:val="20"/>
                <w:color w:val="auto"/>
              </w:rPr>
            </w:pPr>
            <w:r>
              <w:rPr>
                <w:rFonts w:ascii="Arial" w:cs="Arial" w:eastAsia="Arial" w:hAnsi="Arial"/>
                <w:sz w:val="16"/>
                <w:szCs w:val="16"/>
                <w:color w:val="auto"/>
              </w:rPr>
              <w:t>70% of Award</w:t>
            </w:r>
          </w:p>
        </w:tc>
        <w:tc>
          <w:tcPr>
            <w:tcW w:w="7120" w:type="dxa"/>
            <w:vAlign w:val="bottom"/>
            <w:shd w:val="clear" w:color="auto" w:fill="EBECEE"/>
          </w:tcPr>
          <w:p>
            <w:pPr>
              <w:ind w:left="620"/>
              <w:spacing w:after="0" w:line="168" w:lineRule="exact"/>
              <w:rPr>
                <w:sz w:val="20"/>
                <w:szCs w:val="20"/>
                <w:color w:val="auto"/>
              </w:rPr>
            </w:pPr>
            <w:r>
              <w:rPr>
                <w:rFonts w:ascii="Arial" w:cs="Arial" w:eastAsia="Arial" w:hAnsi="Arial"/>
                <w:sz w:val="16"/>
                <w:szCs w:val="16"/>
                <w:color w:val="auto"/>
              </w:rPr>
              <w:t>Rewards achievement of specific financial goals measured over a three-year performance</w:t>
            </w:r>
          </w:p>
        </w:tc>
      </w:tr>
      <w:tr>
        <w:trPr>
          <w:trHeight w:val="203"/>
        </w:trPr>
        <w:tc>
          <w:tcPr>
            <w:tcW w:w="1940" w:type="dxa"/>
            <w:vAlign w:val="bottom"/>
            <w:shd w:val="clear" w:color="auto" w:fill="EBECEE"/>
          </w:tcPr>
          <w:p>
            <w:pPr>
              <w:spacing w:after="0"/>
              <w:rPr>
                <w:sz w:val="17"/>
                <w:szCs w:val="17"/>
                <w:color w:val="auto"/>
              </w:rPr>
            </w:pPr>
          </w:p>
        </w:tc>
        <w:tc>
          <w:tcPr>
            <w:tcW w:w="2180" w:type="dxa"/>
            <w:vAlign w:val="bottom"/>
            <w:shd w:val="clear" w:color="auto" w:fill="EBECEE"/>
          </w:tcPr>
          <w:p>
            <w:pPr>
              <w:spacing w:after="0"/>
              <w:rPr>
                <w:sz w:val="17"/>
                <w:szCs w:val="17"/>
                <w:color w:val="auto"/>
              </w:rPr>
            </w:pPr>
          </w:p>
        </w:tc>
        <w:tc>
          <w:tcPr>
            <w:tcW w:w="7120" w:type="dxa"/>
            <w:vAlign w:val="bottom"/>
            <w:shd w:val="clear" w:color="auto" w:fill="EBECEE"/>
          </w:tcPr>
          <w:p>
            <w:pPr>
              <w:ind w:left="620"/>
              <w:spacing w:after="0"/>
              <w:rPr>
                <w:sz w:val="20"/>
                <w:szCs w:val="20"/>
                <w:color w:val="auto"/>
              </w:rPr>
            </w:pPr>
            <w:r>
              <w:rPr>
                <w:rFonts w:ascii="Arial" w:cs="Arial" w:eastAsia="Arial" w:hAnsi="Arial"/>
                <w:sz w:val="16"/>
                <w:szCs w:val="16"/>
                <w:color w:val="auto"/>
              </w:rPr>
              <w:t>period</w:t>
            </w:r>
          </w:p>
        </w:tc>
      </w:tr>
      <w:tr>
        <w:trPr>
          <w:trHeight w:val="229"/>
        </w:trPr>
        <w:tc>
          <w:tcPr>
            <w:tcW w:w="1940" w:type="dxa"/>
            <w:vAlign w:val="bottom"/>
            <w:tcBorders>
              <w:bottom w:val="single" w:sz="8" w:color="CB233C"/>
            </w:tcBorders>
          </w:tcPr>
          <w:p>
            <w:pPr>
              <w:ind w:left="60"/>
              <w:spacing w:after="0" w:line="230" w:lineRule="exact"/>
              <w:rPr>
                <w:sz w:val="20"/>
                <w:szCs w:val="20"/>
                <w:color w:val="auto"/>
              </w:rPr>
            </w:pPr>
            <w:r>
              <w:rPr>
                <w:rFonts w:ascii="Arial" w:cs="Arial" w:eastAsia="Arial" w:hAnsi="Arial"/>
                <w:sz w:val="16"/>
                <w:szCs w:val="16"/>
                <w:color w:val="auto"/>
              </w:rPr>
              <w:t>Restricted Stock</w:t>
            </w:r>
            <w:r>
              <w:rPr>
                <w:rFonts w:ascii="Arial" w:cs="Arial" w:eastAsia="Arial" w:hAnsi="Arial"/>
                <w:sz w:val="26"/>
                <w:szCs w:val="26"/>
                <w:color w:val="auto"/>
                <w:vertAlign w:val="superscript"/>
              </w:rPr>
              <w:t>(1)</w:t>
            </w:r>
          </w:p>
        </w:tc>
        <w:tc>
          <w:tcPr>
            <w:tcW w:w="2180" w:type="dxa"/>
            <w:vAlign w:val="bottom"/>
            <w:tcBorders>
              <w:bottom w:val="single" w:sz="8" w:color="CB233C"/>
            </w:tcBorders>
          </w:tcPr>
          <w:p>
            <w:pPr>
              <w:ind w:left="560"/>
              <w:spacing w:after="0"/>
              <w:rPr>
                <w:sz w:val="20"/>
                <w:szCs w:val="20"/>
                <w:color w:val="auto"/>
              </w:rPr>
            </w:pPr>
            <w:r>
              <w:rPr>
                <w:rFonts w:ascii="Arial" w:cs="Arial" w:eastAsia="Arial" w:hAnsi="Arial"/>
                <w:sz w:val="16"/>
                <w:szCs w:val="16"/>
                <w:color w:val="auto"/>
              </w:rPr>
              <w:t>30% of Award</w:t>
            </w:r>
          </w:p>
        </w:tc>
        <w:tc>
          <w:tcPr>
            <w:tcW w:w="7120" w:type="dxa"/>
            <w:vAlign w:val="bottom"/>
            <w:tcBorders>
              <w:bottom w:val="single" w:sz="8" w:color="CB233C"/>
            </w:tcBorders>
          </w:tcPr>
          <w:p>
            <w:pPr>
              <w:ind w:left="620"/>
              <w:spacing w:after="0"/>
              <w:rPr>
                <w:sz w:val="20"/>
                <w:szCs w:val="20"/>
                <w:color w:val="auto"/>
              </w:rPr>
            </w:pPr>
            <w:r>
              <w:rPr>
                <w:rFonts w:ascii="Arial" w:cs="Arial" w:eastAsia="Arial" w:hAnsi="Arial"/>
                <w:sz w:val="16"/>
                <w:szCs w:val="16"/>
                <w:color w:val="auto"/>
              </w:rPr>
              <w:t>Supports leadership retention/stability objectives; five-year vesting period</w:t>
            </w:r>
          </w:p>
        </w:tc>
      </w:tr>
    </w:tbl>
    <w:p>
      <w:pPr>
        <w:spacing w:after="0" w:line="182" w:lineRule="exact"/>
        <w:rPr>
          <w:sz w:val="20"/>
          <w:szCs w:val="20"/>
          <w:color w:val="auto"/>
        </w:rPr>
      </w:pPr>
    </w:p>
    <w:p>
      <w:pPr>
        <w:ind w:left="340" w:hanging="332"/>
        <w:spacing w:after="0" w:line="282" w:lineRule="auto"/>
        <w:tabs>
          <w:tab w:leader="none" w:pos="340" w:val="left"/>
        </w:tabs>
        <w:numPr>
          <w:ilvl w:val="0"/>
          <w:numId w:val="70"/>
        </w:numPr>
        <w:rPr>
          <w:rFonts w:ascii="Arial" w:cs="Arial" w:eastAsia="Arial" w:hAnsi="Arial"/>
          <w:sz w:val="14"/>
          <w:szCs w:val="14"/>
          <w:i w:val="1"/>
          <w:iCs w:val="1"/>
          <w:color w:val="auto"/>
        </w:rPr>
      </w:pPr>
      <w:r>
        <w:rPr>
          <w:rFonts w:ascii="Arial" w:cs="Arial" w:eastAsia="Arial" w:hAnsi="Arial"/>
          <w:sz w:val="14"/>
          <w:szCs w:val="14"/>
          <w:i w:val="1"/>
          <w:iCs w:val="1"/>
          <w:color w:val="auto"/>
        </w:rPr>
        <w:t>Restricted stock grants are generally subject to a graded vesting schedule of 20% per year over five years. However, different vesting schedules may be utilized at the discretion of the Compensation Committee. Shares of restricted stock receive dividend or dividend equivalent payments.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CB233C"/>
        </w:rPr>
        <w:t>Individual Incentive Opportunities</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determining the size of long-term incentive awards, the Compensation Committee first considers market data for comparable positions and then may adjust the awards upwards or downwards based on the Compensation Committee’s review of internal equity. This can result in positions of similar magnitude and pay receiving awards of varying size. Awards are targeted to the market median.</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part of its process, the Compensation Committee makes decisions about target long-term incentive award opportunities for the following year during its regular December meeting. For the 2021 plan year, the Compensation Committee approved restricted stock grants in December 2020.</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Individual incentive opportunities are established based on market references and the NEO’s role within the organization. In the Grants of Plan-Based Awards in Fiscal 2021 table, the Threshold, Target, and Maximum columns under the heading Estimated Future Payouts Under Non-Equity Incentive Plan Awards indicate the potential cash payout for each NEO under the Performance Unit Program (PUP) for the 2021 cycle and the Threshold, Target, and Maximum columns under the heading Estimated Future Payouts Under Equity Incentive Plan Awards indicate the Target potential shares that can be earned by each NEO under the PUP for the 2021 cycle. The potential payouts are performance driven and completely at risk. Actual payouts and shares vesting, if any, will not be determined until the three-year cycle closes on December 31, 2023.</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CB233C"/>
        </w:rPr>
        <w:t>A Closer Look at the Performance Unit Program</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PUP provides NEOs and other selected executives with incentive opportunities based on our consolidated ROCE during a three-year performance period. This program reinforces our objectives for sustained long-term performance and value creation. It also reinforces strategic planning processes and balances short- and long-term decision making.</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program measures ROCE on a relative basis to the results of a performance peer group over three years. The Performance Peer Group used for the PUP is comprised of oilfield equipment and services companies and domestic and international exploration and production companies. This peer group is used for the PUP because these companies represent the timing, cyclicality, and volatility of the oil and natural gas industry and provide an appropriate industry group for measuring our relative performance. The 2021 Performance Peer Group is listed on page 44 of this CD&amp;A.</w:t>
      </w:r>
    </w:p>
    <w:p>
      <w:pPr>
        <w:spacing w:after="0" w:line="15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886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three-year performance period aligns this measurement with our and our Performance Peer Group’s business cycles. ROCE indicates the efficiency and profitability of our capital investments and is determined based on the ratio of earnings divided by average capital employed. The calculation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90805</wp:posOffset>
            </wp:positionV>
            <wp:extent cx="6643370" cy="9429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64337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Why ROCE?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46" w:lineRule="exact"/>
        <w:rPr>
          <w:sz w:val="20"/>
          <w:szCs w:val="20"/>
          <w:color w:val="auto"/>
        </w:rPr>
      </w:pPr>
    </w:p>
    <w:p>
      <w:pPr>
        <w:ind w:left="500" w:right="420"/>
        <w:spacing w:after="0" w:line="286" w:lineRule="auto"/>
        <w:rPr>
          <w:sz w:val="20"/>
          <w:szCs w:val="20"/>
          <w:color w:val="auto"/>
        </w:rPr>
      </w:pPr>
      <w:r>
        <w:rPr>
          <w:rFonts w:ascii="Arial" w:cs="Arial" w:eastAsia="Arial" w:hAnsi="Arial"/>
          <w:sz w:val="16"/>
          <w:szCs w:val="16"/>
          <w:color w:val="auto"/>
        </w:rPr>
        <w:t>Highly correlated to stock price performance over the long-term, applying drivers that management can directly influence.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51472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514725"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-251460</wp:posOffset>
            </wp:positionV>
            <wp:extent cx="196850" cy="1974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96850" cy="197485"/>
                    </a:xfrm>
                    <a:prstGeom prst="rect">
                      <a:avLst/>
                    </a:prstGeom>
                    <a:noFill/>
                  </pic:spPr>
                </pic:pic>
              </a:graphicData>
            </a:graphic>
          </wp:anchor>
        </w:drawing>
      </w:r>
    </w:p>
    <w:p>
      <w:pPr>
        <w:ind w:left="500" w:right="40"/>
        <w:spacing w:after="0" w:line="286" w:lineRule="auto"/>
        <w:rPr>
          <w:sz w:val="20"/>
          <w:szCs w:val="20"/>
          <w:color w:val="auto"/>
        </w:rPr>
      </w:pPr>
      <w:r>
        <w:rPr>
          <w:rFonts w:ascii="Arial" w:cs="Arial" w:eastAsia="Arial" w:hAnsi="Arial"/>
          <w:sz w:val="16"/>
          <w:szCs w:val="16"/>
          <w:color w:val="auto"/>
        </w:rPr>
        <w:t>Aligned with our strategy of delivering industry-leading returns across the business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5147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514725"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-251460</wp:posOffset>
            </wp:positionV>
            <wp:extent cx="196850" cy="1968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96850" cy="196850"/>
                    </a:xfrm>
                    <a:prstGeom prst="rect">
                      <a:avLst/>
                    </a:prstGeom>
                    <a:noFill/>
                  </pic:spPr>
                </pic:pic>
              </a:graphicData>
            </a:graphic>
          </wp:anchor>
        </w:drawing>
      </w:r>
    </w:p>
    <w:p>
      <w:pPr>
        <w:ind w:left="500" w:right="700"/>
        <w:spacing w:after="0" w:line="286" w:lineRule="auto"/>
        <w:rPr>
          <w:sz w:val="20"/>
          <w:szCs w:val="20"/>
          <w:color w:val="auto"/>
        </w:rPr>
      </w:pPr>
      <w:r>
        <w:rPr>
          <w:rFonts w:ascii="Arial" w:cs="Arial" w:eastAsia="Arial" w:hAnsi="Arial"/>
          <w:sz w:val="16"/>
          <w:szCs w:val="16"/>
          <w:color w:val="auto"/>
        </w:rPr>
        <w:t>Reinforces the Company’s objective for sustained long-term performance and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-251460</wp:posOffset>
            </wp:positionV>
            <wp:extent cx="196850" cy="1974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9685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Overwhelmingly supported by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149225</wp:posOffset>
            </wp:positionV>
            <wp:extent cx="34804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8043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-90170</wp:posOffset>
            </wp:positionV>
            <wp:extent cx="196850" cy="1974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96850" cy="197485"/>
                    </a:xfrm>
                    <a:prstGeom prst="rect">
                      <a:avLst/>
                    </a:prstGeom>
                    <a:noFill/>
                  </pic:spPr>
                </pic:pic>
              </a:graphicData>
            </a:graphic>
          </wp:anchor>
        </w:drawing>
      </w:r>
    </w:p>
    <w:p>
      <w:pPr>
        <w:spacing w:after="0" w:line="242"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Eliminates the subjectivity inherent in setting long-term absolute targets in a cyclical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-11430</wp:posOffset>
            </wp:positionV>
            <wp:extent cx="34804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8043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-251460</wp:posOffset>
            </wp:positionV>
            <wp:extent cx="196850" cy="1968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96850" cy="196850"/>
                    </a:xfrm>
                    <a:prstGeom prst="rect">
                      <a:avLst/>
                    </a:prstGeom>
                    <a:noFill/>
                  </pic:spPr>
                </pic:pic>
              </a:graphicData>
            </a:graphic>
          </wp:anchor>
        </w:drawing>
      </w:r>
    </w:p>
    <w:p>
      <w:pPr>
        <w:ind w:right="240"/>
        <w:spacing w:after="0" w:line="286" w:lineRule="auto"/>
        <w:rPr>
          <w:sz w:val="20"/>
          <w:szCs w:val="20"/>
          <w:color w:val="auto"/>
        </w:rPr>
      </w:pPr>
      <w:r>
        <w:rPr>
          <w:rFonts w:ascii="Arial" w:cs="Arial" w:eastAsia="Arial" w:hAnsi="Arial"/>
          <w:sz w:val="16"/>
          <w:szCs w:val="16"/>
          <w:color w:val="auto"/>
        </w:rPr>
        <w:t>Provides our management team with clear line of sight to long-term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-251460</wp:posOffset>
            </wp:positionV>
            <wp:extent cx="196850" cy="1974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96850" cy="197485"/>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5480" w:space="720"/>
            <w:col w:w="5040"/>
          </w:cols>
          <w:pgMar w:left="320" w:top="238" w:right="339" w:bottom="1440" w:gutter="0" w:footer="0" w:header="0"/>
          <w:type w:val="continuous"/>
        </w:sectPr>
      </w:pPr>
    </w:p>
    <w:p>
      <w:pPr>
        <w:jc w:val="both"/>
        <w:spacing w:after="0" w:line="266" w:lineRule="auto"/>
        <w:rPr>
          <w:sz w:val="20"/>
          <w:szCs w:val="20"/>
          <w:color w:val="auto"/>
        </w:rPr>
      </w:pPr>
      <w:r>
        <w:rPr>
          <w:rFonts w:ascii="Arial" w:cs="Arial" w:eastAsia="Arial" w:hAnsi="Arial"/>
          <w:sz w:val="16"/>
          <w:szCs w:val="16"/>
          <w:color w:val="auto"/>
        </w:rPr>
        <w:t>Consistent with our executive compensation objectives and strategy to deliver leading returns in our industry, over the past 10 years we delivered superior ROCE performance relative to the Oilfield Services Index (OSX), our two largest competitors, and our Performance Peer Group. We believe that this long-term focus on generating superior returns within our industry also correlates with our industry TSR outperformance over the same period of time.</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CB233C"/>
        </w:rPr>
        <w:t>2021 Cycle PUP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Cycle – Performance Matrix</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At the end of the three-year award cycle, the average ROCE of Halliburton and the Performance Peer Group will be calculated, and performance percentiles will be determined. If Halliburton’s relative performance ranking is between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percentiles, the payout will be interpolated accordingly. If Halliburton’s relative performance ranking is below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there will not be a payout.</w:t>
      </w:r>
    </w:p>
    <w:p>
      <w:pPr>
        <w:spacing w:after="0" w:line="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PUP also uses a relative TSR modifier that compares three-year performance against the OSX and can increase or decrease the incentive opportunity payout by 25%. The modifier imposes an award penalty for bottom quartile performance and an incentive for top quartile performance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40" w:type="dxa"/>
            <w:vAlign w:val="bottom"/>
            <w:tcBorders>
              <w:bottom w:val="single" w:sz="8" w:color="CB233C"/>
            </w:tcBorders>
          </w:tcPr>
          <w:p>
            <w:pPr>
              <w:spacing w:after="0"/>
              <w:rPr>
                <w:sz w:val="17"/>
                <w:szCs w:val="17"/>
                <w:color w:val="auto"/>
              </w:rPr>
            </w:pPr>
          </w:p>
        </w:tc>
        <w:tc>
          <w:tcPr>
            <w:tcW w:w="2420" w:type="dxa"/>
            <w:vAlign w:val="bottom"/>
            <w:tcBorders>
              <w:bottom w:val="single" w:sz="8" w:color="CB233C"/>
            </w:tcBorders>
          </w:tcPr>
          <w:p>
            <w:pPr>
              <w:ind w:left="320"/>
              <w:spacing w:after="0"/>
              <w:rPr>
                <w:sz w:val="20"/>
                <w:szCs w:val="20"/>
                <w:color w:val="auto"/>
              </w:rPr>
            </w:pPr>
            <w:r>
              <w:rPr>
                <w:rFonts w:ascii="Arial" w:cs="Arial" w:eastAsia="Arial" w:hAnsi="Arial"/>
                <w:sz w:val="16"/>
                <w:szCs w:val="16"/>
                <w:b w:val="1"/>
                <w:bCs w:val="1"/>
                <w:color w:val="auto"/>
              </w:rPr>
              <w:t>Relative TSR Modifier</w:t>
            </w:r>
          </w:p>
        </w:tc>
        <w:tc>
          <w:tcPr>
            <w:tcW w:w="1640" w:type="dxa"/>
            <w:vAlign w:val="bottom"/>
            <w:tcBorders>
              <w:bottom w:val="single" w:sz="8" w:color="CB233C"/>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420" w:type="dxa"/>
            <w:vAlign w:val="bottom"/>
          </w:tcPr>
          <w:p>
            <w:pPr>
              <w:jc w:val="center"/>
              <w:ind w:left="39"/>
              <w:spacing w:after="0" w:line="250" w:lineRule="exact"/>
              <w:rPr>
                <w:sz w:val="20"/>
                <w:szCs w:val="20"/>
                <w:color w:val="auto"/>
              </w:rPr>
            </w:pPr>
            <w:r>
              <w:rPr>
                <w:rFonts w:ascii="Arial" w:cs="Arial" w:eastAsia="Arial" w:hAnsi="Arial"/>
                <w:sz w:val="16"/>
                <w:szCs w:val="16"/>
                <w:b w:val="1"/>
                <w:bCs w:val="1"/>
                <w:color w:val="auto"/>
                <w:w w:val="93"/>
              </w:rPr>
              <w:t>2</w:t>
            </w:r>
            <w:r>
              <w:rPr>
                <w:rFonts w:ascii="Arial" w:cs="Arial" w:eastAsia="Arial" w:hAnsi="Arial"/>
                <w:sz w:val="26"/>
                <w:szCs w:val="26"/>
                <w:b w:val="1"/>
                <w:bCs w:val="1"/>
                <w:color w:val="auto"/>
                <w:w w:val="93"/>
                <w:vertAlign w:val="superscript"/>
              </w:rPr>
              <w:t>nd</w:t>
            </w:r>
            <w:r>
              <w:rPr>
                <w:rFonts w:ascii="Arial" w:cs="Arial" w:eastAsia="Arial" w:hAnsi="Arial"/>
                <w:sz w:val="16"/>
                <w:szCs w:val="16"/>
                <w:b w:val="1"/>
                <w:bCs w:val="1"/>
                <w:color w:val="auto"/>
                <w:w w:val="93"/>
              </w:rPr>
              <w:t>/3</w:t>
            </w:r>
            <w:r>
              <w:rPr>
                <w:rFonts w:ascii="Arial" w:cs="Arial" w:eastAsia="Arial" w:hAnsi="Arial"/>
                <w:sz w:val="26"/>
                <w:szCs w:val="26"/>
                <w:b w:val="1"/>
                <w:bCs w:val="1"/>
                <w:color w:val="auto"/>
                <w:w w:val="93"/>
                <w:vertAlign w:val="superscript"/>
              </w:rPr>
              <w:t>rd</w:t>
            </w:r>
            <w:r>
              <w:rPr>
                <w:rFonts w:ascii="Arial" w:cs="Arial" w:eastAsia="Arial" w:hAnsi="Arial"/>
                <w:sz w:val="16"/>
                <w:szCs w:val="16"/>
                <w:b w:val="1"/>
                <w:bCs w:val="1"/>
                <w:color w:val="auto"/>
                <w:w w:val="93"/>
              </w:rPr>
              <w:t xml:space="preserve"> Quartile</w:t>
            </w:r>
          </w:p>
        </w:tc>
        <w:tc>
          <w:tcPr>
            <w:tcW w:w="164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w w:val="98"/>
              </w:rPr>
              <w:t>Upper Quartile</w:t>
            </w:r>
            <w:r>
              <w:rPr>
                <w:rFonts w:ascii="Arial" w:cs="Arial" w:eastAsia="Arial" w:hAnsi="Arial"/>
                <w:sz w:val="26"/>
                <w:szCs w:val="26"/>
                <w:b w:val="1"/>
                <w:bCs w:val="1"/>
                <w:color w:val="auto"/>
                <w:w w:val="98"/>
                <w:vertAlign w:val="superscript"/>
              </w:rPr>
              <w:t>(2)</w:t>
            </w:r>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rPr>
              <w:t>Lower Quartile</w:t>
            </w:r>
          </w:p>
        </w:tc>
        <w:tc>
          <w:tcPr>
            <w:tcW w:w="2420" w:type="dxa"/>
            <w:vAlign w:val="bottom"/>
          </w:tcPr>
          <w:p>
            <w:pPr>
              <w:jc w:val="center"/>
              <w:ind w:left="39"/>
              <w:spacing w:after="0"/>
              <w:rPr>
                <w:sz w:val="20"/>
                <w:szCs w:val="20"/>
                <w:color w:val="auto"/>
              </w:rPr>
            </w:pPr>
            <w:r>
              <w:rPr>
                <w:rFonts w:ascii="Arial" w:cs="Arial" w:eastAsia="Arial" w:hAnsi="Arial"/>
                <w:sz w:val="16"/>
                <w:szCs w:val="16"/>
                <w:b w:val="1"/>
                <w:bCs w:val="1"/>
                <w:color w:val="auto"/>
              </w:rPr>
              <w:t>Performance</w:t>
            </w: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rPr>
              <w:t>Performance</w:t>
            </w:r>
          </w:p>
        </w:tc>
        <w:tc>
          <w:tcPr>
            <w:tcW w:w="2420" w:type="dxa"/>
            <w:vAlign w:val="bottom"/>
          </w:tcPr>
          <w:p>
            <w:pPr>
              <w:jc w:val="center"/>
              <w:ind w:left="39"/>
              <w:spacing w:after="0" w:line="230" w:lineRule="exact"/>
              <w:rPr>
                <w:sz w:val="20"/>
                <w:szCs w:val="20"/>
                <w:color w:val="auto"/>
              </w:rPr>
            </w:pPr>
            <w:r>
              <w:rPr>
                <w:rFonts w:ascii="Arial" w:cs="Arial" w:eastAsia="Arial" w:hAnsi="Arial"/>
                <w:sz w:val="16"/>
                <w:szCs w:val="16"/>
                <w:b w:val="1"/>
                <w:bCs w:val="1"/>
                <w:color w:val="auto"/>
                <w:w w:val="97"/>
              </w:rPr>
              <w:t>&gt;25</w:t>
            </w:r>
            <w:r>
              <w:rPr>
                <w:rFonts w:ascii="Arial" w:cs="Arial" w:eastAsia="Arial" w:hAnsi="Arial"/>
                <w:sz w:val="26"/>
                <w:szCs w:val="26"/>
                <w:b w:val="1"/>
                <w:bCs w:val="1"/>
                <w:color w:val="auto"/>
                <w:w w:val="97"/>
                <w:vertAlign w:val="superscript"/>
              </w:rPr>
              <w:t>th</w:t>
            </w:r>
            <w:r>
              <w:rPr>
                <w:rFonts w:ascii="Arial" w:cs="Arial" w:eastAsia="Arial" w:hAnsi="Arial"/>
                <w:sz w:val="16"/>
                <w:szCs w:val="16"/>
                <w:b w:val="1"/>
                <w:bCs w:val="1"/>
                <w:color w:val="auto"/>
                <w:w w:val="97"/>
              </w:rPr>
              <w:t xml:space="preserve"> percentile &amp; &lt;75</w:t>
            </w:r>
            <w:r>
              <w:rPr>
                <w:rFonts w:ascii="Arial" w:cs="Arial" w:eastAsia="Arial" w:hAnsi="Arial"/>
                <w:sz w:val="26"/>
                <w:szCs w:val="26"/>
                <w:b w:val="1"/>
                <w:bCs w:val="1"/>
                <w:color w:val="auto"/>
                <w:w w:val="97"/>
                <w:vertAlign w:val="superscript"/>
              </w:rPr>
              <w:t>th</w:t>
            </w:r>
          </w:p>
        </w:tc>
        <w:tc>
          <w:tcPr>
            <w:tcW w:w="1640" w:type="dxa"/>
            <w:vAlign w:val="bottom"/>
          </w:tcPr>
          <w:p>
            <w:pPr>
              <w:jc w:val="center"/>
              <w:ind w:left="99"/>
              <w:spacing w:after="0"/>
              <w:rPr>
                <w:sz w:val="20"/>
                <w:szCs w:val="20"/>
                <w:color w:val="auto"/>
              </w:rPr>
            </w:pPr>
            <w:r>
              <w:rPr>
                <w:rFonts w:ascii="Arial" w:cs="Arial" w:eastAsia="Arial" w:hAnsi="Arial"/>
                <w:sz w:val="16"/>
                <w:szCs w:val="16"/>
                <w:b w:val="1"/>
                <w:bCs w:val="1"/>
                <w:color w:val="auto"/>
              </w:rPr>
              <w:t>Performance</w:t>
            </w:r>
          </w:p>
        </w:tc>
        <w:tc>
          <w:tcPr>
            <w:tcW w:w="0" w:type="dxa"/>
            <w:vAlign w:val="bottom"/>
          </w:tcPr>
          <w:p>
            <w:pPr>
              <w:spacing w:after="0"/>
              <w:rPr>
                <w:sz w:val="1"/>
                <w:szCs w:val="1"/>
                <w:color w:val="auto"/>
              </w:rPr>
            </w:pPr>
          </w:p>
        </w:tc>
      </w:tr>
      <w:tr>
        <w:trPr>
          <w:trHeight w:val="244"/>
        </w:trPr>
        <w:tc>
          <w:tcPr>
            <w:tcW w:w="1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760" w:type="dxa"/>
            <w:vAlign w:val="bottom"/>
          </w:tcPr>
          <w:p>
            <w:pPr>
              <w:jc w:val="center"/>
              <w:ind w:left="79"/>
              <w:spacing w:after="0"/>
              <w:rPr>
                <w:sz w:val="20"/>
                <w:szCs w:val="20"/>
                <w:color w:val="auto"/>
              </w:rPr>
            </w:pPr>
            <w:r>
              <w:rPr>
                <w:rFonts w:ascii="Arial" w:cs="Arial" w:eastAsia="Arial" w:hAnsi="Arial"/>
                <w:sz w:val="16"/>
                <w:szCs w:val="16"/>
                <w:b w:val="1"/>
                <w:bCs w:val="1"/>
                <w:color w:val="auto"/>
              </w:rPr>
              <w:t>Unadjusted</w:t>
            </w:r>
          </w:p>
        </w:tc>
        <w:tc>
          <w:tcPr>
            <w:tcW w:w="1740" w:type="dxa"/>
            <w:vAlign w:val="bottom"/>
            <w:tcBorders>
              <w:bottom w:val="single" w:sz="8" w:color="CB233C"/>
            </w:tcBorders>
          </w:tcPr>
          <w:p>
            <w:pPr>
              <w:jc w:val="center"/>
              <w:spacing w:after="0" w:line="245" w:lineRule="exact"/>
              <w:rPr>
                <w:sz w:val="20"/>
                <w:szCs w:val="20"/>
                <w:color w:val="auto"/>
              </w:rPr>
            </w:pPr>
            <w:r>
              <w:rPr>
                <w:rFonts w:ascii="Arial" w:cs="Arial" w:eastAsia="Arial" w:hAnsi="Arial"/>
                <w:sz w:val="16"/>
                <w:szCs w:val="16"/>
                <w:b w:val="1"/>
                <w:bCs w:val="1"/>
                <w:color w:val="auto"/>
                <w:w w:val="97"/>
              </w:rPr>
              <w:t>≤25</w:t>
            </w:r>
            <w:r>
              <w:rPr>
                <w:rFonts w:ascii="Arial" w:cs="Arial" w:eastAsia="Arial" w:hAnsi="Arial"/>
                <w:sz w:val="26"/>
                <w:szCs w:val="26"/>
                <w:b w:val="1"/>
                <w:bCs w:val="1"/>
                <w:color w:val="auto"/>
                <w:w w:val="97"/>
                <w:vertAlign w:val="superscript"/>
              </w:rPr>
              <w:t>th</w:t>
            </w:r>
            <w:r>
              <w:rPr>
                <w:rFonts w:ascii="Arial" w:cs="Arial" w:eastAsia="Arial" w:hAnsi="Arial"/>
                <w:sz w:val="16"/>
                <w:szCs w:val="16"/>
                <w:b w:val="1"/>
                <w:bCs w:val="1"/>
                <w:color w:val="auto"/>
                <w:w w:val="97"/>
              </w:rPr>
              <w:t xml:space="preserve"> percentile</w:t>
            </w:r>
          </w:p>
        </w:tc>
        <w:tc>
          <w:tcPr>
            <w:tcW w:w="2420" w:type="dxa"/>
            <w:vAlign w:val="bottom"/>
            <w:tcBorders>
              <w:bottom w:val="single" w:sz="8" w:color="CB233C"/>
            </w:tcBorders>
          </w:tcPr>
          <w:p>
            <w:pPr>
              <w:jc w:val="center"/>
              <w:ind w:left="19"/>
              <w:spacing w:after="0"/>
              <w:rPr>
                <w:sz w:val="20"/>
                <w:szCs w:val="20"/>
                <w:color w:val="auto"/>
              </w:rPr>
            </w:pPr>
            <w:r>
              <w:rPr>
                <w:rFonts w:ascii="Arial" w:cs="Arial" w:eastAsia="Arial" w:hAnsi="Arial"/>
                <w:sz w:val="16"/>
                <w:szCs w:val="16"/>
                <w:b w:val="1"/>
                <w:bCs w:val="1"/>
                <w:color w:val="auto"/>
              </w:rPr>
              <w:t>percentile</w:t>
            </w:r>
          </w:p>
        </w:tc>
        <w:tc>
          <w:tcPr>
            <w:tcW w:w="1640" w:type="dxa"/>
            <w:vAlign w:val="bottom"/>
            <w:tcBorders>
              <w:bottom w:val="single" w:sz="8" w:color="CB233C"/>
            </w:tcBorders>
          </w:tcPr>
          <w:p>
            <w:pPr>
              <w:jc w:val="center"/>
              <w:ind w:left="119"/>
              <w:spacing w:after="0" w:line="245" w:lineRule="exact"/>
              <w:rPr>
                <w:sz w:val="20"/>
                <w:szCs w:val="20"/>
                <w:color w:val="auto"/>
              </w:rPr>
            </w:pPr>
            <w:r>
              <w:rPr>
                <w:rFonts w:ascii="Arial" w:cs="Arial" w:eastAsia="Arial" w:hAnsi="Arial"/>
                <w:sz w:val="16"/>
                <w:szCs w:val="16"/>
                <w:b w:val="1"/>
                <w:bCs w:val="1"/>
                <w:color w:val="auto"/>
                <w:w w:val="97"/>
              </w:rPr>
              <w:t>≥75</w:t>
            </w:r>
            <w:r>
              <w:rPr>
                <w:rFonts w:ascii="Arial" w:cs="Arial" w:eastAsia="Arial" w:hAnsi="Arial"/>
                <w:sz w:val="26"/>
                <w:szCs w:val="26"/>
                <w:b w:val="1"/>
                <w:bCs w:val="1"/>
                <w:color w:val="auto"/>
                <w:w w:val="97"/>
                <w:vertAlign w:val="superscript"/>
              </w:rPr>
              <w:t>th</w:t>
            </w:r>
            <w:r>
              <w:rPr>
                <w:rFonts w:ascii="Arial" w:cs="Arial" w:eastAsia="Arial" w:hAnsi="Arial"/>
                <w:sz w:val="16"/>
                <w:szCs w:val="16"/>
                <w:b w:val="1"/>
                <w:bCs w:val="1"/>
                <w:color w:val="auto"/>
                <w:w w:val="97"/>
              </w:rPr>
              <w:t xml:space="preserve"> percentile</w:t>
            </w:r>
          </w:p>
        </w:tc>
        <w:tc>
          <w:tcPr>
            <w:tcW w:w="0" w:type="dxa"/>
            <w:vAlign w:val="bottom"/>
          </w:tcPr>
          <w:p>
            <w:pPr>
              <w:spacing w:after="0"/>
              <w:rPr>
                <w:sz w:val="1"/>
                <w:szCs w:val="1"/>
                <w:color w:val="auto"/>
              </w:rPr>
            </w:pPr>
          </w:p>
        </w:tc>
      </w:tr>
      <w:tr>
        <w:trPr>
          <w:trHeight w:val="176"/>
        </w:trPr>
        <w:tc>
          <w:tcPr>
            <w:tcW w:w="1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760" w:type="dxa"/>
            <w:vAlign w:val="bottom"/>
          </w:tcPr>
          <w:p>
            <w:pPr>
              <w:jc w:val="center"/>
              <w:ind w:left="59"/>
              <w:spacing w:after="0" w:line="168" w:lineRule="exact"/>
              <w:rPr>
                <w:sz w:val="20"/>
                <w:szCs w:val="20"/>
                <w:color w:val="auto"/>
              </w:rPr>
            </w:pPr>
            <w:r>
              <w:rPr>
                <w:rFonts w:ascii="Arial" w:cs="Arial" w:eastAsia="Arial" w:hAnsi="Arial"/>
                <w:sz w:val="16"/>
                <w:szCs w:val="16"/>
                <w:b w:val="1"/>
                <w:bCs w:val="1"/>
                <w:color w:val="auto"/>
              </w:rPr>
              <w:t>Incentive</w:t>
            </w:r>
          </w:p>
        </w:tc>
        <w:tc>
          <w:tcPr>
            <w:tcW w:w="1740" w:type="dxa"/>
            <w:vAlign w:val="bottom"/>
            <w:tcBorders>
              <w:bottom w:val="single" w:sz="8" w:color="CB233C"/>
            </w:tcBorders>
          </w:tcPr>
          <w:p>
            <w:pPr>
              <w:spacing w:after="0"/>
              <w:rPr>
                <w:sz w:val="15"/>
                <w:szCs w:val="15"/>
                <w:color w:val="auto"/>
              </w:rPr>
            </w:pPr>
          </w:p>
        </w:tc>
        <w:tc>
          <w:tcPr>
            <w:tcW w:w="2420" w:type="dxa"/>
            <w:vAlign w:val="bottom"/>
            <w:tcBorders>
              <w:bottom w:val="single" w:sz="8" w:color="CB233C"/>
            </w:tcBorders>
          </w:tcPr>
          <w:p>
            <w:pPr>
              <w:jc w:val="center"/>
              <w:ind w:left="19"/>
              <w:spacing w:after="0" w:line="168" w:lineRule="exact"/>
              <w:rPr>
                <w:sz w:val="20"/>
                <w:szCs w:val="20"/>
                <w:color w:val="auto"/>
              </w:rPr>
            </w:pPr>
            <w:r>
              <w:rPr>
                <w:rFonts w:ascii="Arial" w:cs="Arial" w:eastAsia="Arial" w:hAnsi="Arial"/>
                <w:sz w:val="16"/>
                <w:szCs w:val="16"/>
                <w:b w:val="1"/>
                <w:bCs w:val="1"/>
                <w:color w:val="auto"/>
                <w:w w:val="99"/>
              </w:rPr>
              <w:t>MULTIPLIER</w:t>
            </w:r>
          </w:p>
        </w:tc>
        <w:tc>
          <w:tcPr>
            <w:tcW w:w="1640" w:type="dxa"/>
            <w:vAlign w:val="bottom"/>
            <w:tcBorders>
              <w:bottom w:val="single" w:sz="8" w:color="CB233C"/>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00" w:type="dxa"/>
            <w:vAlign w:val="bottom"/>
            <w:tcBorders>
              <w:bottom w:val="single" w:sz="8" w:color="CB233C"/>
            </w:tcBorders>
          </w:tcPr>
          <w:p>
            <w:pPr>
              <w:spacing w:after="0"/>
              <w:rPr>
                <w:sz w:val="18"/>
                <w:szCs w:val="18"/>
                <w:color w:val="auto"/>
              </w:rPr>
            </w:pPr>
          </w:p>
        </w:tc>
        <w:tc>
          <w:tcPr>
            <w:tcW w:w="560" w:type="dxa"/>
            <w:vAlign w:val="bottom"/>
            <w:tcBorders>
              <w:bottom w:val="single" w:sz="8" w:color="CB233C"/>
            </w:tcBorders>
          </w:tcPr>
          <w:p>
            <w:pPr>
              <w:spacing w:after="0"/>
              <w:rPr>
                <w:sz w:val="18"/>
                <w:szCs w:val="18"/>
                <w:color w:val="auto"/>
              </w:rPr>
            </w:pPr>
          </w:p>
        </w:tc>
        <w:tc>
          <w:tcPr>
            <w:tcW w:w="1520" w:type="dxa"/>
            <w:vAlign w:val="bottom"/>
            <w:tcBorders>
              <w:bottom w:val="single" w:sz="8" w:color="CB233C"/>
            </w:tcBorders>
          </w:tcPr>
          <w:p>
            <w:pPr>
              <w:spacing w:after="0"/>
              <w:rPr>
                <w:sz w:val="18"/>
                <w:szCs w:val="18"/>
                <w:color w:val="auto"/>
              </w:rPr>
            </w:pPr>
          </w:p>
        </w:tc>
        <w:tc>
          <w:tcPr>
            <w:tcW w:w="1760" w:type="dxa"/>
            <w:vAlign w:val="bottom"/>
            <w:tcBorders>
              <w:bottom w:val="single" w:sz="8" w:color="CB233C"/>
            </w:tcBorders>
          </w:tcPr>
          <w:p>
            <w:pPr>
              <w:jc w:val="center"/>
              <w:ind w:left="79"/>
              <w:spacing w:after="0" w:line="216" w:lineRule="exact"/>
              <w:rPr>
                <w:sz w:val="20"/>
                <w:szCs w:val="20"/>
                <w:color w:val="auto"/>
              </w:rPr>
            </w:pPr>
            <w:r>
              <w:rPr>
                <w:rFonts w:ascii="Arial" w:cs="Arial" w:eastAsia="Arial" w:hAnsi="Arial"/>
                <w:sz w:val="16"/>
                <w:szCs w:val="16"/>
                <w:b w:val="1"/>
                <w:bCs w:val="1"/>
                <w:color w:val="auto"/>
                <w:w w:val="96"/>
              </w:rPr>
              <w:t>Opportunity</w:t>
            </w:r>
            <w:r>
              <w:rPr>
                <w:rFonts w:ascii="Arial" w:cs="Arial" w:eastAsia="Arial" w:hAnsi="Arial"/>
                <w:sz w:val="25"/>
                <w:szCs w:val="25"/>
                <w:b w:val="1"/>
                <w:bCs w:val="1"/>
                <w:color w:val="auto"/>
                <w:w w:val="96"/>
                <w:vertAlign w:val="superscript"/>
              </w:rPr>
              <w:t>(1)</w:t>
            </w:r>
          </w:p>
        </w:tc>
        <w:tc>
          <w:tcPr>
            <w:tcW w:w="1740" w:type="dxa"/>
            <w:vAlign w:val="bottom"/>
            <w:tcBorders>
              <w:bottom w:val="single" w:sz="8" w:color="CB233C"/>
            </w:tcBorders>
            <w:shd w:val="clear" w:color="auto" w:fill="EBECEE"/>
          </w:tcPr>
          <w:p>
            <w:pPr>
              <w:jc w:val="center"/>
              <w:spacing w:after="0"/>
              <w:rPr>
                <w:sz w:val="20"/>
                <w:szCs w:val="20"/>
                <w:color w:val="auto"/>
              </w:rPr>
            </w:pPr>
            <w:r>
              <w:rPr>
                <w:rFonts w:ascii="Arial" w:cs="Arial" w:eastAsia="Arial" w:hAnsi="Arial"/>
                <w:sz w:val="16"/>
                <w:szCs w:val="16"/>
                <w:b w:val="1"/>
                <w:bCs w:val="1"/>
                <w:color w:val="auto"/>
              </w:rPr>
              <w:t>75%</w:t>
            </w:r>
          </w:p>
        </w:tc>
        <w:tc>
          <w:tcPr>
            <w:tcW w:w="2420" w:type="dxa"/>
            <w:vAlign w:val="bottom"/>
            <w:tcBorders>
              <w:bottom w:val="single" w:sz="8" w:color="CB233C"/>
            </w:tcBorders>
            <w:shd w:val="clear" w:color="auto" w:fill="EBECEE"/>
          </w:tcPr>
          <w:p>
            <w:pPr>
              <w:jc w:val="center"/>
              <w:ind w:left="39"/>
              <w:spacing w:after="0"/>
              <w:rPr>
                <w:sz w:val="20"/>
                <w:szCs w:val="20"/>
                <w:color w:val="auto"/>
              </w:rPr>
            </w:pPr>
            <w:r>
              <w:rPr>
                <w:rFonts w:ascii="Arial" w:cs="Arial" w:eastAsia="Arial" w:hAnsi="Arial"/>
                <w:sz w:val="16"/>
                <w:szCs w:val="16"/>
                <w:b w:val="1"/>
                <w:bCs w:val="1"/>
                <w:color w:val="auto"/>
              </w:rPr>
              <w:t>100%</w:t>
            </w:r>
          </w:p>
        </w:tc>
        <w:tc>
          <w:tcPr>
            <w:tcW w:w="1640" w:type="dxa"/>
            <w:vAlign w:val="bottom"/>
            <w:tcBorders>
              <w:bottom w:val="single" w:sz="8" w:color="CB233C"/>
            </w:tcBorders>
            <w:shd w:val="clear" w:color="auto" w:fill="EBECEE"/>
          </w:tcPr>
          <w:p>
            <w:pPr>
              <w:jc w:val="center"/>
              <w:ind w:left="99"/>
              <w:spacing w:after="0"/>
              <w:rPr>
                <w:sz w:val="20"/>
                <w:szCs w:val="20"/>
                <w:color w:val="auto"/>
              </w:rPr>
            </w:pPr>
            <w:r>
              <w:rPr>
                <w:rFonts w:ascii="Arial" w:cs="Arial" w:eastAsia="Arial" w:hAnsi="Arial"/>
                <w:sz w:val="16"/>
                <w:szCs w:val="16"/>
                <w:b w:val="1"/>
                <w:bCs w:val="1"/>
                <w:color w:val="auto"/>
              </w:rPr>
              <w:t>125%</w:t>
            </w:r>
          </w:p>
        </w:tc>
        <w:tc>
          <w:tcPr>
            <w:tcW w:w="0" w:type="dxa"/>
            <w:vAlign w:val="bottom"/>
          </w:tcPr>
          <w:p>
            <w:pPr>
              <w:spacing w:after="0"/>
              <w:rPr>
                <w:sz w:val="1"/>
                <w:szCs w:val="1"/>
                <w:color w:val="auto"/>
              </w:rPr>
            </w:pPr>
          </w:p>
        </w:tc>
      </w:tr>
      <w:tr>
        <w:trPr>
          <w:trHeight w:val="168"/>
        </w:trPr>
        <w:tc>
          <w:tcPr>
            <w:tcW w:w="1600" w:type="dxa"/>
            <w:vAlign w:val="bottom"/>
          </w:tcPr>
          <w:p>
            <w:pPr>
              <w:ind w:left="40"/>
              <w:spacing w:after="0" w:line="168" w:lineRule="exact"/>
              <w:rPr>
                <w:sz w:val="20"/>
                <w:szCs w:val="20"/>
                <w:color w:val="auto"/>
              </w:rPr>
            </w:pPr>
            <w:r>
              <w:rPr>
                <w:rFonts w:ascii="Arial" w:cs="Arial" w:eastAsia="Arial" w:hAnsi="Arial"/>
                <w:sz w:val="16"/>
                <w:szCs w:val="16"/>
                <w:b w:val="1"/>
                <w:bCs w:val="1"/>
                <w:color w:val="auto"/>
              </w:rPr>
              <w:t>HAL ROCE</w:t>
            </w:r>
          </w:p>
        </w:tc>
        <w:tc>
          <w:tcPr>
            <w:tcW w:w="2080" w:type="dxa"/>
            <w:vAlign w:val="bottom"/>
            <w:gridSpan w:val="2"/>
          </w:tcPr>
          <w:p>
            <w:pPr>
              <w:ind w:left="560"/>
              <w:spacing w:after="0" w:line="168" w:lineRule="exact"/>
              <w:rPr>
                <w:sz w:val="20"/>
                <w:szCs w:val="20"/>
                <w:color w:val="auto"/>
              </w:rPr>
            </w:pPr>
            <w:r>
              <w:rPr>
                <w:rFonts w:ascii="Arial" w:cs="Arial" w:eastAsia="Arial" w:hAnsi="Arial"/>
                <w:sz w:val="16"/>
                <w:szCs w:val="16"/>
                <w:b w:val="1"/>
                <w:bCs w:val="1"/>
                <w:color w:val="auto"/>
              </w:rPr>
              <w:t>Below</w:t>
            </w:r>
          </w:p>
        </w:tc>
        <w:tc>
          <w:tcPr>
            <w:tcW w:w="1760" w:type="dxa"/>
            <w:vAlign w:val="bottom"/>
          </w:tcPr>
          <w:p>
            <w:pPr>
              <w:jc w:val="center"/>
              <w:ind w:left="79"/>
              <w:spacing w:after="0" w:line="168" w:lineRule="exact"/>
              <w:rPr>
                <w:sz w:val="20"/>
                <w:szCs w:val="20"/>
                <w:color w:val="auto"/>
              </w:rPr>
            </w:pPr>
            <w:r>
              <w:rPr>
                <w:rFonts w:ascii="Arial" w:cs="Arial" w:eastAsia="Arial" w:hAnsi="Arial"/>
                <w:sz w:val="16"/>
                <w:szCs w:val="16"/>
                <w:color w:val="auto"/>
              </w:rPr>
              <w:t>0%</w:t>
            </w:r>
          </w:p>
        </w:tc>
        <w:tc>
          <w:tcPr>
            <w:tcW w:w="1740" w:type="dxa"/>
            <w:vAlign w:val="bottom"/>
          </w:tcPr>
          <w:p>
            <w:pPr>
              <w:jc w:val="center"/>
              <w:spacing w:after="0" w:line="168" w:lineRule="exact"/>
              <w:rPr>
                <w:sz w:val="20"/>
                <w:szCs w:val="20"/>
                <w:color w:val="auto"/>
              </w:rPr>
            </w:pPr>
            <w:r>
              <w:rPr>
                <w:rFonts w:ascii="Arial" w:cs="Arial" w:eastAsia="Arial" w:hAnsi="Arial"/>
                <w:sz w:val="16"/>
                <w:szCs w:val="16"/>
                <w:color w:val="auto"/>
                <w:w w:val="94"/>
              </w:rPr>
              <w:t>0%</w:t>
            </w:r>
          </w:p>
        </w:tc>
        <w:tc>
          <w:tcPr>
            <w:tcW w:w="2420" w:type="dxa"/>
            <w:vAlign w:val="bottom"/>
          </w:tcPr>
          <w:p>
            <w:pPr>
              <w:jc w:val="center"/>
              <w:ind w:left="19"/>
              <w:spacing w:after="0" w:line="168" w:lineRule="exact"/>
              <w:rPr>
                <w:sz w:val="20"/>
                <w:szCs w:val="20"/>
                <w:color w:val="auto"/>
              </w:rPr>
            </w:pPr>
            <w:r>
              <w:rPr>
                <w:rFonts w:ascii="Arial" w:cs="Arial" w:eastAsia="Arial" w:hAnsi="Arial"/>
                <w:sz w:val="16"/>
                <w:szCs w:val="16"/>
                <w:color w:val="auto"/>
              </w:rPr>
              <w:t>0%</w:t>
            </w:r>
          </w:p>
        </w:tc>
        <w:tc>
          <w:tcPr>
            <w:tcW w:w="1640" w:type="dxa"/>
            <w:vAlign w:val="bottom"/>
          </w:tcPr>
          <w:p>
            <w:pPr>
              <w:jc w:val="center"/>
              <w:ind w:left="99"/>
              <w:spacing w:after="0" w:line="168" w:lineRule="exact"/>
              <w:rPr>
                <w:sz w:val="20"/>
                <w:szCs w:val="20"/>
                <w:color w:val="auto"/>
              </w:rPr>
            </w:pPr>
            <w:r>
              <w:rPr>
                <w:rFonts w:ascii="Arial" w:cs="Arial" w:eastAsia="Arial" w:hAnsi="Arial"/>
                <w:sz w:val="16"/>
                <w:szCs w:val="16"/>
                <w:color w:val="auto"/>
                <w:w w:val="94"/>
              </w:rPr>
              <w:t>0%</w:t>
            </w:r>
          </w:p>
        </w:tc>
        <w:tc>
          <w:tcPr>
            <w:tcW w:w="0" w:type="dxa"/>
            <w:vAlign w:val="bottom"/>
          </w:tcPr>
          <w:p>
            <w:pPr>
              <w:spacing w:after="0"/>
              <w:rPr>
                <w:sz w:val="1"/>
                <w:szCs w:val="1"/>
                <w:color w:val="auto"/>
              </w:rPr>
            </w:pPr>
          </w:p>
        </w:tc>
      </w:tr>
      <w:tr>
        <w:trPr>
          <w:trHeight w:val="189"/>
        </w:trPr>
        <w:tc>
          <w:tcPr>
            <w:tcW w:w="1600" w:type="dxa"/>
            <w:vAlign w:val="bottom"/>
          </w:tcPr>
          <w:p>
            <w:pPr>
              <w:ind w:left="40"/>
              <w:spacing w:after="0"/>
              <w:rPr>
                <w:sz w:val="20"/>
                <w:szCs w:val="20"/>
                <w:color w:val="auto"/>
              </w:rPr>
            </w:pPr>
            <w:r>
              <w:rPr>
                <w:rFonts w:ascii="Arial" w:cs="Arial" w:eastAsia="Arial" w:hAnsi="Arial"/>
                <w:sz w:val="16"/>
                <w:szCs w:val="16"/>
                <w:b w:val="1"/>
                <w:bCs w:val="1"/>
                <w:color w:val="auto"/>
              </w:rPr>
              <w:t>Ranking vs.</w:t>
            </w:r>
          </w:p>
        </w:tc>
        <w:tc>
          <w:tcPr>
            <w:tcW w:w="2080" w:type="dxa"/>
            <w:vAlign w:val="bottom"/>
            <w:gridSpan w:val="2"/>
          </w:tcPr>
          <w:p>
            <w:pPr>
              <w:ind w:left="560"/>
              <w:spacing w:after="0"/>
              <w:rPr>
                <w:sz w:val="20"/>
                <w:szCs w:val="20"/>
                <w:color w:val="auto"/>
              </w:rPr>
            </w:pPr>
            <w:r>
              <w:rPr>
                <w:rFonts w:ascii="Arial" w:cs="Arial" w:eastAsia="Arial" w:hAnsi="Arial"/>
                <w:sz w:val="16"/>
                <w:szCs w:val="16"/>
                <w:b w:val="1"/>
                <w:bCs w:val="1"/>
                <w:color w:val="auto"/>
              </w:rPr>
              <w:t>Threshold</w:t>
            </w:r>
          </w:p>
        </w:tc>
        <w:tc>
          <w:tcPr>
            <w:tcW w:w="176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i w:val="1"/>
                <w:iCs w:val="1"/>
                <w:color w:val="auto"/>
              </w:rPr>
              <w:t>(0% x 75%)</w:t>
            </w:r>
          </w:p>
        </w:tc>
        <w:tc>
          <w:tcPr>
            <w:tcW w:w="2420" w:type="dxa"/>
            <w:vAlign w:val="bottom"/>
          </w:tcPr>
          <w:p>
            <w:pPr>
              <w:jc w:val="center"/>
              <w:ind w:left="19"/>
              <w:spacing w:after="0"/>
              <w:rPr>
                <w:sz w:val="20"/>
                <w:szCs w:val="20"/>
                <w:color w:val="auto"/>
              </w:rPr>
            </w:pPr>
            <w:r>
              <w:rPr>
                <w:rFonts w:ascii="Arial" w:cs="Arial" w:eastAsia="Arial" w:hAnsi="Arial"/>
                <w:sz w:val="16"/>
                <w:szCs w:val="16"/>
                <w:i w:val="1"/>
                <w:iCs w:val="1"/>
                <w:color w:val="auto"/>
              </w:rPr>
              <w:t>(0% x 100%)</w:t>
            </w:r>
          </w:p>
        </w:tc>
        <w:tc>
          <w:tcPr>
            <w:tcW w:w="1640" w:type="dxa"/>
            <w:vAlign w:val="bottom"/>
          </w:tcPr>
          <w:p>
            <w:pPr>
              <w:jc w:val="center"/>
              <w:ind w:left="99"/>
              <w:spacing w:after="0"/>
              <w:rPr>
                <w:sz w:val="20"/>
                <w:szCs w:val="20"/>
                <w:color w:val="auto"/>
              </w:rPr>
            </w:pPr>
            <w:r>
              <w:rPr>
                <w:rFonts w:ascii="Arial" w:cs="Arial" w:eastAsia="Arial" w:hAnsi="Arial"/>
                <w:sz w:val="16"/>
                <w:szCs w:val="16"/>
                <w:i w:val="1"/>
                <w:iCs w:val="1"/>
                <w:color w:val="auto"/>
              </w:rPr>
              <w:t>(0% x 125%)</w:t>
            </w:r>
          </w:p>
        </w:tc>
        <w:tc>
          <w:tcPr>
            <w:tcW w:w="0" w:type="dxa"/>
            <w:vAlign w:val="bottom"/>
          </w:tcPr>
          <w:p>
            <w:pPr>
              <w:spacing w:after="0"/>
              <w:rPr>
                <w:sz w:val="1"/>
                <w:szCs w:val="1"/>
                <w:color w:val="auto"/>
              </w:rPr>
            </w:pPr>
          </w:p>
        </w:tc>
      </w:tr>
      <w:tr>
        <w:trPr>
          <w:trHeight w:val="244"/>
        </w:trPr>
        <w:tc>
          <w:tcPr>
            <w:tcW w:w="1600" w:type="dxa"/>
            <w:vAlign w:val="bottom"/>
          </w:tcPr>
          <w:p>
            <w:pPr>
              <w:ind w:left="40"/>
              <w:spacing w:after="0"/>
              <w:rPr>
                <w:sz w:val="20"/>
                <w:szCs w:val="20"/>
                <w:color w:val="auto"/>
              </w:rPr>
            </w:pPr>
            <w:r>
              <w:rPr>
                <w:rFonts w:ascii="Arial" w:cs="Arial" w:eastAsia="Arial" w:hAnsi="Arial"/>
                <w:sz w:val="16"/>
                <w:szCs w:val="16"/>
                <w:b w:val="1"/>
                <w:bCs w:val="1"/>
                <w:color w:val="auto"/>
              </w:rPr>
              <w:t>Performance</w:t>
            </w:r>
          </w:p>
        </w:tc>
        <w:tc>
          <w:tcPr>
            <w:tcW w:w="2080" w:type="dxa"/>
            <w:vAlign w:val="bottom"/>
            <w:gridSpan w:val="2"/>
          </w:tcPr>
          <w:p>
            <w:pPr>
              <w:ind w:left="560"/>
              <w:spacing w:after="0" w:line="243" w:lineRule="exact"/>
              <w:rPr>
                <w:sz w:val="20"/>
                <w:szCs w:val="20"/>
                <w:color w:val="auto"/>
              </w:rPr>
            </w:pPr>
            <w:r>
              <w:rPr>
                <w:rFonts w:ascii="Arial" w:cs="Arial" w:eastAsia="Arial" w:hAnsi="Arial"/>
                <w:sz w:val="16"/>
                <w:szCs w:val="16"/>
                <w:color w:val="auto"/>
              </w:rPr>
              <w:t>&lt;25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17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600" w:type="dxa"/>
            <w:vAlign w:val="bottom"/>
          </w:tcPr>
          <w:p>
            <w:pPr>
              <w:ind w:left="40"/>
              <w:spacing w:after="0" w:line="177" w:lineRule="exact"/>
              <w:rPr>
                <w:sz w:val="20"/>
                <w:szCs w:val="20"/>
                <w:color w:val="auto"/>
              </w:rPr>
            </w:pPr>
            <w:r>
              <w:rPr>
                <w:rFonts w:ascii="Arial" w:cs="Arial" w:eastAsia="Arial" w:hAnsi="Arial"/>
                <w:sz w:val="16"/>
                <w:szCs w:val="16"/>
                <w:b w:val="1"/>
                <w:bCs w:val="1"/>
                <w:color w:val="auto"/>
              </w:rPr>
              <w:t>Peer Group</w:t>
            </w:r>
          </w:p>
        </w:tc>
        <w:tc>
          <w:tcPr>
            <w:tcW w:w="560" w:type="dxa"/>
            <w:vAlign w:val="bottom"/>
          </w:tcPr>
          <w:p>
            <w:pPr>
              <w:spacing w:after="0"/>
              <w:rPr>
                <w:sz w:val="15"/>
                <w:szCs w:val="15"/>
                <w:color w:val="auto"/>
              </w:rPr>
            </w:pPr>
          </w:p>
        </w:tc>
        <w:tc>
          <w:tcPr>
            <w:tcW w:w="1520" w:type="dxa"/>
            <w:vAlign w:val="bottom"/>
            <w:shd w:val="clear" w:color="auto" w:fill="EBECEE"/>
          </w:tcPr>
          <w:p>
            <w:pPr>
              <w:spacing w:after="0" w:line="177" w:lineRule="exact"/>
              <w:rPr>
                <w:sz w:val="20"/>
                <w:szCs w:val="20"/>
                <w:color w:val="auto"/>
              </w:rPr>
            </w:pPr>
            <w:r>
              <w:rPr>
                <w:rFonts w:ascii="Arial" w:cs="Arial" w:eastAsia="Arial" w:hAnsi="Arial"/>
                <w:sz w:val="16"/>
                <w:szCs w:val="16"/>
                <w:b w:val="1"/>
                <w:bCs w:val="1"/>
                <w:color w:val="auto"/>
              </w:rPr>
              <w:t>Threshold</w:t>
            </w:r>
          </w:p>
        </w:tc>
        <w:tc>
          <w:tcPr>
            <w:tcW w:w="1760" w:type="dxa"/>
            <w:vAlign w:val="bottom"/>
            <w:shd w:val="clear" w:color="auto" w:fill="EBECEE"/>
          </w:tcPr>
          <w:p>
            <w:pPr>
              <w:jc w:val="right"/>
              <w:ind w:right="559"/>
              <w:spacing w:after="0" w:line="177" w:lineRule="exact"/>
              <w:rPr>
                <w:sz w:val="20"/>
                <w:szCs w:val="20"/>
                <w:color w:val="auto"/>
              </w:rPr>
            </w:pPr>
            <w:r>
              <w:rPr>
                <w:rFonts w:ascii="Arial" w:cs="Arial" w:eastAsia="Arial" w:hAnsi="Arial"/>
                <w:sz w:val="16"/>
                <w:szCs w:val="16"/>
                <w:color w:val="auto"/>
              </w:rPr>
              <w:t>25%</w:t>
            </w:r>
          </w:p>
        </w:tc>
        <w:tc>
          <w:tcPr>
            <w:tcW w:w="1740" w:type="dxa"/>
            <w:vAlign w:val="bottom"/>
            <w:shd w:val="clear" w:color="auto" w:fill="EBECEE"/>
          </w:tcPr>
          <w:p>
            <w:pPr>
              <w:jc w:val="center"/>
              <w:spacing w:after="0" w:line="177" w:lineRule="exact"/>
              <w:rPr>
                <w:sz w:val="20"/>
                <w:szCs w:val="20"/>
                <w:color w:val="auto"/>
              </w:rPr>
            </w:pPr>
            <w:r>
              <w:rPr>
                <w:rFonts w:ascii="Arial" w:cs="Arial" w:eastAsia="Arial" w:hAnsi="Arial"/>
                <w:sz w:val="16"/>
                <w:szCs w:val="16"/>
                <w:color w:val="auto"/>
                <w:w w:val="99"/>
              </w:rPr>
              <w:t>18.75%</w:t>
            </w:r>
          </w:p>
        </w:tc>
        <w:tc>
          <w:tcPr>
            <w:tcW w:w="2420" w:type="dxa"/>
            <w:vAlign w:val="bottom"/>
            <w:shd w:val="clear" w:color="auto" w:fill="EBECEE"/>
          </w:tcPr>
          <w:p>
            <w:pPr>
              <w:jc w:val="center"/>
              <w:ind w:left="19"/>
              <w:spacing w:after="0" w:line="177" w:lineRule="exact"/>
              <w:rPr>
                <w:sz w:val="20"/>
                <w:szCs w:val="20"/>
                <w:color w:val="auto"/>
              </w:rPr>
            </w:pPr>
            <w:r>
              <w:rPr>
                <w:rFonts w:ascii="Arial" w:cs="Arial" w:eastAsia="Arial" w:hAnsi="Arial"/>
                <w:sz w:val="16"/>
                <w:szCs w:val="16"/>
                <w:i w:val="1"/>
                <w:iCs w:val="1"/>
                <w:color w:val="auto"/>
                <w:w w:val="99"/>
              </w:rPr>
              <w:t>25%</w:t>
            </w:r>
          </w:p>
        </w:tc>
        <w:tc>
          <w:tcPr>
            <w:tcW w:w="1640" w:type="dxa"/>
            <w:vAlign w:val="bottom"/>
            <w:shd w:val="clear" w:color="auto" w:fill="EBECEE"/>
          </w:tcPr>
          <w:p>
            <w:pPr>
              <w:jc w:val="center"/>
              <w:ind w:left="99"/>
              <w:spacing w:after="0" w:line="177" w:lineRule="exact"/>
              <w:rPr>
                <w:sz w:val="20"/>
                <w:szCs w:val="20"/>
                <w:color w:val="auto"/>
              </w:rPr>
            </w:pPr>
            <w:r>
              <w:rPr>
                <w:rFonts w:ascii="Arial" w:cs="Arial" w:eastAsia="Arial" w:hAnsi="Arial"/>
                <w:sz w:val="16"/>
                <w:szCs w:val="16"/>
                <w:color w:val="auto"/>
                <w:w w:val="99"/>
              </w:rPr>
              <w:t>31.25%</w:t>
            </w:r>
          </w:p>
        </w:tc>
        <w:tc>
          <w:tcPr>
            <w:tcW w:w="0" w:type="dxa"/>
            <w:vAlign w:val="bottom"/>
          </w:tcPr>
          <w:p>
            <w:pPr>
              <w:spacing w:after="0"/>
              <w:rPr>
                <w:sz w:val="1"/>
                <w:szCs w:val="1"/>
                <w:color w:val="auto"/>
              </w:rPr>
            </w:pPr>
          </w:p>
        </w:tc>
      </w:tr>
      <w:tr>
        <w:trPr>
          <w:trHeight w:val="242"/>
        </w:trPr>
        <w:tc>
          <w:tcPr>
            <w:tcW w:w="1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shd w:val="clear" w:color="auto" w:fill="EBECEE"/>
          </w:tcPr>
          <w:p>
            <w:pPr>
              <w:spacing w:after="0" w:line="242" w:lineRule="exact"/>
              <w:rPr>
                <w:sz w:val="20"/>
                <w:szCs w:val="20"/>
                <w:color w:val="auto"/>
              </w:rPr>
            </w:pPr>
            <w:r>
              <w:rPr>
                <w:rFonts w:ascii="Arial" w:cs="Arial" w:eastAsia="Arial" w:hAnsi="Arial"/>
                <w:sz w:val="16"/>
                <w:szCs w:val="16"/>
                <w:color w:val="auto"/>
              </w:rPr>
              <w:t>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1760" w:type="dxa"/>
            <w:vAlign w:val="bottom"/>
            <w:shd w:val="clear" w:color="auto" w:fill="EBECEE"/>
          </w:tcPr>
          <w:p>
            <w:pPr>
              <w:spacing w:after="0"/>
              <w:rPr>
                <w:sz w:val="21"/>
                <w:szCs w:val="21"/>
                <w:color w:val="auto"/>
              </w:rPr>
            </w:pPr>
          </w:p>
        </w:tc>
        <w:tc>
          <w:tcPr>
            <w:tcW w:w="1740" w:type="dxa"/>
            <w:vAlign w:val="bottom"/>
            <w:shd w:val="clear" w:color="auto" w:fill="EBECEE"/>
          </w:tcPr>
          <w:p>
            <w:pPr>
              <w:jc w:val="center"/>
              <w:spacing w:after="0"/>
              <w:rPr>
                <w:sz w:val="20"/>
                <w:szCs w:val="20"/>
                <w:color w:val="auto"/>
              </w:rPr>
            </w:pPr>
            <w:r>
              <w:rPr>
                <w:rFonts w:ascii="Arial" w:cs="Arial" w:eastAsia="Arial" w:hAnsi="Arial"/>
                <w:sz w:val="16"/>
                <w:szCs w:val="16"/>
                <w:i w:val="1"/>
                <w:iCs w:val="1"/>
                <w:color w:val="auto"/>
              </w:rPr>
              <w:t>(25% x 75%)</w:t>
            </w:r>
          </w:p>
        </w:tc>
        <w:tc>
          <w:tcPr>
            <w:tcW w:w="2420" w:type="dxa"/>
            <w:vAlign w:val="bottom"/>
            <w:shd w:val="clear" w:color="auto" w:fill="EBECEE"/>
          </w:tcPr>
          <w:p>
            <w:pPr>
              <w:jc w:val="center"/>
              <w:ind w:left="39"/>
              <w:spacing w:after="0"/>
              <w:rPr>
                <w:sz w:val="20"/>
                <w:szCs w:val="20"/>
                <w:color w:val="auto"/>
              </w:rPr>
            </w:pPr>
            <w:r>
              <w:rPr>
                <w:rFonts w:ascii="Arial" w:cs="Arial" w:eastAsia="Arial" w:hAnsi="Arial"/>
                <w:sz w:val="16"/>
                <w:szCs w:val="16"/>
                <w:i w:val="1"/>
                <w:iCs w:val="1"/>
                <w:color w:val="auto"/>
              </w:rPr>
              <w:t>(25% x 100%)</w:t>
            </w:r>
          </w:p>
        </w:tc>
        <w:tc>
          <w:tcPr>
            <w:tcW w:w="1640" w:type="dxa"/>
            <w:vAlign w:val="bottom"/>
            <w:shd w:val="clear" w:color="auto" w:fill="EBECEE"/>
          </w:tcPr>
          <w:p>
            <w:pPr>
              <w:jc w:val="center"/>
              <w:ind w:left="99"/>
              <w:spacing w:after="0"/>
              <w:rPr>
                <w:sz w:val="20"/>
                <w:szCs w:val="20"/>
                <w:color w:val="auto"/>
              </w:rPr>
            </w:pPr>
            <w:r>
              <w:rPr>
                <w:rFonts w:ascii="Arial" w:cs="Arial" w:eastAsia="Arial" w:hAnsi="Arial"/>
                <w:sz w:val="16"/>
                <w:szCs w:val="16"/>
                <w:i w:val="1"/>
                <w:iCs w:val="1"/>
                <w:color w:val="auto"/>
              </w:rPr>
              <w:t>(25% x 125%)</w:t>
            </w:r>
          </w:p>
        </w:tc>
        <w:tc>
          <w:tcPr>
            <w:tcW w:w="0" w:type="dxa"/>
            <w:vAlign w:val="bottom"/>
          </w:tcPr>
          <w:p>
            <w:pPr>
              <w:spacing w:after="0"/>
              <w:rPr>
                <w:sz w:val="1"/>
                <w:szCs w:val="1"/>
                <w:color w:val="auto"/>
              </w:rPr>
            </w:pPr>
          </w:p>
        </w:tc>
      </w:tr>
      <w:tr>
        <w:trPr>
          <w:trHeight w:val="176"/>
        </w:trPr>
        <w:tc>
          <w:tcPr>
            <w:tcW w:w="1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20" w:type="dxa"/>
            <w:vAlign w:val="bottom"/>
          </w:tcPr>
          <w:p>
            <w:pPr>
              <w:spacing w:after="0" w:line="177" w:lineRule="exact"/>
              <w:rPr>
                <w:sz w:val="20"/>
                <w:szCs w:val="20"/>
                <w:color w:val="auto"/>
              </w:rPr>
            </w:pPr>
            <w:r>
              <w:rPr>
                <w:rFonts w:ascii="Arial" w:cs="Arial" w:eastAsia="Arial" w:hAnsi="Arial"/>
                <w:sz w:val="16"/>
                <w:szCs w:val="16"/>
                <w:b w:val="1"/>
                <w:bCs w:val="1"/>
                <w:color w:val="auto"/>
              </w:rPr>
              <w:t>Plan</w:t>
            </w:r>
          </w:p>
        </w:tc>
        <w:tc>
          <w:tcPr>
            <w:tcW w:w="1760" w:type="dxa"/>
            <w:vAlign w:val="bottom"/>
          </w:tcPr>
          <w:p>
            <w:pPr>
              <w:jc w:val="right"/>
              <w:ind w:right="559"/>
              <w:spacing w:after="0" w:line="177" w:lineRule="exact"/>
              <w:rPr>
                <w:sz w:val="20"/>
                <w:szCs w:val="20"/>
                <w:color w:val="auto"/>
              </w:rPr>
            </w:pPr>
            <w:r>
              <w:rPr>
                <w:rFonts w:ascii="Arial" w:cs="Arial" w:eastAsia="Arial" w:hAnsi="Arial"/>
                <w:sz w:val="16"/>
                <w:szCs w:val="16"/>
                <w:color w:val="auto"/>
              </w:rPr>
              <w:t>100%</w:t>
            </w:r>
          </w:p>
        </w:tc>
        <w:tc>
          <w:tcPr>
            <w:tcW w:w="1740" w:type="dxa"/>
            <w:vAlign w:val="bottom"/>
          </w:tcPr>
          <w:p>
            <w:pPr>
              <w:jc w:val="center"/>
              <w:spacing w:after="0" w:line="177" w:lineRule="exact"/>
              <w:rPr>
                <w:sz w:val="20"/>
                <w:szCs w:val="20"/>
                <w:color w:val="auto"/>
              </w:rPr>
            </w:pPr>
            <w:r>
              <w:rPr>
                <w:rFonts w:ascii="Arial" w:cs="Arial" w:eastAsia="Arial" w:hAnsi="Arial"/>
                <w:sz w:val="16"/>
                <w:szCs w:val="16"/>
                <w:color w:val="auto"/>
              </w:rPr>
              <w:t>75%</w:t>
            </w:r>
          </w:p>
        </w:tc>
        <w:tc>
          <w:tcPr>
            <w:tcW w:w="2420" w:type="dxa"/>
            <w:vAlign w:val="bottom"/>
          </w:tcPr>
          <w:p>
            <w:pPr>
              <w:jc w:val="center"/>
              <w:ind w:left="39"/>
              <w:spacing w:after="0" w:line="177" w:lineRule="exact"/>
              <w:rPr>
                <w:sz w:val="20"/>
                <w:szCs w:val="20"/>
                <w:color w:val="auto"/>
              </w:rPr>
            </w:pPr>
            <w:r>
              <w:rPr>
                <w:rFonts w:ascii="Arial" w:cs="Arial" w:eastAsia="Arial" w:hAnsi="Arial"/>
                <w:sz w:val="16"/>
                <w:szCs w:val="16"/>
                <w:color w:val="auto"/>
              </w:rPr>
              <w:t>100%</w:t>
            </w:r>
          </w:p>
        </w:tc>
        <w:tc>
          <w:tcPr>
            <w:tcW w:w="1640" w:type="dxa"/>
            <w:vAlign w:val="bottom"/>
          </w:tcPr>
          <w:p>
            <w:pPr>
              <w:jc w:val="center"/>
              <w:ind w:left="99"/>
              <w:spacing w:after="0" w:line="177" w:lineRule="exact"/>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42"/>
        </w:trPr>
        <w:tc>
          <w:tcPr>
            <w:tcW w:w="1600" w:type="dxa"/>
            <w:vAlign w:val="bottom"/>
          </w:tcPr>
          <w:p>
            <w:pPr>
              <w:spacing w:after="0"/>
              <w:rPr>
                <w:sz w:val="21"/>
                <w:szCs w:val="21"/>
                <w:color w:val="auto"/>
              </w:rPr>
            </w:pPr>
          </w:p>
        </w:tc>
        <w:tc>
          <w:tcPr>
            <w:tcW w:w="2080" w:type="dxa"/>
            <w:vAlign w:val="bottom"/>
            <w:gridSpan w:val="2"/>
          </w:tcPr>
          <w:p>
            <w:pPr>
              <w:ind w:left="560"/>
              <w:spacing w:after="0" w:line="242" w:lineRule="exact"/>
              <w:rPr>
                <w:sz w:val="20"/>
                <w:szCs w:val="20"/>
                <w:color w:val="auto"/>
              </w:rPr>
            </w:pPr>
            <w:r>
              <w:rPr>
                <w:rFonts w:ascii="Arial" w:cs="Arial" w:eastAsia="Arial" w:hAnsi="Arial"/>
                <w:sz w:val="16"/>
                <w:szCs w:val="16"/>
                <w:color w:val="auto"/>
              </w:rPr>
              <w:t>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176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6"/>
                <w:szCs w:val="16"/>
                <w:i w:val="1"/>
                <w:iCs w:val="1"/>
                <w:color w:val="auto"/>
              </w:rPr>
              <w:t>(100% x 75%)</w:t>
            </w:r>
          </w:p>
        </w:tc>
        <w:tc>
          <w:tcPr>
            <w:tcW w:w="2420" w:type="dxa"/>
            <w:vAlign w:val="bottom"/>
          </w:tcPr>
          <w:p>
            <w:pPr>
              <w:jc w:val="center"/>
              <w:ind w:left="39"/>
              <w:spacing w:after="0"/>
              <w:rPr>
                <w:sz w:val="20"/>
                <w:szCs w:val="20"/>
                <w:color w:val="auto"/>
              </w:rPr>
            </w:pPr>
            <w:r>
              <w:rPr>
                <w:rFonts w:ascii="Arial" w:cs="Arial" w:eastAsia="Arial" w:hAnsi="Arial"/>
                <w:sz w:val="16"/>
                <w:szCs w:val="16"/>
                <w:i w:val="1"/>
                <w:iCs w:val="1"/>
                <w:color w:val="auto"/>
              </w:rPr>
              <w:t>(100% x 100%)</w:t>
            </w:r>
          </w:p>
        </w:tc>
        <w:tc>
          <w:tcPr>
            <w:tcW w:w="1640" w:type="dxa"/>
            <w:vAlign w:val="bottom"/>
          </w:tcPr>
          <w:p>
            <w:pPr>
              <w:jc w:val="center"/>
              <w:ind w:left="99"/>
              <w:spacing w:after="0"/>
              <w:rPr>
                <w:sz w:val="20"/>
                <w:szCs w:val="20"/>
                <w:color w:val="auto"/>
              </w:rPr>
            </w:pPr>
            <w:r>
              <w:rPr>
                <w:rFonts w:ascii="Arial" w:cs="Arial" w:eastAsia="Arial" w:hAnsi="Arial"/>
                <w:sz w:val="16"/>
                <w:szCs w:val="16"/>
                <w:i w:val="1"/>
                <w:iCs w:val="1"/>
                <w:color w:val="auto"/>
              </w:rPr>
              <w:t>(100% x 125%)</w:t>
            </w:r>
          </w:p>
        </w:tc>
        <w:tc>
          <w:tcPr>
            <w:tcW w:w="0" w:type="dxa"/>
            <w:vAlign w:val="bottom"/>
          </w:tcPr>
          <w:p>
            <w:pPr>
              <w:spacing w:after="0"/>
              <w:rPr>
                <w:sz w:val="1"/>
                <w:szCs w:val="1"/>
                <w:color w:val="auto"/>
              </w:rPr>
            </w:pPr>
          </w:p>
        </w:tc>
      </w:tr>
      <w:tr>
        <w:trPr>
          <w:trHeight w:val="176"/>
        </w:trPr>
        <w:tc>
          <w:tcPr>
            <w:tcW w:w="1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20" w:type="dxa"/>
            <w:vAlign w:val="bottom"/>
            <w:shd w:val="clear" w:color="auto" w:fill="EBECEE"/>
          </w:tcPr>
          <w:p>
            <w:pPr>
              <w:spacing w:after="0" w:line="177" w:lineRule="exact"/>
              <w:rPr>
                <w:sz w:val="20"/>
                <w:szCs w:val="20"/>
                <w:color w:val="auto"/>
              </w:rPr>
            </w:pPr>
            <w:r>
              <w:rPr>
                <w:rFonts w:ascii="Arial" w:cs="Arial" w:eastAsia="Arial" w:hAnsi="Arial"/>
                <w:sz w:val="16"/>
                <w:szCs w:val="16"/>
                <w:b w:val="1"/>
                <w:bCs w:val="1"/>
                <w:color w:val="auto"/>
              </w:rPr>
              <w:t>Challenge</w:t>
            </w:r>
          </w:p>
        </w:tc>
        <w:tc>
          <w:tcPr>
            <w:tcW w:w="1760" w:type="dxa"/>
            <w:vAlign w:val="bottom"/>
            <w:shd w:val="clear" w:color="auto" w:fill="EBECEE"/>
          </w:tcPr>
          <w:p>
            <w:pPr>
              <w:jc w:val="right"/>
              <w:ind w:right="559"/>
              <w:spacing w:after="0" w:line="177" w:lineRule="exact"/>
              <w:rPr>
                <w:sz w:val="20"/>
                <w:szCs w:val="20"/>
                <w:color w:val="auto"/>
              </w:rPr>
            </w:pPr>
            <w:r>
              <w:rPr>
                <w:rFonts w:ascii="Arial" w:cs="Arial" w:eastAsia="Arial" w:hAnsi="Arial"/>
                <w:sz w:val="16"/>
                <w:szCs w:val="16"/>
                <w:color w:val="auto"/>
              </w:rPr>
              <w:t>200%</w:t>
            </w:r>
          </w:p>
        </w:tc>
        <w:tc>
          <w:tcPr>
            <w:tcW w:w="1740" w:type="dxa"/>
            <w:vAlign w:val="bottom"/>
            <w:shd w:val="clear" w:color="auto" w:fill="EBECEE"/>
          </w:tcPr>
          <w:p>
            <w:pPr>
              <w:jc w:val="center"/>
              <w:spacing w:after="0" w:line="177" w:lineRule="exact"/>
              <w:rPr>
                <w:sz w:val="20"/>
                <w:szCs w:val="20"/>
                <w:color w:val="auto"/>
              </w:rPr>
            </w:pPr>
            <w:r>
              <w:rPr>
                <w:rFonts w:ascii="Arial" w:cs="Arial" w:eastAsia="Arial" w:hAnsi="Arial"/>
                <w:sz w:val="16"/>
                <w:szCs w:val="16"/>
                <w:color w:val="auto"/>
              </w:rPr>
              <w:t>150%</w:t>
            </w:r>
          </w:p>
        </w:tc>
        <w:tc>
          <w:tcPr>
            <w:tcW w:w="2420" w:type="dxa"/>
            <w:vAlign w:val="bottom"/>
            <w:shd w:val="clear" w:color="auto" w:fill="EBECEE"/>
          </w:tcPr>
          <w:p>
            <w:pPr>
              <w:jc w:val="center"/>
              <w:ind w:left="39"/>
              <w:spacing w:after="0" w:line="177" w:lineRule="exact"/>
              <w:rPr>
                <w:sz w:val="20"/>
                <w:szCs w:val="20"/>
                <w:color w:val="auto"/>
              </w:rPr>
            </w:pPr>
            <w:r>
              <w:rPr>
                <w:rFonts w:ascii="Arial" w:cs="Arial" w:eastAsia="Arial" w:hAnsi="Arial"/>
                <w:sz w:val="16"/>
                <w:szCs w:val="16"/>
                <w:color w:val="auto"/>
              </w:rPr>
              <w:t>200%</w:t>
            </w:r>
          </w:p>
        </w:tc>
        <w:tc>
          <w:tcPr>
            <w:tcW w:w="1640" w:type="dxa"/>
            <w:vAlign w:val="bottom"/>
            <w:shd w:val="clear" w:color="auto" w:fill="EBECEE"/>
          </w:tcPr>
          <w:p>
            <w:pPr>
              <w:jc w:val="center"/>
              <w:ind w:left="99"/>
              <w:spacing w:after="0" w:line="177" w:lineRule="exact"/>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42"/>
        </w:trPr>
        <w:tc>
          <w:tcPr>
            <w:tcW w:w="1600" w:type="dxa"/>
            <w:vAlign w:val="bottom"/>
            <w:tcBorders>
              <w:bottom w:val="single" w:sz="8" w:color="CB233C"/>
            </w:tcBorders>
          </w:tcPr>
          <w:p>
            <w:pPr>
              <w:spacing w:after="0"/>
              <w:rPr>
                <w:sz w:val="21"/>
                <w:szCs w:val="21"/>
                <w:color w:val="auto"/>
              </w:rPr>
            </w:pPr>
          </w:p>
        </w:tc>
        <w:tc>
          <w:tcPr>
            <w:tcW w:w="560" w:type="dxa"/>
            <w:vAlign w:val="bottom"/>
            <w:tcBorders>
              <w:bottom w:val="single" w:sz="8" w:color="CB233C"/>
            </w:tcBorders>
          </w:tcPr>
          <w:p>
            <w:pPr>
              <w:spacing w:after="0"/>
              <w:rPr>
                <w:sz w:val="21"/>
                <w:szCs w:val="21"/>
                <w:color w:val="auto"/>
              </w:rPr>
            </w:pPr>
          </w:p>
        </w:tc>
        <w:tc>
          <w:tcPr>
            <w:tcW w:w="1520" w:type="dxa"/>
            <w:vAlign w:val="bottom"/>
            <w:tcBorders>
              <w:bottom w:val="single" w:sz="8" w:color="CB233C"/>
            </w:tcBorders>
            <w:shd w:val="clear" w:color="auto" w:fill="EBECEE"/>
          </w:tcPr>
          <w:p>
            <w:pPr>
              <w:spacing w:after="0" w:line="242" w:lineRule="exact"/>
              <w:rPr>
                <w:sz w:val="20"/>
                <w:szCs w:val="20"/>
                <w:color w:val="auto"/>
              </w:rPr>
            </w:pPr>
            <w:r>
              <w:rPr>
                <w:rFonts w:ascii="Arial" w:cs="Arial" w:eastAsia="Arial" w:hAnsi="Arial"/>
                <w:sz w:val="16"/>
                <w:szCs w:val="16"/>
                <w:color w:val="auto"/>
              </w:rPr>
              <w:t>≥75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1760" w:type="dxa"/>
            <w:vAlign w:val="bottom"/>
            <w:tcBorders>
              <w:bottom w:val="single" w:sz="8" w:color="CB233C"/>
            </w:tcBorders>
            <w:shd w:val="clear" w:color="auto" w:fill="EBECEE"/>
          </w:tcPr>
          <w:p>
            <w:pPr>
              <w:spacing w:after="0"/>
              <w:rPr>
                <w:sz w:val="21"/>
                <w:szCs w:val="21"/>
                <w:color w:val="auto"/>
              </w:rPr>
            </w:pPr>
          </w:p>
        </w:tc>
        <w:tc>
          <w:tcPr>
            <w:tcW w:w="1740" w:type="dxa"/>
            <w:vAlign w:val="bottom"/>
            <w:tcBorders>
              <w:bottom w:val="single" w:sz="8" w:color="CB233C"/>
            </w:tcBorders>
            <w:shd w:val="clear" w:color="auto" w:fill="EBECEE"/>
          </w:tcPr>
          <w:p>
            <w:pPr>
              <w:jc w:val="center"/>
              <w:spacing w:after="0"/>
              <w:rPr>
                <w:sz w:val="20"/>
                <w:szCs w:val="20"/>
                <w:color w:val="auto"/>
              </w:rPr>
            </w:pPr>
            <w:r>
              <w:rPr>
                <w:rFonts w:ascii="Arial" w:cs="Arial" w:eastAsia="Arial" w:hAnsi="Arial"/>
                <w:sz w:val="16"/>
                <w:szCs w:val="16"/>
                <w:i w:val="1"/>
                <w:iCs w:val="1"/>
                <w:color w:val="auto"/>
              </w:rPr>
              <w:t>(200% x 75%)</w:t>
            </w:r>
          </w:p>
        </w:tc>
        <w:tc>
          <w:tcPr>
            <w:tcW w:w="2420" w:type="dxa"/>
            <w:vAlign w:val="bottom"/>
            <w:tcBorders>
              <w:bottom w:val="single" w:sz="8" w:color="CB233C"/>
            </w:tcBorders>
            <w:shd w:val="clear" w:color="auto" w:fill="EBECEE"/>
          </w:tcPr>
          <w:p>
            <w:pPr>
              <w:jc w:val="center"/>
              <w:ind w:left="39"/>
              <w:spacing w:after="0"/>
              <w:rPr>
                <w:sz w:val="20"/>
                <w:szCs w:val="20"/>
                <w:color w:val="auto"/>
              </w:rPr>
            </w:pPr>
            <w:r>
              <w:rPr>
                <w:rFonts w:ascii="Arial" w:cs="Arial" w:eastAsia="Arial" w:hAnsi="Arial"/>
                <w:sz w:val="16"/>
                <w:szCs w:val="16"/>
                <w:i w:val="1"/>
                <w:iCs w:val="1"/>
                <w:color w:val="auto"/>
              </w:rPr>
              <w:t>(200% x 100%)</w:t>
            </w:r>
          </w:p>
        </w:tc>
        <w:tc>
          <w:tcPr>
            <w:tcW w:w="1640" w:type="dxa"/>
            <w:vAlign w:val="bottom"/>
            <w:tcBorders>
              <w:bottom w:val="single" w:sz="8" w:color="CB233C"/>
            </w:tcBorders>
            <w:shd w:val="clear" w:color="auto" w:fill="EBECEE"/>
          </w:tcPr>
          <w:p>
            <w:pPr>
              <w:jc w:val="center"/>
              <w:ind w:left="99"/>
              <w:spacing w:after="0"/>
              <w:rPr>
                <w:sz w:val="20"/>
                <w:szCs w:val="20"/>
                <w:color w:val="auto"/>
              </w:rPr>
            </w:pPr>
            <w:r>
              <w:rPr>
                <w:rFonts w:ascii="Arial" w:cs="Arial" w:eastAsia="Arial" w:hAnsi="Arial"/>
                <w:sz w:val="16"/>
                <w:szCs w:val="16"/>
                <w:i w:val="1"/>
                <w:iCs w:val="1"/>
                <w:color w:val="auto"/>
              </w:rPr>
              <w:t>(200% x 125%)</w:t>
            </w:r>
          </w:p>
        </w:tc>
        <w:tc>
          <w:tcPr>
            <w:tcW w:w="0" w:type="dxa"/>
            <w:vAlign w:val="bottom"/>
          </w:tcPr>
          <w:p>
            <w:pPr>
              <w:spacing w:after="0"/>
              <w:rPr>
                <w:sz w:val="1"/>
                <w:szCs w:val="1"/>
                <w:color w:val="auto"/>
              </w:rPr>
            </w:pPr>
          </w:p>
        </w:tc>
      </w:tr>
    </w:tbl>
    <w:p>
      <w:pPr>
        <w:ind w:left="340" w:hanging="332"/>
        <w:spacing w:after="0" w:line="204" w:lineRule="auto"/>
        <w:tabs>
          <w:tab w:leader="none" w:pos="340" w:val="left"/>
        </w:tabs>
        <w:numPr>
          <w:ilvl w:val="0"/>
          <w:numId w:val="71"/>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If Halliburton’s relative ROCE performance ranking is between the 25th and 75th percentiles, the payout will be interpolated accordingly.</w:t>
      </w:r>
    </w:p>
    <w:p>
      <w:pPr>
        <w:spacing w:after="0" w:line="40" w:lineRule="exact"/>
        <w:rPr>
          <w:rFonts w:ascii="Arial" w:cs="Arial" w:eastAsia="Arial" w:hAnsi="Arial"/>
          <w:sz w:val="24"/>
          <w:szCs w:val="24"/>
          <w:i w:val="1"/>
          <w:iCs w:val="1"/>
          <w:color w:val="auto"/>
          <w:vertAlign w:val="superscript"/>
        </w:rPr>
      </w:pPr>
    </w:p>
    <w:p>
      <w:pPr>
        <w:ind w:left="340" w:hanging="332"/>
        <w:spacing w:after="0" w:line="183" w:lineRule="auto"/>
        <w:tabs>
          <w:tab w:leader="none" w:pos="340" w:val="left"/>
        </w:tabs>
        <w:numPr>
          <w:ilvl w:val="0"/>
          <w:numId w:val="71"/>
        </w:numPr>
        <w:rPr>
          <w:rFonts w:ascii="Arial" w:cs="Arial" w:eastAsia="Arial" w:hAnsi="Arial"/>
          <w:sz w:val="20"/>
          <w:szCs w:val="20"/>
          <w:i w:val="1"/>
          <w:iCs w:val="1"/>
          <w:color w:val="auto"/>
          <w:vertAlign w:val="superscript"/>
        </w:rPr>
      </w:pPr>
      <w:r>
        <w:rPr>
          <w:rFonts w:ascii="Arial" w:cs="Arial" w:eastAsia="Arial" w:hAnsi="Arial"/>
          <w:sz w:val="12"/>
          <w:szCs w:val="12"/>
          <w:i w:val="1"/>
          <w:iCs w:val="1"/>
          <w:color w:val="auto"/>
        </w:rPr>
        <w:t>If TSR is in the upper quartile but negative, the TSR Modifier will not apply.</w:t>
      </w:r>
    </w:p>
    <w:p>
      <w:pPr>
        <w:spacing w:after="0" w:line="157" w:lineRule="exact"/>
        <w:rPr>
          <w:sz w:val="20"/>
          <w:szCs w:val="20"/>
          <w:color w:val="auto"/>
        </w:r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754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53" w:name="page54"/>
    <w:bookmarkEnd w:id="5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Any awards earned at the end of the 2021 cycle will be issued 50% in stock and 50% in cash.</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CB233C"/>
        </w:rPr>
        <w:t>2019 Cycle PUP</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incentive opportunity based on Halliburton’s ROCE performance relative to that of our Performance Peer Group for the 2019</w:t>
      </w:r>
    </w:p>
    <w:p>
      <w:pPr>
        <w:spacing w:after="0" w:line="18"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cycle of the PUP that ended on December 31, 2021. We achieved ROCE of -1.0% which was above the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our Performance Peer Group’s ROCE of -2.9% and yielded an award paid at 200% of the target opportunity level. The 2019 PUP Cycle is the last cycle that will be paid 100% in cash. Future cycles will be awarded 50% in cash and 50% in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Cycle – Performance Matrix</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2800" w:type="dxa"/>
            <w:vAlign w:val="bottom"/>
          </w:tcPr>
          <w:p>
            <w:pPr>
              <w:jc w:val="right"/>
              <w:ind w:right="259"/>
              <w:spacing w:after="0"/>
              <w:rPr>
                <w:sz w:val="20"/>
                <w:szCs w:val="20"/>
                <w:color w:val="auto"/>
              </w:rPr>
            </w:pPr>
            <w:r>
              <w:rPr>
                <w:rFonts w:ascii="Arial" w:cs="Arial" w:eastAsia="Arial" w:hAnsi="Arial"/>
                <w:sz w:val="16"/>
                <w:szCs w:val="16"/>
                <w:b w:val="1"/>
                <w:bCs w:val="1"/>
                <w:color w:val="auto"/>
              </w:rPr>
              <w:t>Threshold</w:t>
            </w:r>
          </w:p>
        </w:tc>
        <w:tc>
          <w:tcPr>
            <w:tcW w:w="1780" w:type="dxa"/>
            <w:vAlign w:val="bottom"/>
          </w:tcPr>
          <w:p>
            <w:pPr>
              <w:jc w:val="right"/>
              <w:ind w:right="279"/>
              <w:spacing w:after="0"/>
              <w:rPr>
                <w:sz w:val="20"/>
                <w:szCs w:val="20"/>
                <w:color w:val="auto"/>
              </w:rPr>
            </w:pPr>
            <w:r>
              <w:rPr>
                <w:rFonts w:ascii="Arial" w:cs="Arial" w:eastAsia="Arial" w:hAnsi="Arial"/>
                <w:sz w:val="16"/>
                <w:szCs w:val="16"/>
                <w:b w:val="1"/>
                <w:bCs w:val="1"/>
                <w:color w:val="auto"/>
              </w:rPr>
              <w:t>Target</w:t>
            </w:r>
          </w:p>
        </w:tc>
        <w:tc>
          <w:tcPr>
            <w:tcW w:w="1480" w:type="dxa"/>
            <w:vAlign w:val="bottom"/>
          </w:tcPr>
          <w:p>
            <w:pPr>
              <w:jc w:val="right"/>
              <w:ind w:right="19"/>
              <w:spacing w:after="0"/>
              <w:rPr>
                <w:sz w:val="20"/>
                <w:szCs w:val="20"/>
                <w:color w:val="auto"/>
              </w:rPr>
            </w:pPr>
            <w:r>
              <w:rPr>
                <w:rFonts w:ascii="Arial" w:cs="Arial" w:eastAsia="Arial" w:hAnsi="Arial"/>
                <w:sz w:val="16"/>
                <w:szCs w:val="16"/>
                <w:b w:val="1"/>
                <w:bCs w:val="1"/>
                <w:color w:val="auto"/>
              </w:rPr>
              <w:t>Maximum</w:t>
            </w:r>
          </w:p>
        </w:tc>
      </w:tr>
      <w:tr>
        <w:trPr>
          <w:trHeight w:val="244"/>
        </w:trPr>
        <w:tc>
          <w:tcPr>
            <w:tcW w:w="5180" w:type="dxa"/>
            <w:vAlign w:val="bottom"/>
            <w:tcBorders>
              <w:bottom w:val="single" w:sz="8" w:color="CB233C"/>
            </w:tcBorders>
          </w:tcPr>
          <w:p>
            <w:pPr>
              <w:ind w:left="40"/>
              <w:spacing w:after="0"/>
              <w:rPr>
                <w:sz w:val="20"/>
                <w:szCs w:val="20"/>
                <w:color w:val="auto"/>
              </w:rPr>
            </w:pPr>
            <w:r>
              <w:rPr>
                <w:rFonts w:ascii="Arial" w:cs="Arial" w:eastAsia="Arial" w:hAnsi="Arial"/>
                <w:sz w:val="16"/>
                <w:szCs w:val="16"/>
                <w:b w:val="1"/>
                <w:bCs w:val="1"/>
                <w:color w:val="auto"/>
              </w:rPr>
              <w:t>Halliburton Ranking vs. Performance Peer Group</w:t>
            </w:r>
          </w:p>
        </w:tc>
        <w:tc>
          <w:tcPr>
            <w:tcW w:w="2800" w:type="dxa"/>
            <w:vAlign w:val="bottom"/>
            <w:tcBorders>
              <w:bottom w:val="single" w:sz="8" w:color="CB233C"/>
            </w:tcBorders>
          </w:tcPr>
          <w:p>
            <w:pPr>
              <w:jc w:val="right"/>
              <w:ind w:right="259"/>
              <w:spacing w:after="0" w:line="245" w:lineRule="exact"/>
              <w:rPr>
                <w:sz w:val="20"/>
                <w:szCs w:val="20"/>
                <w:color w:val="auto"/>
              </w:rPr>
            </w:pPr>
            <w:r>
              <w:rPr>
                <w:rFonts w:ascii="Arial" w:cs="Arial" w:eastAsia="Arial" w:hAnsi="Arial"/>
                <w:sz w:val="16"/>
                <w:szCs w:val="16"/>
                <w:b w:val="1"/>
                <w:bCs w:val="1"/>
                <w:color w:val="auto"/>
              </w:rPr>
              <w:t>25</w:t>
            </w:r>
            <w:r>
              <w:rPr>
                <w:rFonts w:ascii="Arial" w:cs="Arial" w:eastAsia="Arial" w:hAnsi="Arial"/>
                <w:sz w:val="26"/>
                <w:szCs w:val="26"/>
                <w:b w:val="1"/>
                <w:bCs w:val="1"/>
                <w:color w:val="auto"/>
                <w:vertAlign w:val="superscript"/>
              </w:rPr>
              <w:t>th</w:t>
            </w:r>
            <w:r>
              <w:rPr>
                <w:rFonts w:ascii="Arial" w:cs="Arial" w:eastAsia="Arial" w:hAnsi="Arial"/>
                <w:sz w:val="16"/>
                <w:szCs w:val="16"/>
                <w:b w:val="1"/>
                <w:bCs w:val="1"/>
                <w:color w:val="auto"/>
              </w:rPr>
              <w:t xml:space="preserve"> Percentile</w:t>
            </w:r>
          </w:p>
        </w:tc>
        <w:tc>
          <w:tcPr>
            <w:tcW w:w="1780" w:type="dxa"/>
            <w:vAlign w:val="bottom"/>
            <w:tcBorders>
              <w:bottom w:val="single" w:sz="8" w:color="CB233C"/>
            </w:tcBorders>
          </w:tcPr>
          <w:p>
            <w:pPr>
              <w:jc w:val="right"/>
              <w:ind w:right="239"/>
              <w:spacing w:after="0" w:line="245" w:lineRule="exact"/>
              <w:rPr>
                <w:sz w:val="20"/>
                <w:szCs w:val="20"/>
                <w:color w:val="auto"/>
              </w:rPr>
            </w:pPr>
            <w:r>
              <w:rPr>
                <w:rFonts w:ascii="Arial" w:cs="Arial" w:eastAsia="Arial" w:hAnsi="Arial"/>
                <w:sz w:val="16"/>
                <w:szCs w:val="16"/>
                <w:b w:val="1"/>
                <w:bCs w:val="1"/>
                <w:color w:val="auto"/>
              </w:rPr>
              <w:t>50</w:t>
            </w:r>
            <w:r>
              <w:rPr>
                <w:rFonts w:ascii="Arial" w:cs="Arial" w:eastAsia="Arial" w:hAnsi="Arial"/>
                <w:sz w:val="26"/>
                <w:szCs w:val="26"/>
                <w:b w:val="1"/>
                <w:bCs w:val="1"/>
                <w:color w:val="auto"/>
                <w:vertAlign w:val="superscript"/>
              </w:rPr>
              <w:t>th</w:t>
            </w:r>
            <w:r>
              <w:rPr>
                <w:rFonts w:ascii="Arial" w:cs="Arial" w:eastAsia="Arial" w:hAnsi="Arial"/>
                <w:sz w:val="16"/>
                <w:szCs w:val="16"/>
                <w:b w:val="1"/>
                <w:bCs w:val="1"/>
                <w:color w:val="auto"/>
              </w:rPr>
              <w:t xml:space="preserve"> Percentile</w:t>
            </w:r>
          </w:p>
        </w:tc>
        <w:tc>
          <w:tcPr>
            <w:tcW w:w="1480" w:type="dxa"/>
            <w:vAlign w:val="bottom"/>
            <w:tcBorders>
              <w:bottom w:val="single" w:sz="8" w:color="CB233C"/>
            </w:tcBorders>
          </w:tcPr>
          <w:p>
            <w:pPr>
              <w:jc w:val="right"/>
              <w:spacing w:after="0" w:line="245" w:lineRule="exact"/>
              <w:rPr>
                <w:sz w:val="20"/>
                <w:szCs w:val="20"/>
                <w:color w:val="auto"/>
              </w:rPr>
            </w:pPr>
            <w:r>
              <w:rPr>
                <w:rFonts w:ascii="Arial" w:cs="Arial" w:eastAsia="Arial" w:hAnsi="Arial"/>
                <w:sz w:val="16"/>
                <w:szCs w:val="16"/>
                <w:b w:val="1"/>
                <w:bCs w:val="1"/>
                <w:color w:val="auto"/>
              </w:rPr>
              <w:t>75</w:t>
            </w:r>
            <w:r>
              <w:rPr>
                <w:rFonts w:ascii="Arial" w:cs="Arial" w:eastAsia="Arial" w:hAnsi="Arial"/>
                <w:sz w:val="26"/>
                <w:szCs w:val="26"/>
                <w:b w:val="1"/>
                <w:bCs w:val="1"/>
                <w:color w:val="auto"/>
                <w:vertAlign w:val="superscript"/>
              </w:rPr>
              <w:t>th</w:t>
            </w:r>
            <w:r>
              <w:rPr>
                <w:rFonts w:ascii="Arial" w:cs="Arial" w:eastAsia="Arial" w:hAnsi="Arial"/>
                <w:sz w:val="16"/>
                <w:szCs w:val="16"/>
                <w:b w:val="1"/>
                <w:bCs w:val="1"/>
                <w:color w:val="auto"/>
              </w:rPr>
              <w:t xml:space="preserve"> Percentile</w:t>
            </w:r>
          </w:p>
        </w:tc>
      </w:tr>
      <w:tr>
        <w:trPr>
          <w:trHeight w:val="183"/>
        </w:trPr>
        <w:tc>
          <w:tcPr>
            <w:tcW w:w="5180" w:type="dxa"/>
            <w:vAlign w:val="bottom"/>
            <w:tcBorders>
              <w:bottom w:val="single" w:sz="8" w:color="CB233C"/>
            </w:tcBorders>
            <w:shd w:val="clear" w:color="auto" w:fill="EBECEE"/>
          </w:tcPr>
          <w:p>
            <w:pPr>
              <w:ind w:left="40"/>
              <w:spacing w:after="0" w:line="183" w:lineRule="exact"/>
              <w:rPr>
                <w:sz w:val="20"/>
                <w:szCs w:val="20"/>
                <w:color w:val="auto"/>
              </w:rPr>
            </w:pPr>
            <w:r>
              <w:rPr>
                <w:rFonts w:ascii="Arial" w:cs="Arial" w:eastAsia="Arial" w:hAnsi="Arial"/>
                <w:sz w:val="16"/>
                <w:szCs w:val="16"/>
                <w:color w:val="auto"/>
              </w:rPr>
              <w:t>Incentive Opportunity as a % of Target</w:t>
            </w:r>
          </w:p>
        </w:tc>
        <w:tc>
          <w:tcPr>
            <w:tcW w:w="2800" w:type="dxa"/>
            <w:vAlign w:val="bottom"/>
            <w:tcBorders>
              <w:bottom w:val="single" w:sz="8" w:color="CB233C"/>
            </w:tcBorders>
            <w:shd w:val="clear" w:color="auto" w:fill="EBECEE"/>
          </w:tcPr>
          <w:p>
            <w:pPr>
              <w:jc w:val="right"/>
              <w:ind w:right="259"/>
              <w:spacing w:after="0" w:line="183" w:lineRule="exact"/>
              <w:rPr>
                <w:sz w:val="20"/>
                <w:szCs w:val="20"/>
                <w:color w:val="auto"/>
              </w:rPr>
            </w:pPr>
            <w:r>
              <w:rPr>
                <w:rFonts w:ascii="Arial" w:cs="Arial" w:eastAsia="Arial" w:hAnsi="Arial"/>
                <w:sz w:val="16"/>
                <w:szCs w:val="16"/>
                <w:color w:val="auto"/>
              </w:rPr>
              <w:t>25%</w:t>
            </w:r>
          </w:p>
        </w:tc>
        <w:tc>
          <w:tcPr>
            <w:tcW w:w="1780" w:type="dxa"/>
            <w:vAlign w:val="bottom"/>
            <w:tcBorders>
              <w:bottom w:val="single" w:sz="8" w:color="CB233C"/>
            </w:tcBorders>
            <w:shd w:val="clear" w:color="auto" w:fill="EBECEE"/>
          </w:tcPr>
          <w:p>
            <w:pPr>
              <w:jc w:val="right"/>
              <w:ind w:right="239"/>
              <w:spacing w:after="0" w:line="183" w:lineRule="exact"/>
              <w:rPr>
                <w:sz w:val="20"/>
                <w:szCs w:val="20"/>
                <w:color w:val="auto"/>
              </w:rPr>
            </w:pPr>
            <w:r>
              <w:rPr>
                <w:rFonts w:ascii="Arial" w:cs="Arial" w:eastAsia="Arial" w:hAnsi="Arial"/>
                <w:sz w:val="16"/>
                <w:szCs w:val="16"/>
                <w:color w:val="auto"/>
              </w:rPr>
              <w:t>100%</w:t>
            </w:r>
          </w:p>
        </w:tc>
        <w:tc>
          <w:tcPr>
            <w:tcW w:w="1480" w:type="dxa"/>
            <w:vAlign w:val="bottom"/>
            <w:tcBorders>
              <w:bottom w:val="single" w:sz="8" w:color="CB233C"/>
            </w:tcBorders>
            <w:shd w:val="clear" w:color="auto" w:fill="EBECEE"/>
          </w:tcPr>
          <w:p>
            <w:pPr>
              <w:jc w:val="right"/>
              <w:spacing w:after="0" w:line="183" w:lineRule="exact"/>
              <w:rPr>
                <w:sz w:val="20"/>
                <w:szCs w:val="20"/>
                <w:color w:val="auto"/>
              </w:rPr>
            </w:pPr>
            <w:r>
              <w:rPr>
                <w:rFonts w:ascii="Arial" w:cs="Arial" w:eastAsia="Arial" w:hAnsi="Arial"/>
                <w:sz w:val="16"/>
                <w:szCs w:val="16"/>
                <w:color w:val="auto"/>
              </w:rPr>
              <w:t>200%</w:t>
            </w:r>
          </w:p>
        </w:tc>
      </w:tr>
    </w:tbl>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NEOs received payments as set forth in the Non-Equity Incentive Plan Compensation column in the Summary Compensation Table. The program allows for rewards to be paid in cash, stock, or a combination of cash and stock.</w:t>
      </w:r>
    </w:p>
    <w:p>
      <w:pPr>
        <w:spacing w:after="0" w:line="342"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Other Executive Benefits and Policies</w:t>
      </w:r>
    </w:p>
    <w:p>
      <w:pPr>
        <w:spacing w:after="0" w:line="3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and Savings Plan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All NEOs may participate in the Halliburton Retirement and Savings Plan, which is the defined contribution benefit plan available to all eligible 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employees. The matching contribution amounts we contributed on behalf of each NEO are included in the Supplemental Table: All Other Compensation.</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Supplemental Executive Retirement Plan</w:t>
      </w:r>
    </w:p>
    <w:p>
      <w:pPr>
        <w:spacing w:after="0" w:line="20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objective of the Supplemental Executive Retirement Plan, or SERP, is to provide a competitive level of pay replacement upon retirement. The current pay replacement target is 75% of base salary at age 65 with 25 years of service, using the highest annual salary during the last three years of employment.</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material factors and guidelines considered in making an allocation include: (i) retirement benefits provided, both qualified and nonqualified; (ii) current compensation; (iii) length of service; and (iv) years of service to normal retirement.</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calculation takes into account the following variables: (i) base salary; (ii) years of service; (iii) age; (iv) employer portion of qualified plan savings; (v) age 65 value of any defined benefit plan; and (vi) existing nonqualified plan balances and any other retirement plans.</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Several assumptions are made annually and include a base salary increase percentage, qualified and nonqualified plan contributions and investment earnings, and an annuity rate. These factors are reviewed and approved annually by the Compensation Committee in advance of calculating any awards.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To determine the annual benefit, external actuaries calculate the total lump sum retirement benefit needed at age 65 from all company retirement sources to produce an annual retirement benefit of 75% of the highest annual salary during the last three years of employment. Company retirement sources include any Company contributions to qualified benefit plans and contributions to nonqualified benefit plans. If the combination of these two sources does not yield a total retirement balance that will meet the 75% objective, then contributions may be made annually through the SERP to bring the total benefit up to the targeted level.</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To illustrate, assume $10 million is needed at age 65 to produce an annual retirement benefit equal to 75% of base salary. The participant is projected to have $3 million in the qualified benefit plans resulting from Company contributions at retirement and $4 million in the nonqualified retirement plans resulting from Company contributions at retirement. Since the total of these two sources is $7 million, a shortfall of $3 million results. This is the amount needed to achieve the 75% pay replacement objective. This shortfall may be offset through annual contributions to the SERP.</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Participation in the SERP is limited to the direct reports of the CEO and other selected executives as recommended by the CEO and approved at the discretion of the Compensation Committee. However, participation one year does not guarantee future participation. In 2021, the Compensation Committee authorized retirement allocations under the SERP to all NEOs as listed in the Supplemental Table: All Other Compensation and the 2021 Nonqualified Deferred Compensation table.</w:t>
      </w:r>
    </w:p>
    <w:p>
      <w:pPr>
        <w:spacing w:after="0" w:line="15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All of the NEOs, except Mr. Loeffler, are fully vested in their respective account balances. Balances for active and terminated participants earn interest at an annual rate of 5% and 10%, respectively.</w:t>
      </w:r>
    </w:p>
    <w:p>
      <w:pPr>
        <w:spacing w:after="0" w:line="12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886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Elective Deferral Plan</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All NEOs may participate in the Halliburton Elective Deferral Plan, which was established to provide highly compensated employees with an opportunity to defer earned base salary and incentive compensation to help meet retirement and other future income needs.</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Participants may elect to defer up to 75% of their annual base salary and up to 75% of their incentive compensation into the plan. Deferral elections must be made on an annual basis, including the type and timing of distribution. Plan earnings are based on the NEO’s choice of up to 12 investment options with varying degrees of risk, including the risk of loss. Investment options may be changed by the NEO daily.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In 2021, none of our NEOs participated in this plan. Messrs. Rainey and Richard have account balances from participation in the plan in prior years. Messrs.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Miller, Loeffler, and Carre are not participants in the plan. Further details can be found in the 2021 Nonqualified Deferred Compensation table.</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Benefit Restoration Plan</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Halliburton Company Benefit Restoration Plan provides a vehicle to restore qualified plan benefits which are reduced as a result of limitations on contributions imposed under the Internal Revenue Code (IRC) or due to participation in other plans we sponsor and to defer compensation that would otherwise be treated as excessive remuneration within the meaning of IRC Section 162(m). Awards are made annually to those who meet these criteria and earn interest at an annual rate as defined by the plan document. Awards and corresponding interest balances are 100% vested and distributed upon separation.</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accordance with the plan document, participants earn monthly interest at the 120% AFR rate, provided the interest rate shall be no less than 6% per annum or greater than 10% per annum. Because the 120% AFR rate was below the 6% minimum interest threshold, plan participants earned interest at an annual rate of 6% in 2021.</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2021, all NEOs received awards under this plan in the amounts included in the Supplemental Table: All Other Compensation and the 2021 Nonqualified Deferred Compensation table.</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Perquisites</w:t>
      </w:r>
    </w:p>
    <w:p>
      <w:pPr>
        <w:spacing w:after="0" w:line="20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Effective January 1, 2019, we eliminated several perquisites including tax gross ups for personal use of corporate aircraft, executive physical examinations, and financial planning reimbursements. We also eliminated reimbursements for country club dues for all our NEOs.</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do not provide cars to our NEOs. However, a car and part-time driver is available for Mr. Miller’s limited use as needed for security purposes and so that he can work while in transit to meet customers or attend business-related functions.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We provided security at the personal residences of Mr. Miller during 2021.</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result of the recommendations provided by an independent, third-party security consultant, the Board has determined that Mr. Miller must use company aircraft for all travel. The security study also recommends that his spouse and children use company-provided aircraft.</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Mr. Rainey is an expatriate under our long-term expatriate business practice. A differential is commonly paid to expatriates in assignment locations where the cost of goods and services is greater than the cost for the same goods and services in the expatriate’s home country. Differentials are determined by AIRINC, a third-party consultant. Mr. Rainey receives certain assignment allowances, including a goods and services differential and host country housing and utilities. He also participates in our tax equalization program, which neutralizes the tax effect of the international assignment and approximates the tax obligation the expatriate would pay in his home country. Mr. Rainey’s expatriate benefits package is commensurate with benefits offered to all other Halliburton expatriates.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Specific amounts for the above-mentioned perquisites are detailed for each NEO in the Supplemental Table: All Other Compensation.</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Clawback Policy</w:t>
      </w:r>
    </w:p>
    <w:p>
      <w:pPr>
        <w:spacing w:after="0" w:line="20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have a clawback policy under which we will seek to recoup incentive compensation in all appropriate cases paid to, awarded, or credited for the benefit of any of our executive officers, which includes all NEOs, if and to the extent that:</w:t>
      </w:r>
    </w:p>
    <w:p>
      <w:pPr>
        <w:spacing w:after="0" w:line="129" w:lineRule="exact"/>
        <w:rPr>
          <w:sz w:val="20"/>
          <w:szCs w:val="20"/>
          <w:color w:val="auto"/>
        </w:rPr>
      </w:pPr>
    </w:p>
    <w:p>
      <w:pPr>
        <w:ind w:left="180" w:hanging="172"/>
        <w:spacing w:after="0" w:line="286" w:lineRule="auto"/>
        <w:tabs>
          <w:tab w:leader="none" w:pos="180" w:val="left"/>
        </w:tabs>
        <w:numPr>
          <w:ilvl w:val="0"/>
          <w:numId w:val="72"/>
        </w:numPr>
        <w:rPr>
          <w:rFonts w:ascii="Arial" w:cs="Arial" w:eastAsia="Arial" w:hAnsi="Arial"/>
          <w:sz w:val="16"/>
          <w:szCs w:val="16"/>
          <w:color w:val="CB233C"/>
        </w:rPr>
      </w:pPr>
      <w:r>
        <w:rPr>
          <w:rFonts w:ascii="Arial" w:cs="Arial" w:eastAsia="Arial" w:hAnsi="Arial"/>
          <w:sz w:val="16"/>
          <w:szCs w:val="16"/>
          <w:color w:val="auto"/>
        </w:rPr>
        <w:t>The amount of incentive compensation was calculated based on the achievement of financial results that were subsequently reduced due to a restatement of our financial results;</w:t>
      </w:r>
    </w:p>
    <w:p>
      <w:pPr>
        <w:spacing w:after="0" w:line="20" w:lineRule="exact"/>
        <w:rPr>
          <w:rFonts w:ascii="Arial" w:cs="Arial" w:eastAsia="Arial" w:hAnsi="Arial"/>
          <w:sz w:val="16"/>
          <w:szCs w:val="16"/>
          <w:color w:val="CB233C"/>
        </w:rPr>
      </w:pPr>
    </w:p>
    <w:p>
      <w:pPr>
        <w:ind w:left="180" w:hanging="172"/>
        <w:spacing w:after="0"/>
        <w:tabs>
          <w:tab w:leader="none" w:pos="180" w:val="left"/>
        </w:tabs>
        <w:numPr>
          <w:ilvl w:val="0"/>
          <w:numId w:val="72"/>
        </w:numPr>
        <w:rPr>
          <w:rFonts w:ascii="Arial" w:cs="Arial" w:eastAsia="Arial" w:hAnsi="Arial"/>
          <w:sz w:val="16"/>
          <w:szCs w:val="16"/>
          <w:color w:val="CB233C"/>
        </w:rPr>
      </w:pPr>
      <w:r>
        <w:rPr>
          <w:rFonts w:ascii="Arial" w:cs="Arial" w:eastAsia="Arial" w:hAnsi="Arial"/>
          <w:sz w:val="16"/>
          <w:szCs w:val="16"/>
          <w:color w:val="auto"/>
        </w:rPr>
        <w:t>The officer engaged in fraudulent conduct that caused the need for the restatement; and</w:t>
      </w:r>
    </w:p>
    <w:p>
      <w:pPr>
        <w:spacing w:after="0" w:line="86" w:lineRule="exact"/>
        <w:rPr>
          <w:rFonts w:ascii="Arial" w:cs="Arial" w:eastAsia="Arial" w:hAnsi="Arial"/>
          <w:sz w:val="16"/>
          <w:szCs w:val="16"/>
          <w:color w:val="CB233C"/>
        </w:rPr>
      </w:pPr>
    </w:p>
    <w:p>
      <w:pPr>
        <w:ind w:left="180" w:hanging="172"/>
        <w:spacing w:after="0" w:line="286" w:lineRule="auto"/>
        <w:tabs>
          <w:tab w:leader="none" w:pos="180" w:val="left"/>
        </w:tabs>
        <w:numPr>
          <w:ilvl w:val="0"/>
          <w:numId w:val="72"/>
        </w:numPr>
        <w:rPr>
          <w:rFonts w:ascii="Arial" w:cs="Arial" w:eastAsia="Arial" w:hAnsi="Arial"/>
          <w:sz w:val="16"/>
          <w:szCs w:val="16"/>
          <w:color w:val="CB233C"/>
        </w:rPr>
      </w:pPr>
      <w:r>
        <w:rPr>
          <w:rFonts w:ascii="Arial" w:cs="Arial" w:eastAsia="Arial" w:hAnsi="Arial"/>
          <w:sz w:val="16"/>
          <w:szCs w:val="16"/>
          <w:color w:val="auto"/>
        </w:rPr>
        <w:t>The amount of incentive compensation that would have been paid to, awarded to, or credited for the benefit of the officer, had our financial results been properly reported, would have been lower than the amount actually paid, awarded, or credited.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policy also provides that we will seek to recoup incentive compensation in all appropriate cases paid to, awarded to, or</w:t>
      </w:r>
    </w:p>
    <w:p>
      <w:pPr>
        <w:spacing w:after="0" w:line="194" w:lineRule="exact"/>
        <w:rPr>
          <w:sz w:val="20"/>
          <w:szCs w:val="20"/>
          <w:color w:val="auto"/>
        </w:r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754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credited for the benefit of any of our executive officers, which includes all NEOs, and certain other senior officers, if and to the extent that:</w:t>
      </w:r>
    </w:p>
    <w:p>
      <w:pPr>
        <w:spacing w:after="0" w:line="194" w:lineRule="exact"/>
        <w:rPr>
          <w:sz w:val="20"/>
          <w:szCs w:val="20"/>
          <w:color w:val="auto"/>
        </w:rPr>
      </w:pPr>
    </w:p>
    <w:p>
      <w:pPr>
        <w:ind w:left="180" w:hanging="172"/>
        <w:spacing w:after="0" w:line="286" w:lineRule="auto"/>
        <w:tabs>
          <w:tab w:leader="none" w:pos="180" w:val="left"/>
        </w:tabs>
        <w:numPr>
          <w:ilvl w:val="0"/>
          <w:numId w:val="73"/>
        </w:numPr>
        <w:rPr>
          <w:rFonts w:ascii="Arial" w:cs="Arial" w:eastAsia="Arial" w:hAnsi="Arial"/>
          <w:sz w:val="16"/>
          <w:szCs w:val="16"/>
          <w:color w:val="CB233C"/>
        </w:rPr>
      </w:pPr>
      <w:r>
        <w:rPr>
          <w:rFonts w:ascii="Arial" w:cs="Arial" w:eastAsia="Arial" w:hAnsi="Arial"/>
          <w:sz w:val="16"/>
          <w:szCs w:val="16"/>
          <w:color w:val="auto"/>
        </w:rPr>
        <w:t>It is determined that, in connection with the performance of that officer’s duties, he or she breached his or her fiduciary duty by knowingly or recklessly engaging in a material violation of a U.S. federal or state law, or failed to supervise an employee who substantially participated in such a violation; or</w:t>
      </w:r>
    </w:p>
    <w:p>
      <w:pPr>
        <w:spacing w:after="0" w:line="20" w:lineRule="exact"/>
        <w:rPr>
          <w:rFonts w:ascii="Arial" w:cs="Arial" w:eastAsia="Arial" w:hAnsi="Arial"/>
          <w:sz w:val="16"/>
          <w:szCs w:val="16"/>
          <w:color w:val="CB233C"/>
        </w:rPr>
      </w:pPr>
    </w:p>
    <w:p>
      <w:pPr>
        <w:jc w:val="both"/>
        <w:ind w:left="180" w:hanging="172"/>
        <w:spacing w:after="0" w:line="259" w:lineRule="auto"/>
        <w:tabs>
          <w:tab w:leader="none" w:pos="180" w:val="left"/>
        </w:tabs>
        <w:numPr>
          <w:ilvl w:val="0"/>
          <w:numId w:val="73"/>
        </w:numPr>
        <w:rPr>
          <w:rFonts w:ascii="Arial" w:cs="Arial" w:eastAsia="Arial" w:hAnsi="Arial"/>
          <w:sz w:val="16"/>
          <w:szCs w:val="16"/>
          <w:color w:val="CB233C"/>
        </w:rPr>
      </w:pPr>
      <w:r>
        <w:rPr>
          <w:rFonts w:ascii="Arial" w:cs="Arial" w:eastAsia="Arial" w:hAnsi="Arial"/>
          <w:sz w:val="16"/>
          <w:szCs w:val="16"/>
          <w:color w:val="auto"/>
        </w:rPr>
        <w:t>The officer is named as a defendant in a law enforcement proceeding for having breached his or her fiduciary duty by knowingly or recklessly engaging in a material violation of a U.S. federal or state law, the officer disagrees with the allegations relating to the proceeding, and either (i) we initiate a review and determine that the alleged action is not indemnifiable or (ii) the officer does not prevail at trial, enters into a plea arrangement, agrees to the entry of a final administrative or judicial order imposing sanctions, or otherwise admits to the violation in a legal proceeding.</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disinterested members of the Board and the disinterested members of the Compensation Committee and the Nominating and Corporate Governance Committee may be involved in reviewing, considering, and making determinations regarding the officer’s alleged conduct, whether recoupment is appropriate or required, and the type and amount of incentive compensation to be recouped from the officer.</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policy also provides that, to the extent permitted by applicable law and not previously disclosed in a filing with the SEC, we will disclose in our proxy statement the circumstances of any recoupment arising under the policy or that there has not been any recoupment pursuant to the policy for the prior calendar year. There was no recoupment under the policy in 2021.</w:t>
      </w: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Ownership Requirements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We have stock ownership requirements for our executive officers, which include all NEOs, to further align their interests with our shareholders.</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CEO is required to own Halliburton common stock in an amount equal to or in excess of six times his annual base salary. Executive officers that report directly to the CEO are required to own an amount of Halliburton common stock equal to or in excess of three times their annual base salary, and all other executive officers are required to own an amount of Halliburton common stock equal to or in excess of two times their annual base salary. The Compensation Committee reviews their holdings, which include restricted shares and all other Halliburton common stock owned by the officer, at each December meeting. Each executive officer has five years to meet the requirements, measured from the date the officer becomes subject to the ownership level for the applicable office.</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After the five-year stock ownership period described above, executive officers who have not met their minimum ownership requirement must retain 100% of the net shares acquired upon restricted stock vesting until they achieve their required ownership level. Also, any stock option exercise must be an exercise and hold.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all NEOs met the requirements.</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Hedging and Pledging Policy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We have a policy under which our Directors and executive officers, which includes all NEOs, and certain senior officers are prohibited from:</w:t>
      </w:r>
    </w:p>
    <w:p>
      <w:pPr>
        <w:spacing w:after="0" w:line="194"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16"/>
          <w:szCs w:val="16"/>
          <w:color w:val="CB233C"/>
        </w:rPr>
      </w:pPr>
      <w:r>
        <w:rPr>
          <w:rFonts w:ascii="Arial" w:cs="Arial" w:eastAsia="Arial" w:hAnsi="Arial"/>
          <w:sz w:val="16"/>
          <w:szCs w:val="16"/>
          <w:color w:val="auto"/>
        </w:rPr>
        <w:t>hedging activities related to Halliburton securities; and</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74"/>
        </w:numPr>
        <w:rPr>
          <w:rFonts w:ascii="Arial" w:cs="Arial" w:eastAsia="Arial" w:hAnsi="Arial"/>
          <w:sz w:val="16"/>
          <w:szCs w:val="16"/>
          <w:color w:val="CB233C"/>
        </w:rPr>
      </w:pPr>
      <w:r>
        <w:rPr>
          <w:rFonts w:ascii="Arial" w:cs="Arial" w:eastAsia="Arial" w:hAnsi="Arial"/>
          <w:sz w:val="16"/>
          <w:szCs w:val="16"/>
          <w:color w:val="auto"/>
        </w:rPr>
        <w:t>the pledging of Halliburton securities.</w:t>
      </w:r>
    </w:p>
    <w:p>
      <w:pPr>
        <w:spacing w:after="0" w:line="1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policy defines hedging activities as the use of any financial instrument designed to hedge or offset a change in the market value of any Halliburton security and defines pledging as the use of a Halliburton security or any related derivative security as collateral for any form of indebtedness.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policy:</w:t>
      </w:r>
    </w:p>
    <w:p>
      <w:pPr>
        <w:spacing w:after="0" w:line="194" w:lineRule="exact"/>
        <w:rPr>
          <w:sz w:val="20"/>
          <w:szCs w:val="20"/>
          <w:color w:val="auto"/>
        </w:rPr>
      </w:pPr>
    </w:p>
    <w:p>
      <w:pPr>
        <w:ind w:left="180" w:hanging="172"/>
        <w:spacing w:after="0"/>
        <w:tabs>
          <w:tab w:leader="none" w:pos="180" w:val="left"/>
        </w:tabs>
        <w:numPr>
          <w:ilvl w:val="0"/>
          <w:numId w:val="75"/>
        </w:numPr>
        <w:rPr>
          <w:rFonts w:ascii="Arial" w:cs="Arial" w:eastAsia="Arial" w:hAnsi="Arial"/>
          <w:sz w:val="16"/>
          <w:szCs w:val="16"/>
          <w:color w:val="CB233C"/>
        </w:rPr>
      </w:pPr>
      <w:r>
        <w:rPr>
          <w:rFonts w:ascii="Arial" w:cs="Arial" w:eastAsia="Arial" w:hAnsi="Arial"/>
          <w:sz w:val="16"/>
          <w:szCs w:val="16"/>
          <w:color w:val="auto"/>
        </w:rPr>
        <w:t>discourages all employees and Directors from speculative activities in Halliburton securities and related derivative securities, such as puts or call options;</w:t>
      </w:r>
    </w:p>
    <w:p>
      <w:pPr>
        <w:spacing w:after="0" w:line="86" w:lineRule="exact"/>
        <w:rPr>
          <w:rFonts w:ascii="Arial" w:cs="Arial" w:eastAsia="Arial" w:hAnsi="Arial"/>
          <w:sz w:val="16"/>
          <w:szCs w:val="16"/>
          <w:color w:val="CB233C"/>
        </w:rPr>
      </w:pPr>
    </w:p>
    <w:p>
      <w:pPr>
        <w:ind w:left="180" w:right="20" w:hanging="172"/>
        <w:spacing w:after="0" w:line="286" w:lineRule="auto"/>
        <w:tabs>
          <w:tab w:leader="none" w:pos="180" w:val="left"/>
        </w:tabs>
        <w:numPr>
          <w:ilvl w:val="0"/>
          <w:numId w:val="75"/>
        </w:numPr>
        <w:rPr>
          <w:rFonts w:ascii="Arial" w:cs="Arial" w:eastAsia="Arial" w:hAnsi="Arial"/>
          <w:sz w:val="16"/>
          <w:szCs w:val="16"/>
          <w:color w:val="CB233C"/>
        </w:rPr>
      </w:pPr>
      <w:r>
        <w:rPr>
          <w:rFonts w:ascii="Arial" w:cs="Arial" w:eastAsia="Arial" w:hAnsi="Arial"/>
          <w:sz w:val="16"/>
          <w:szCs w:val="16"/>
          <w:color w:val="auto"/>
        </w:rPr>
        <w:t>applies to all Halliburton securities, including restricted stock, restricted stock units, options, and debt securities, which are issued by any Halliburton entity, and any other security directly or indirectly exercisable for or convertible or exchangeable into any Halliburton security; and</w:t>
      </w:r>
    </w:p>
    <w:p>
      <w:pPr>
        <w:spacing w:after="0" w:line="20" w:lineRule="exact"/>
        <w:rPr>
          <w:rFonts w:ascii="Arial" w:cs="Arial" w:eastAsia="Arial" w:hAnsi="Arial"/>
          <w:sz w:val="16"/>
          <w:szCs w:val="16"/>
          <w:color w:val="CB233C"/>
        </w:rPr>
      </w:pPr>
    </w:p>
    <w:p>
      <w:pPr>
        <w:ind w:left="180" w:hanging="172"/>
        <w:spacing w:after="0"/>
        <w:tabs>
          <w:tab w:leader="none" w:pos="180" w:val="left"/>
        </w:tabs>
        <w:numPr>
          <w:ilvl w:val="0"/>
          <w:numId w:val="75"/>
        </w:numPr>
        <w:rPr>
          <w:rFonts w:ascii="Arial" w:cs="Arial" w:eastAsia="Arial" w:hAnsi="Arial"/>
          <w:sz w:val="16"/>
          <w:szCs w:val="16"/>
          <w:color w:val="CB233C"/>
        </w:rPr>
      </w:pPr>
      <w:r>
        <w:rPr>
          <w:rFonts w:ascii="Arial" w:cs="Arial" w:eastAsia="Arial" w:hAnsi="Arial"/>
          <w:sz w:val="16"/>
          <w:szCs w:val="16"/>
          <w:color w:val="auto"/>
        </w:rPr>
        <w:t>applies regardless of whether or not the securities were acquired from our equity compensation plans.</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Elements of Post-Termination Compensation and Benefits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Termination events that trigger payments and benefits include normal or early retirement, cause, death, disability, and voluntary termination. Post-termination or change-in-control payments may include severance, accelerated vesting of restricted stock and stock options, payments under cash-based short- and long-term incentive plans, share vesting under the long-term incentive plan, payout of nonqualified account balances, and health benefits, among others. The impact of various events on each element of compensation for the NEOs is detailed in the Post-Termination or Change-In-Control Payment table.</w:t>
      </w:r>
    </w:p>
    <w:p>
      <w:pPr>
        <w:spacing w:after="0" w:line="15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886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Impact of Regulatory Requirements on Compensation</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IRC Section 162(m) generally disallows a tax deduction to public companies for compensation paid to the CEO, CFO, or any of the three other most highly compensated officers to the extent the compensation exceeds $1 million in any year. Effective for tax years beginning after December 31, 2017, Section 162(m) has been revised to eliminate the performance-based compensation exception.</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Although the tax deductibility of compensation is a consideration evaluated by our Compensation Committee, the Committee believes that the elimination of the deduction on compensation payable in excess of the $1 million limitation for our NEOs is not material relative to the benefit of being able to attract and retain talented management. Accordingly, our Compensation Committee will continue to pay compensation that is not deductible.</w:t>
      </w:r>
    </w:p>
    <w:p>
      <w:pPr>
        <w:spacing w:after="0" w:line="144" w:lineRule="exact"/>
        <w:rPr>
          <w:sz w:val="20"/>
          <w:szCs w:val="20"/>
          <w:color w:val="auto"/>
        </w:r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CB233C"/>
        </w:rPr>
        <w:t xml:space="preserve">Executive </w:t>
      </w:r>
      <w:r>
        <w:rPr>
          <w:rFonts w:ascii="Arial" w:cs="Arial" w:eastAsia="Arial" w:hAnsi="Arial"/>
          <w:sz w:val="47"/>
          <w:szCs w:val="47"/>
          <w:b w:val="1"/>
          <w:bCs w:val="1"/>
          <w:color w:val="000000"/>
        </w:rPr>
        <w:t>Compensation Tables</w:t>
      </w: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Summary Compensation Table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tables set forth information regarding our CEO, CFO, and our three other most highly compensated executive officers for the fiscal year ended December 31,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Change In</w:t>
            </w: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b w:val="1"/>
                <w:bCs w:val="1"/>
                <w:color w:val="auto"/>
              </w:rPr>
              <w:t>Non-Equity</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Pension Value</w:t>
            </w: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Stock</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Option</w:t>
            </w:r>
          </w:p>
        </w:tc>
        <w:tc>
          <w:tcPr>
            <w:tcW w:w="1300" w:type="dxa"/>
            <w:vAlign w:val="bottom"/>
          </w:tcPr>
          <w:p>
            <w:pPr>
              <w:jc w:val="right"/>
              <w:ind w:right="39"/>
              <w:spacing w:after="0"/>
              <w:rPr>
                <w:sz w:val="20"/>
                <w:szCs w:val="20"/>
                <w:color w:val="auto"/>
              </w:rPr>
            </w:pPr>
            <w:r>
              <w:rPr>
                <w:rFonts w:ascii="Arial" w:cs="Arial" w:eastAsia="Arial" w:hAnsi="Arial"/>
                <w:sz w:val="16"/>
                <w:szCs w:val="16"/>
                <w:b w:val="1"/>
                <w:bCs w:val="1"/>
                <w:color w:val="auto"/>
              </w:rPr>
              <w:t>Incentive Plan</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and NQDC</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All Other</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tcPr>
          <w:p>
            <w:pPr>
              <w:ind w:left="60"/>
              <w:spacing w:after="0"/>
              <w:rPr>
                <w:sz w:val="20"/>
                <w:szCs w:val="20"/>
                <w:color w:val="auto"/>
              </w:rPr>
            </w:pPr>
            <w:r>
              <w:rPr>
                <w:rFonts w:ascii="Arial" w:cs="Arial" w:eastAsia="Arial" w:hAnsi="Arial"/>
                <w:sz w:val="16"/>
                <w:szCs w:val="16"/>
                <w:b w:val="1"/>
                <w:bCs w:val="1"/>
                <w:color w:val="auto"/>
              </w:rPr>
              <w:t>Name and</w:t>
            </w:r>
          </w:p>
        </w:tc>
        <w:tc>
          <w:tcPr>
            <w:tcW w:w="68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Salary</w:t>
            </w: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Bonus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Awards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Awards</w:t>
            </w:r>
          </w:p>
        </w:tc>
        <w:tc>
          <w:tcPr>
            <w:tcW w:w="1300" w:type="dxa"/>
            <w:vAlign w:val="bottom"/>
          </w:tcPr>
          <w:p>
            <w:pPr>
              <w:jc w:val="right"/>
              <w:ind w:right="39"/>
              <w:spacing w:after="0"/>
              <w:rPr>
                <w:sz w:val="20"/>
                <w:szCs w:val="20"/>
                <w:color w:val="auto"/>
              </w:rPr>
            </w:pPr>
            <w:r>
              <w:rPr>
                <w:rFonts w:ascii="Arial" w:cs="Arial" w:eastAsia="Arial" w:hAnsi="Arial"/>
                <w:sz w:val="16"/>
                <w:szCs w:val="16"/>
                <w:b w:val="1"/>
                <w:bCs w:val="1"/>
                <w:color w:val="auto"/>
              </w:rPr>
              <w:t>Compensation</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Earnings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Compensation</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240" w:type="dxa"/>
            <w:vAlign w:val="bottom"/>
            <w:tcBorders>
              <w:bottom w:val="single" w:sz="8" w:color="CB233C"/>
            </w:tcBorders>
          </w:tcPr>
          <w:p>
            <w:pPr>
              <w:ind w:left="60"/>
              <w:spacing w:after="0"/>
              <w:rPr>
                <w:sz w:val="20"/>
                <w:szCs w:val="20"/>
                <w:color w:val="auto"/>
              </w:rPr>
            </w:pPr>
            <w:r>
              <w:rPr>
                <w:rFonts w:ascii="Arial" w:cs="Arial" w:eastAsia="Arial" w:hAnsi="Arial"/>
                <w:sz w:val="16"/>
                <w:szCs w:val="16"/>
                <w:b w:val="1"/>
                <w:bCs w:val="1"/>
                <w:color w:val="auto"/>
              </w:rPr>
              <w:t>Principal Position</w:t>
            </w:r>
          </w:p>
        </w:tc>
        <w:tc>
          <w:tcPr>
            <w:tcW w:w="680" w:type="dxa"/>
            <w:vAlign w:val="bottom"/>
            <w:tcBorders>
              <w:bottom w:val="single" w:sz="8" w:color="CB233C"/>
            </w:tcBorders>
          </w:tcPr>
          <w:p>
            <w:pPr>
              <w:jc w:val="right"/>
              <w:ind w:right="59"/>
              <w:spacing w:after="0"/>
              <w:rPr>
                <w:sz w:val="20"/>
                <w:szCs w:val="20"/>
                <w:color w:val="auto"/>
              </w:rPr>
            </w:pPr>
            <w:r>
              <w:rPr>
                <w:rFonts w:ascii="Arial" w:cs="Arial" w:eastAsia="Arial" w:hAnsi="Arial"/>
                <w:sz w:val="16"/>
                <w:szCs w:val="16"/>
                <w:b w:val="1"/>
                <w:bCs w:val="1"/>
                <w:color w:val="auto"/>
              </w:rPr>
              <w:t>Year</w:t>
            </w:r>
          </w:p>
        </w:tc>
        <w:tc>
          <w:tcPr>
            <w:tcW w:w="1000" w:type="dxa"/>
            <w:vAlign w:val="bottom"/>
            <w:tcBorders>
              <w:bottom w:val="single" w:sz="8" w:color="CB233C"/>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CB233C"/>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CB233C"/>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224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Jeffrey A. Miller</w:t>
            </w:r>
          </w:p>
        </w:tc>
        <w:tc>
          <w:tcPr>
            <w:tcW w:w="680" w:type="dxa"/>
            <w:vAlign w:val="bottom"/>
            <w:tcBorders>
              <w:bottom w:val="single" w:sz="8" w:color="A7A9AC"/>
            </w:tcBorders>
          </w:tcPr>
          <w:p>
            <w:pPr>
              <w:jc w:val="right"/>
              <w:ind w:right="59"/>
              <w:spacing w:after="0" w:line="183" w:lineRule="exact"/>
              <w:rPr>
                <w:sz w:val="20"/>
                <w:szCs w:val="20"/>
                <w:color w:val="auto"/>
              </w:rPr>
            </w:pPr>
            <w:r>
              <w:rPr>
                <w:rFonts w:ascii="Arial" w:cs="Arial" w:eastAsia="Arial" w:hAnsi="Arial"/>
                <w:sz w:val="16"/>
                <w:szCs w:val="16"/>
                <w:color w:val="auto"/>
              </w:rPr>
              <w:t>2021</w:t>
            </w:r>
          </w:p>
        </w:tc>
        <w:tc>
          <w:tcPr>
            <w:tcW w:w="1000" w:type="dxa"/>
            <w:vAlign w:val="bottom"/>
            <w:tcBorders>
              <w:bottom w:val="single" w:sz="8" w:color="A7A9AC"/>
            </w:tcBorders>
          </w:tcPr>
          <w:p>
            <w:pPr>
              <w:jc w:val="right"/>
              <w:ind w:right="59"/>
              <w:spacing w:after="0" w:line="183" w:lineRule="exact"/>
              <w:rPr>
                <w:sz w:val="20"/>
                <w:szCs w:val="20"/>
                <w:color w:val="auto"/>
              </w:rPr>
            </w:pPr>
            <w:r>
              <w:rPr>
                <w:rFonts w:ascii="Arial" w:cs="Arial" w:eastAsia="Arial" w:hAnsi="Arial"/>
                <w:sz w:val="16"/>
                <w:szCs w:val="16"/>
                <w:color w:val="auto"/>
              </w:rPr>
              <w:t>1,500,000</w:t>
            </w:r>
          </w:p>
        </w:tc>
        <w:tc>
          <w:tcPr>
            <w:tcW w:w="820" w:type="dxa"/>
            <w:vAlign w:val="bottom"/>
            <w:tcBorders>
              <w:bottom w:val="single" w:sz="8" w:color="A7A9AC"/>
            </w:tcBorders>
          </w:tcPr>
          <w:p>
            <w:pPr>
              <w:jc w:val="right"/>
              <w:ind w:right="9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6,300,070</w:t>
            </w:r>
          </w:p>
        </w:tc>
        <w:tc>
          <w:tcPr>
            <w:tcW w:w="7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130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14,131,664</w:t>
            </w:r>
          </w:p>
        </w:tc>
        <w:tc>
          <w:tcPr>
            <w:tcW w:w="128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242,327</w:t>
            </w:r>
          </w:p>
        </w:tc>
        <w:tc>
          <w:tcPr>
            <w:tcW w:w="12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1,417,921</w:t>
            </w:r>
          </w:p>
        </w:tc>
        <w:tc>
          <w:tcPr>
            <w:tcW w:w="9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23,591,982</w:t>
            </w:r>
          </w:p>
        </w:tc>
        <w:tc>
          <w:tcPr>
            <w:tcW w:w="0" w:type="dxa"/>
            <w:vAlign w:val="bottom"/>
          </w:tcPr>
          <w:p>
            <w:pPr>
              <w:spacing w:after="0"/>
              <w:rPr>
                <w:sz w:val="1"/>
                <w:szCs w:val="1"/>
                <w:color w:val="auto"/>
              </w:rPr>
            </w:pPr>
          </w:p>
        </w:tc>
      </w:tr>
      <w:tr>
        <w:trPr>
          <w:trHeight w:val="155"/>
        </w:trPr>
        <w:tc>
          <w:tcPr>
            <w:tcW w:w="2240" w:type="dxa"/>
            <w:vAlign w:val="bottom"/>
          </w:tcPr>
          <w:p>
            <w:pPr>
              <w:ind w:left="240"/>
              <w:spacing w:after="0" w:line="155" w:lineRule="exact"/>
              <w:rPr>
                <w:sz w:val="20"/>
                <w:szCs w:val="20"/>
                <w:color w:val="auto"/>
              </w:rPr>
            </w:pPr>
            <w:r>
              <w:rPr>
                <w:rFonts w:ascii="Arial" w:cs="Arial" w:eastAsia="Arial" w:hAnsi="Arial"/>
                <w:sz w:val="16"/>
                <w:szCs w:val="16"/>
                <w:color w:val="auto"/>
              </w:rPr>
              <w:t>Chairman, President and</w:t>
            </w:r>
          </w:p>
        </w:tc>
        <w:tc>
          <w:tcPr>
            <w:tcW w:w="680" w:type="dxa"/>
            <w:vAlign w:val="bottom"/>
          </w:tcPr>
          <w:p>
            <w:pPr>
              <w:jc w:val="right"/>
              <w:ind w:right="59"/>
              <w:spacing w:after="0" w:line="155" w:lineRule="exact"/>
              <w:rPr>
                <w:sz w:val="20"/>
                <w:szCs w:val="20"/>
                <w:color w:val="auto"/>
              </w:rPr>
            </w:pPr>
            <w:r>
              <w:rPr>
                <w:rFonts w:ascii="Arial" w:cs="Arial" w:eastAsia="Arial" w:hAnsi="Arial"/>
                <w:sz w:val="16"/>
                <w:szCs w:val="16"/>
                <w:color w:val="auto"/>
              </w:rPr>
              <w:t>2020</w:t>
            </w:r>
          </w:p>
        </w:tc>
        <w:tc>
          <w:tcPr>
            <w:tcW w:w="1000" w:type="dxa"/>
            <w:vAlign w:val="bottom"/>
          </w:tcPr>
          <w:p>
            <w:pPr>
              <w:jc w:val="right"/>
              <w:ind w:right="59"/>
              <w:spacing w:after="0" w:line="155" w:lineRule="exact"/>
              <w:rPr>
                <w:sz w:val="20"/>
                <w:szCs w:val="20"/>
                <w:color w:val="auto"/>
              </w:rPr>
            </w:pPr>
            <w:r>
              <w:rPr>
                <w:rFonts w:ascii="Arial" w:cs="Arial" w:eastAsia="Arial" w:hAnsi="Arial"/>
                <w:sz w:val="16"/>
                <w:szCs w:val="16"/>
                <w:color w:val="auto"/>
              </w:rPr>
              <w:t>1,300,000</w:t>
            </w:r>
          </w:p>
        </w:tc>
        <w:tc>
          <w:tcPr>
            <w:tcW w:w="820" w:type="dxa"/>
            <w:vAlign w:val="bottom"/>
          </w:tcPr>
          <w:p>
            <w:pPr>
              <w:jc w:val="right"/>
              <w:ind w:right="99"/>
              <w:spacing w:after="0" w:line="155" w:lineRule="exact"/>
              <w:rPr>
                <w:sz w:val="20"/>
                <w:szCs w:val="20"/>
                <w:color w:val="auto"/>
              </w:rPr>
            </w:pPr>
            <w:r>
              <w:rPr>
                <w:rFonts w:ascii="Arial" w:cs="Arial" w:eastAsia="Arial" w:hAnsi="Arial"/>
                <w:sz w:val="16"/>
                <w:szCs w:val="16"/>
                <w:color w:val="auto"/>
              </w:rPr>
              <w:t>0</w:t>
            </w:r>
          </w:p>
        </w:tc>
        <w:tc>
          <w:tcPr>
            <w:tcW w:w="1000" w:type="dxa"/>
            <w:vAlign w:val="bottom"/>
          </w:tcPr>
          <w:p>
            <w:pPr>
              <w:jc w:val="right"/>
              <w:spacing w:after="0" w:line="155" w:lineRule="exact"/>
              <w:rPr>
                <w:sz w:val="20"/>
                <w:szCs w:val="20"/>
                <w:color w:val="auto"/>
              </w:rPr>
            </w:pPr>
            <w:r>
              <w:rPr>
                <w:rFonts w:ascii="Arial" w:cs="Arial" w:eastAsia="Arial" w:hAnsi="Arial"/>
                <w:sz w:val="16"/>
                <w:szCs w:val="16"/>
                <w:color w:val="auto"/>
              </w:rPr>
              <w:t>9,687,697</w:t>
            </w:r>
          </w:p>
        </w:tc>
        <w:tc>
          <w:tcPr>
            <w:tcW w:w="740" w:type="dxa"/>
            <w:vAlign w:val="bottom"/>
          </w:tcPr>
          <w:p>
            <w:pPr>
              <w:jc w:val="right"/>
              <w:spacing w:after="0" w:line="155" w:lineRule="exact"/>
              <w:rPr>
                <w:sz w:val="20"/>
                <w:szCs w:val="20"/>
                <w:color w:val="auto"/>
              </w:rPr>
            </w:pPr>
            <w:r>
              <w:rPr>
                <w:rFonts w:ascii="Arial" w:cs="Arial" w:eastAsia="Arial" w:hAnsi="Arial"/>
                <w:sz w:val="16"/>
                <w:szCs w:val="16"/>
                <w:color w:val="auto"/>
              </w:rPr>
              <w:t>0</w:t>
            </w:r>
          </w:p>
        </w:tc>
        <w:tc>
          <w:tcPr>
            <w:tcW w:w="1300" w:type="dxa"/>
            <w:vAlign w:val="bottom"/>
          </w:tcPr>
          <w:p>
            <w:pPr>
              <w:jc w:val="right"/>
              <w:ind w:right="39"/>
              <w:spacing w:after="0" w:line="155" w:lineRule="exact"/>
              <w:rPr>
                <w:sz w:val="20"/>
                <w:szCs w:val="20"/>
                <w:color w:val="auto"/>
              </w:rPr>
            </w:pPr>
            <w:r>
              <w:rPr>
                <w:rFonts w:ascii="Arial" w:cs="Arial" w:eastAsia="Arial" w:hAnsi="Arial"/>
                <w:sz w:val="16"/>
                <w:szCs w:val="16"/>
                <w:color w:val="auto"/>
              </w:rPr>
              <w:t>9,456,914</w:t>
            </w:r>
          </w:p>
        </w:tc>
        <w:tc>
          <w:tcPr>
            <w:tcW w:w="1280" w:type="dxa"/>
            <w:vAlign w:val="bottom"/>
          </w:tcPr>
          <w:p>
            <w:pPr>
              <w:jc w:val="right"/>
              <w:spacing w:after="0" w:line="155" w:lineRule="exact"/>
              <w:rPr>
                <w:sz w:val="20"/>
                <w:szCs w:val="20"/>
                <w:color w:val="auto"/>
              </w:rPr>
            </w:pPr>
            <w:r>
              <w:rPr>
                <w:rFonts w:ascii="Arial" w:cs="Arial" w:eastAsia="Arial" w:hAnsi="Arial"/>
                <w:sz w:val="16"/>
                <w:szCs w:val="16"/>
                <w:color w:val="auto"/>
              </w:rPr>
              <w:t>252,566</w:t>
            </w:r>
          </w:p>
        </w:tc>
        <w:tc>
          <w:tcPr>
            <w:tcW w:w="1240" w:type="dxa"/>
            <w:vAlign w:val="bottom"/>
          </w:tcPr>
          <w:p>
            <w:pPr>
              <w:jc w:val="right"/>
              <w:spacing w:after="0" w:line="155" w:lineRule="exact"/>
              <w:rPr>
                <w:sz w:val="20"/>
                <w:szCs w:val="20"/>
                <w:color w:val="auto"/>
              </w:rPr>
            </w:pPr>
            <w:r>
              <w:rPr>
                <w:rFonts w:ascii="Arial" w:cs="Arial" w:eastAsia="Arial" w:hAnsi="Arial"/>
                <w:sz w:val="16"/>
                <w:szCs w:val="16"/>
                <w:color w:val="auto"/>
              </w:rPr>
              <w:t>1,622,208</w:t>
            </w:r>
          </w:p>
        </w:tc>
        <w:tc>
          <w:tcPr>
            <w:tcW w:w="940" w:type="dxa"/>
            <w:vAlign w:val="bottom"/>
          </w:tcPr>
          <w:p>
            <w:pPr>
              <w:jc w:val="right"/>
              <w:spacing w:after="0" w:line="155" w:lineRule="exact"/>
              <w:rPr>
                <w:sz w:val="20"/>
                <w:szCs w:val="20"/>
                <w:color w:val="auto"/>
              </w:rPr>
            </w:pPr>
            <w:r>
              <w:rPr>
                <w:rFonts w:ascii="Arial" w:cs="Arial" w:eastAsia="Arial" w:hAnsi="Arial"/>
                <w:sz w:val="16"/>
                <w:szCs w:val="16"/>
                <w:color w:val="auto"/>
              </w:rPr>
              <w:t>22,319,385</w:t>
            </w:r>
          </w:p>
        </w:tc>
        <w:tc>
          <w:tcPr>
            <w:tcW w:w="0" w:type="dxa"/>
            <w:vAlign w:val="bottom"/>
          </w:tcPr>
          <w:p>
            <w:pPr>
              <w:spacing w:after="0"/>
              <w:rPr>
                <w:sz w:val="1"/>
                <w:szCs w:val="1"/>
                <w:color w:val="auto"/>
              </w:rPr>
            </w:pPr>
          </w:p>
        </w:tc>
      </w:tr>
      <w:tr>
        <w:trPr>
          <w:trHeight w:val="28"/>
        </w:trPr>
        <w:tc>
          <w:tcPr>
            <w:tcW w:w="2240" w:type="dxa"/>
            <w:vAlign w:val="bottom"/>
            <w:vMerge w:val="restart"/>
          </w:tcPr>
          <w:p>
            <w:pPr>
              <w:ind w:left="240"/>
              <w:spacing w:after="0"/>
              <w:rPr>
                <w:sz w:val="20"/>
                <w:szCs w:val="20"/>
                <w:color w:val="auto"/>
              </w:rPr>
            </w:pPr>
            <w:r>
              <w:rPr>
                <w:rFonts w:ascii="Arial" w:cs="Arial" w:eastAsia="Arial" w:hAnsi="Arial"/>
                <w:sz w:val="16"/>
                <w:szCs w:val="16"/>
                <w:color w:val="auto"/>
              </w:rPr>
              <w:t>Chief Executive Officer</w:t>
            </w:r>
          </w:p>
        </w:tc>
        <w:tc>
          <w:tcPr>
            <w:tcW w:w="680" w:type="dxa"/>
            <w:vAlign w:val="bottom"/>
            <w:tcBorders>
              <w:bottom w:val="single" w:sz="8" w:color="A7A9AC"/>
            </w:tcBorders>
          </w:tcPr>
          <w:p>
            <w:pPr>
              <w:spacing w:after="0"/>
              <w:rPr>
                <w:sz w:val="2"/>
                <w:szCs w:val="2"/>
                <w:color w:val="auto"/>
              </w:rPr>
            </w:pPr>
          </w:p>
        </w:tc>
        <w:tc>
          <w:tcPr>
            <w:tcW w:w="1000" w:type="dxa"/>
            <w:vAlign w:val="bottom"/>
            <w:tcBorders>
              <w:bottom w:val="single" w:sz="8" w:color="A7A9AC"/>
            </w:tcBorders>
          </w:tcPr>
          <w:p>
            <w:pPr>
              <w:spacing w:after="0"/>
              <w:rPr>
                <w:sz w:val="2"/>
                <w:szCs w:val="2"/>
                <w:color w:val="auto"/>
              </w:rPr>
            </w:pPr>
          </w:p>
        </w:tc>
        <w:tc>
          <w:tcPr>
            <w:tcW w:w="820" w:type="dxa"/>
            <w:vAlign w:val="bottom"/>
            <w:tcBorders>
              <w:bottom w:val="single" w:sz="8" w:color="A7A9AC"/>
            </w:tcBorders>
          </w:tcPr>
          <w:p>
            <w:pPr>
              <w:spacing w:after="0"/>
              <w:rPr>
                <w:sz w:val="2"/>
                <w:szCs w:val="2"/>
                <w:color w:val="auto"/>
              </w:rPr>
            </w:pPr>
          </w:p>
        </w:tc>
        <w:tc>
          <w:tcPr>
            <w:tcW w:w="1000" w:type="dxa"/>
            <w:vAlign w:val="bottom"/>
            <w:tcBorders>
              <w:bottom w:val="single" w:sz="8" w:color="A7A9AC"/>
            </w:tcBorders>
          </w:tcPr>
          <w:p>
            <w:pPr>
              <w:spacing w:after="0"/>
              <w:rPr>
                <w:sz w:val="2"/>
                <w:szCs w:val="2"/>
                <w:color w:val="auto"/>
              </w:rPr>
            </w:pPr>
          </w:p>
        </w:tc>
        <w:tc>
          <w:tcPr>
            <w:tcW w:w="740" w:type="dxa"/>
            <w:vAlign w:val="bottom"/>
            <w:tcBorders>
              <w:bottom w:val="single" w:sz="8" w:color="A7A9AC"/>
            </w:tcBorders>
          </w:tcPr>
          <w:p>
            <w:pPr>
              <w:spacing w:after="0"/>
              <w:rPr>
                <w:sz w:val="2"/>
                <w:szCs w:val="2"/>
                <w:color w:val="auto"/>
              </w:rPr>
            </w:pPr>
          </w:p>
        </w:tc>
        <w:tc>
          <w:tcPr>
            <w:tcW w:w="1300" w:type="dxa"/>
            <w:vAlign w:val="bottom"/>
            <w:tcBorders>
              <w:bottom w:val="single" w:sz="8" w:color="A7A9AC"/>
            </w:tcBorders>
          </w:tcPr>
          <w:p>
            <w:pPr>
              <w:spacing w:after="0"/>
              <w:rPr>
                <w:sz w:val="2"/>
                <w:szCs w:val="2"/>
                <w:color w:val="auto"/>
              </w:rPr>
            </w:pPr>
          </w:p>
        </w:tc>
        <w:tc>
          <w:tcPr>
            <w:tcW w:w="1280" w:type="dxa"/>
            <w:vAlign w:val="bottom"/>
            <w:tcBorders>
              <w:bottom w:val="single" w:sz="8" w:color="A7A9AC"/>
            </w:tcBorders>
          </w:tcPr>
          <w:p>
            <w:pPr>
              <w:spacing w:after="0"/>
              <w:rPr>
                <w:sz w:val="2"/>
                <w:szCs w:val="2"/>
                <w:color w:val="auto"/>
              </w:rPr>
            </w:pPr>
          </w:p>
        </w:tc>
        <w:tc>
          <w:tcPr>
            <w:tcW w:w="1240" w:type="dxa"/>
            <w:vAlign w:val="bottom"/>
            <w:tcBorders>
              <w:bottom w:val="single" w:sz="8" w:color="A7A9AC"/>
            </w:tcBorders>
          </w:tcPr>
          <w:p>
            <w:pPr>
              <w:spacing w:after="0"/>
              <w:rPr>
                <w:sz w:val="2"/>
                <w:szCs w:val="2"/>
                <w:color w:val="auto"/>
              </w:rPr>
            </w:pPr>
          </w:p>
        </w:tc>
        <w:tc>
          <w:tcPr>
            <w:tcW w:w="940" w:type="dxa"/>
            <w:vAlign w:val="bottom"/>
            <w:tcBorders>
              <w:bottom w:val="single" w:sz="8" w:color="A7A9AC"/>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240" w:type="dxa"/>
            <w:vAlign w:val="bottom"/>
            <w:tcBorders>
              <w:bottom w:val="single" w:sz="8" w:color="CB233C"/>
            </w:tcBorders>
            <w:vMerge w:val="continue"/>
          </w:tcPr>
          <w:p>
            <w:pPr>
              <w:spacing w:after="0"/>
              <w:rPr>
                <w:sz w:val="17"/>
                <w:szCs w:val="17"/>
                <w:color w:val="auto"/>
              </w:rPr>
            </w:pPr>
          </w:p>
        </w:tc>
        <w:tc>
          <w:tcPr>
            <w:tcW w:w="680" w:type="dxa"/>
            <w:vAlign w:val="bottom"/>
            <w:tcBorders>
              <w:bottom w:val="single" w:sz="8" w:color="CB233C"/>
            </w:tcBorders>
          </w:tcPr>
          <w:p>
            <w:pPr>
              <w:jc w:val="right"/>
              <w:ind w:right="59"/>
              <w:spacing w:after="0"/>
              <w:rPr>
                <w:sz w:val="20"/>
                <w:szCs w:val="20"/>
                <w:color w:val="auto"/>
              </w:rPr>
            </w:pPr>
            <w:r>
              <w:rPr>
                <w:rFonts w:ascii="Arial" w:cs="Arial" w:eastAsia="Arial" w:hAnsi="Arial"/>
                <w:sz w:val="16"/>
                <w:szCs w:val="16"/>
                <w:color w:val="auto"/>
              </w:rPr>
              <w:t>2019</w:t>
            </w:r>
          </w:p>
        </w:tc>
        <w:tc>
          <w:tcPr>
            <w:tcW w:w="1000" w:type="dxa"/>
            <w:vAlign w:val="bottom"/>
            <w:tcBorders>
              <w:bottom w:val="single" w:sz="8" w:color="CB233C"/>
            </w:tcBorders>
          </w:tcPr>
          <w:p>
            <w:pPr>
              <w:jc w:val="right"/>
              <w:ind w:right="59"/>
              <w:spacing w:after="0"/>
              <w:rPr>
                <w:sz w:val="20"/>
                <w:szCs w:val="20"/>
                <w:color w:val="auto"/>
              </w:rPr>
            </w:pPr>
            <w:r>
              <w:rPr>
                <w:rFonts w:ascii="Arial" w:cs="Arial" w:eastAsia="Arial" w:hAnsi="Arial"/>
                <w:sz w:val="16"/>
                <w:szCs w:val="16"/>
                <w:color w:val="auto"/>
              </w:rPr>
              <w:t>1,500,000</w:t>
            </w:r>
          </w:p>
        </w:tc>
        <w:tc>
          <w:tcPr>
            <w:tcW w:w="820" w:type="dxa"/>
            <w:vAlign w:val="bottom"/>
            <w:tcBorders>
              <w:bottom w:val="single" w:sz="8" w:color="CB233C"/>
            </w:tcBorders>
          </w:tcPr>
          <w:p>
            <w:pPr>
              <w:jc w:val="right"/>
              <w:ind w:right="9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3,584,073</w:t>
            </w:r>
          </w:p>
        </w:tc>
        <w:tc>
          <w:tcPr>
            <w:tcW w:w="74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0</w:t>
            </w:r>
          </w:p>
        </w:tc>
        <w:tc>
          <w:tcPr>
            <w:tcW w:w="1300" w:type="dxa"/>
            <w:vAlign w:val="bottom"/>
            <w:tcBorders>
              <w:bottom w:val="single" w:sz="8" w:color="CB233C"/>
            </w:tcBorders>
          </w:tcPr>
          <w:p>
            <w:pPr>
              <w:jc w:val="right"/>
              <w:ind w:right="39"/>
              <w:spacing w:after="0"/>
              <w:rPr>
                <w:sz w:val="20"/>
                <w:szCs w:val="20"/>
                <w:color w:val="auto"/>
              </w:rPr>
            </w:pPr>
            <w:r>
              <w:rPr>
                <w:rFonts w:ascii="Arial" w:cs="Arial" w:eastAsia="Arial" w:hAnsi="Arial"/>
                <w:sz w:val="16"/>
                <w:szCs w:val="16"/>
                <w:color w:val="auto"/>
              </w:rPr>
              <w:t>5,730,380</w:t>
            </w:r>
          </w:p>
        </w:tc>
        <w:tc>
          <w:tcPr>
            <w:tcW w:w="128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139,300</w:t>
            </w:r>
          </w:p>
        </w:tc>
        <w:tc>
          <w:tcPr>
            <w:tcW w:w="124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1,799,861</w:t>
            </w:r>
          </w:p>
        </w:tc>
        <w:tc>
          <w:tcPr>
            <w:tcW w:w="94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12,753,614</w:t>
            </w:r>
          </w:p>
        </w:tc>
        <w:tc>
          <w:tcPr>
            <w:tcW w:w="0" w:type="dxa"/>
            <w:vAlign w:val="bottom"/>
          </w:tcPr>
          <w:p>
            <w:pPr>
              <w:spacing w:after="0"/>
              <w:rPr>
                <w:sz w:val="1"/>
                <w:szCs w:val="1"/>
                <w:color w:val="auto"/>
              </w:rPr>
            </w:pPr>
          </w:p>
        </w:tc>
      </w:tr>
      <w:tr>
        <w:trPr>
          <w:trHeight w:val="183"/>
        </w:trPr>
        <w:tc>
          <w:tcPr>
            <w:tcW w:w="224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Lance Loeffler</w:t>
            </w:r>
          </w:p>
        </w:tc>
        <w:tc>
          <w:tcPr>
            <w:tcW w:w="680" w:type="dxa"/>
            <w:vAlign w:val="bottom"/>
            <w:tcBorders>
              <w:bottom w:val="single" w:sz="8" w:color="A7A9AC"/>
            </w:tcBorders>
          </w:tcPr>
          <w:p>
            <w:pPr>
              <w:jc w:val="right"/>
              <w:ind w:right="59"/>
              <w:spacing w:after="0" w:line="183" w:lineRule="exact"/>
              <w:rPr>
                <w:sz w:val="20"/>
                <w:szCs w:val="20"/>
                <w:color w:val="auto"/>
              </w:rPr>
            </w:pPr>
            <w:r>
              <w:rPr>
                <w:rFonts w:ascii="Arial" w:cs="Arial" w:eastAsia="Arial" w:hAnsi="Arial"/>
                <w:sz w:val="16"/>
                <w:szCs w:val="16"/>
                <w:color w:val="auto"/>
              </w:rPr>
              <w:t>2021</w:t>
            </w:r>
          </w:p>
        </w:tc>
        <w:tc>
          <w:tcPr>
            <w:tcW w:w="1000" w:type="dxa"/>
            <w:vAlign w:val="bottom"/>
            <w:tcBorders>
              <w:bottom w:val="single" w:sz="8" w:color="A7A9AC"/>
            </w:tcBorders>
          </w:tcPr>
          <w:p>
            <w:pPr>
              <w:jc w:val="right"/>
              <w:ind w:right="59"/>
              <w:spacing w:after="0" w:line="183" w:lineRule="exact"/>
              <w:rPr>
                <w:sz w:val="20"/>
                <w:szCs w:val="20"/>
                <w:color w:val="auto"/>
              </w:rPr>
            </w:pPr>
            <w:r>
              <w:rPr>
                <w:rFonts w:ascii="Arial" w:cs="Arial" w:eastAsia="Arial" w:hAnsi="Arial"/>
                <w:sz w:val="16"/>
                <w:szCs w:val="16"/>
                <w:color w:val="auto"/>
              </w:rPr>
              <w:t>760,000</w:t>
            </w:r>
          </w:p>
        </w:tc>
        <w:tc>
          <w:tcPr>
            <w:tcW w:w="820" w:type="dxa"/>
            <w:vAlign w:val="bottom"/>
            <w:tcBorders>
              <w:bottom w:val="single" w:sz="8" w:color="A7A9AC"/>
            </w:tcBorders>
          </w:tcPr>
          <w:p>
            <w:pPr>
              <w:jc w:val="right"/>
              <w:ind w:right="9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1,765,560</w:t>
            </w:r>
          </w:p>
        </w:tc>
        <w:tc>
          <w:tcPr>
            <w:tcW w:w="7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130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4,398,952</w:t>
            </w:r>
          </w:p>
        </w:tc>
        <w:tc>
          <w:tcPr>
            <w:tcW w:w="128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28,146</w:t>
            </w:r>
          </w:p>
        </w:tc>
        <w:tc>
          <w:tcPr>
            <w:tcW w:w="12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480,841</w:t>
            </w:r>
          </w:p>
        </w:tc>
        <w:tc>
          <w:tcPr>
            <w:tcW w:w="9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7,433,499</w:t>
            </w:r>
          </w:p>
        </w:tc>
        <w:tc>
          <w:tcPr>
            <w:tcW w:w="0" w:type="dxa"/>
            <w:vAlign w:val="bottom"/>
          </w:tcPr>
          <w:p>
            <w:pPr>
              <w:spacing w:after="0"/>
              <w:rPr>
                <w:sz w:val="1"/>
                <w:szCs w:val="1"/>
                <w:color w:val="auto"/>
              </w:rPr>
            </w:pPr>
          </w:p>
        </w:tc>
      </w:tr>
      <w:tr>
        <w:trPr>
          <w:trHeight w:val="155"/>
        </w:trPr>
        <w:tc>
          <w:tcPr>
            <w:tcW w:w="2240" w:type="dxa"/>
            <w:vAlign w:val="bottom"/>
          </w:tcPr>
          <w:p>
            <w:pPr>
              <w:ind w:left="240"/>
              <w:spacing w:after="0" w:line="155" w:lineRule="exact"/>
              <w:rPr>
                <w:sz w:val="20"/>
                <w:szCs w:val="20"/>
                <w:color w:val="auto"/>
              </w:rPr>
            </w:pPr>
            <w:r>
              <w:rPr>
                <w:rFonts w:ascii="Arial" w:cs="Arial" w:eastAsia="Arial" w:hAnsi="Arial"/>
                <w:sz w:val="16"/>
                <w:szCs w:val="16"/>
                <w:color w:val="auto"/>
              </w:rPr>
              <w:t>Executive Vice President</w:t>
            </w:r>
          </w:p>
        </w:tc>
        <w:tc>
          <w:tcPr>
            <w:tcW w:w="680" w:type="dxa"/>
            <w:vAlign w:val="bottom"/>
          </w:tcPr>
          <w:p>
            <w:pPr>
              <w:jc w:val="right"/>
              <w:ind w:right="59"/>
              <w:spacing w:after="0" w:line="155" w:lineRule="exact"/>
              <w:rPr>
                <w:sz w:val="20"/>
                <w:szCs w:val="20"/>
                <w:color w:val="auto"/>
              </w:rPr>
            </w:pPr>
            <w:r>
              <w:rPr>
                <w:rFonts w:ascii="Arial" w:cs="Arial" w:eastAsia="Arial" w:hAnsi="Arial"/>
                <w:sz w:val="16"/>
                <w:szCs w:val="16"/>
                <w:color w:val="auto"/>
              </w:rPr>
              <w:t>2020</w:t>
            </w:r>
          </w:p>
        </w:tc>
        <w:tc>
          <w:tcPr>
            <w:tcW w:w="1000" w:type="dxa"/>
            <w:vAlign w:val="bottom"/>
          </w:tcPr>
          <w:p>
            <w:pPr>
              <w:jc w:val="right"/>
              <w:ind w:right="59"/>
              <w:spacing w:after="0" w:line="155" w:lineRule="exact"/>
              <w:rPr>
                <w:sz w:val="20"/>
                <w:szCs w:val="20"/>
                <w:color w:val="auto"/>
              </w:rPr>
            </w:pPr>
            <w:r>
              <w:rPr>
                <w:rFonts w:ascii="Arial" w:cs="Arial" w:eastAsia="Arial" w:hAnsi="Arial"/>
                <w:sz w:val="16"/>
                <w:szCs w:val="16"/>
                <w:color w:val="auto"/>
              </w:rPr>
              <w:t>709,333</w:t>
            </w:r>
          </w:p>
        </w:tc>
        <w:tc>
          <w:tcPr>
            <w:tcW w:w="820" w:type="dxa"/>
            <w:vAlign w:val="bottom"/>
          </w:tcPr>
          <w:p>
            <w:pPr>
              <w:jc w:val="right"/>
              <w:ind w:right="99"/>
              <w:spacing w:after="0" w:line="155" w:lineRule="exact"/>
              <w:rPr>
                <w:sz w:val="20"/>
                <w:szCs w:val="20"/>
                <w:color w:val="auto"/>
              </w:rPr>
            </w:pPr>
            <w:r>
              <w:rPr>
                <w:rFonts w:ascii="Arial" w:cs="Arial" w:eastAsia="Arial" w:hAnsi="Arial"/>
                <w:sz w:val="16"/>
                <w:szCs w:val="16"/>
                <w:color w:val="auto"/>
              </w:rPr>
              <w:t>0</w:t>
            </w:r>
          </w:p>
        </w:tc>
        <w:tc>
          <w:tcPr>
            <w:tcW w:w="1000" w:type="dxa"/>
            <w:vAlign w:val="bottom"/>
          </w:tcPr>
          <w:p>
            <w:pPr>
              <w:jc w:val="right"/>
              <w:spacing w:after="0" w:line="155" w:lineRule="exact"/>
              <w:rPr>
                <w:sz w:val="20"/>
                <w:szCs w:val="20"/>
                <w:color w:val="auto"/>
              </w:rPr>
            </w:pPr>
            <w:r>
              <w:rPr>
                <w:rFonts w:ascii="Arial" w:cs="Arial" w:eastAsia="Arial" w:hAnsi="Arial"/>
                <w:sz w:val="16"/>
                <w:szCs w:val="16"/>
                <w:color w:val="auto"/>
              </w:rPr>
              <w:t>2,554,478</w:t>
            </w:r>
          </w:p>
        </w:tc>
        <w:tc>
          <w:tcPr>
            <w:tcW w:w="740" w:type="dxa"/>
            <w:vAlign w:val="bottom"/>
          </w:tcPr>
          <w:p>
            <w:pPr>
              <w:jc w:val="right"/>
              <w:spacing w:after="0" w:line="155" w:lineRule="exact"/>
              <w:rPr>
                <w:sz w:val="20"/>
                <w:szCs w:val="20"/>
                <w:color w:val="auto"/>
              </w:rPr>
            </w:pPr>
            <w:r>
              <w:rPr>
                <w:rFonts w:ascii="Arial" w:cs="Arial" w:eastAsia="Arial" w:hAnsi="Arial"/>
                <w:sz w:val="16"/>
                <w:szCs w:val="16"/>
                <w:color w:val="auto"/>
              </w:rPr>
              <w:t>0</w:t>
            </w:r>
          </w:p>
        </w:tc>
        <w:tc>
          <w:tcPr>
            <w:tcW w:w="1300" w:type="dxa"/>
            <w:vAlign w:val="bottom"/>
          </w:tcPr>
          <w:p>
            <w:pPr>
              <w:jc w:val="right"/>
              <w:ind w:right="39"/>
              <w:spacing w:after="0" w:line="155" w:lineRule="exact"/>
              <w:rPr>
                <w:sz w:val="20"/>
                <w:szCs w:val="20"/>
                <w:color w:val="auto"/>
              </w:rPr>
            </w:pPr>
            <w:r>
              <w:rPr>
                <w:rFonts w:ascii="Arial" w:cs="Arial" w:eastAsia="Arial" w:hAnsi="Arial"/>
                <w:sz w:val="16"/>
                <w:szCs w:val="16"/>
                <w:color w:val="auto"/>
              </w:rPr>
              <w:t>0</w:t>
            </w:r>
          </w:p>
        </w:tc>
        <w:tc>
          <w:tcPr>
            <w:tcW w:w="1280" w:type="dxa"/>
            <w:vAlign w:val="bottom"/>
          </w:tcPr>
          <w:p>
            <w:pPr>
              <w:jc w:val="right"/>
              <w:spacing w:after="0" w:line="155" w:lineRule="exact"/>
              <w:rPr>
                <w:sz w:val="20"/>
                <w:szCs w:val="20"/>
                <w:color w:val="auto"/>
              </w:rPr>
            </w:pPr>
            <w:r>
              <w:rPr>
                <w:rFonts w:ascii="Arial" w:cs="Arial" w:eastAsia="Arial" w:hAnsi="Arial"/>
                <w:sz w:val="16"/>
                <w:szCs w:val="16"/>
                <w:color w:val="auto"/>
              </w:rPr>
              <w:t>19,725</w:t>
            </w:r>
          </w:p>
        </w:tc>
        <w:tc>
          <w:tcPr>
            <w:tcW w:w="1240" w:type="dxa"/>
            <w:vAlign w:val="bottom"/>
          </w:tcPr>
          <w:p>
            <w:pPr>
              <w:jc w:val="right"/>
              <w:spacing w:after="0" w:line="155" w:lineRule="exact"/>
              <w:rPr>
                <w:sz w:val="20"/>
                <w:szCs w:val="20"/>
                <w:color w:val="auto"/>
              </w:rPr>
            </w:pPr>
            <w:r>
              <w:rPr>
                <w:rFonts w:ascii="Arial" w:cs="Arial" w:eastAsia="Arial" w:hAnsi="Arial"/>
                <w:sz w:val="16"/>
                <w:szCs w:val="16"/>
                <w:color w:val="auto"/>
              </w:rPr>
              <w:t>504,508</w:t>
            </w:r>
          </w:p>
        </w:tc>
        <w:tc>
          <w:tcPr>
            <w:tcW w:w="940" w:type="dxa"/>
            <w:vAlign w:val="bottom"/>
          </w:tcPr>
          <w:p>
            <w:pPr>
              <w:jc w:val="right"/>
              <w:spacing w:after="0" w:line="155" w:lineRule="exact"/>
              <w:rPr>
                <w:sz w:val="20"/>
                <w:szCs w:val="20"/>
                <w:color w:val="auto"/>
              </w:rPr>
            </w:pPr>
            <w:r>
              <w:rPr>
                <w:rFonts w:ascii="Arial" w:cs="Arial" w:eastAsia="Arial" w:hAnsi="Arial"/>
                <w:sz w:val="16"/>
                <w:szCs w:val="16"/>
                <w:color w:val="auto"/>
              </w:rPr>
              <w:t>3,788,044</w:t>
            </w:r>
          </w:p>
        </w:tc>
        <w:tc>
          <w:tcPr>
            <w:tcW w:w="0" w:type="dxa"/>
            <w:vAlign w:val="bottom"/>
          </w:tcPr>
          <w:p>
            <w:pPr>
              <w:spacing w:after="0"/>
              <w:rPr>
                <w:sz w:val="1"/>
                <w:szCs w:val="1"/>
                <w:color w:val="auto"/>
              </w:rPr>
            </w:pPr>
          </w:p>
        </w:tc>
      </w:tr>
      <w:tr>
        <w:trPr>
          <w:trHeight w:val="28"/>
        </w:trPr>
        <w:tc>
          <w:tcPr>
            <w:tcW w:w="2240" w:type="dxa"/>
            <w:vAlign w:val="bottom"/>
            <w:vMerge w:val="restart"/>
          </w:tcPr>
          <w:p>
            <w:pPr>
              <w:ind w:left="240"/>
              <w:spacing w:after="0"/>
              <w:rPr>
                <w:sz w:val="20"/>
                <w:szCs w:val="20"/>
                <w:color w:val="auto"/>
              </w:rPr>
            </w:pPr>
            <w:r>
              <w:rPr>
                <w:rFonts w:ascii="Arial" w:cs="Arial" w:eastAsia="Arial" w:hAnsi="Arial"/>
                <w:sz w:val="16"/>
                <w:szCs w:val="16"/>
                <w:color w:val="auto"/>
              </w:rPr>
              <w:t>and Chief Financial Officer</w:t>
            </w:r>
          </w:p>
        </w:tc>
        <w:tc>
          <w:tcPr>
            <w:tcW w:w="680" w:type="dxa"/>
            <w:vAlign w:val="bottom"/>
            <w:tcBorders>
              <w:bottom w:val="single" w:sz="8" w:color="A7A9AC"/>
            </w:tcBorders>
          </w:tcPr>
          <w:p>
            <w:pPr>
              <w:spacing w:after="0"/>
              <w:rPr>
                <w:sz w:val="2"/>
                <w:szCs w:val="2"/>
                <w:color w:val="auto"/>
              </w:rPr>
            </w:pPr>
          </w:p>
        </w:tc>
        <w:tc>
          <w:tcPr>
            <w:tcW w:w="1000" w:type="dxa"/>
            <w:vAlign w:val="bottom"/>
            <w:tcBorders>
              <w:bottom w:val="single" w:sz="8" w:color="A7A9AC"/>
            </w:tcBorders>
          </w:tcPr>
          <w:p>
            <w:pPr>
              <w:spacing w:after="0"/>
              <w:rPr>
                <w:sz w:val="2"/>
                <w:szCs w:val="2"/>
                <w:color w:val="auto"/>
              </w:rPr>
            </w:pPr>
          </w:p>
        </w:tc>
        <w:tc>
          <w:tcPr>
            <w:tcW w:w="820" w:type="dxa"/>
            <w:vAlign w:val="bottom"/>
            <w:tcBorders>
              <w:bottom w:val="single" w:sz="8" w:color="A7A9AC"/>
            </w:tcBorders>
          </w:tcPr>
          <w:p>
            <w:pPr>
              <w:spacing w:after="0"/>
              <w:rPr>
                <w:sz w:val="2"/>
                <w:szCs w:val="2"/>
                <w:color w:val="auto"/>
              </w:rPr>
            </w:pPr>
          </w:p>
        </w:tc>
        <w:tc>
          <w:tcPr>
            <w:tcW w:w="1000" w:type="dxa"/>
            <w:vAlign w:val="bottom"/>
            <w:tcBorders>
              <w:bottom w:val="single" w:sz="8" w:color="A7A9AC"/>
            </w:tcBorders>
          </w:tcPr>
          <w:p>
            <w:pPr>
              <w:spacing w:after="0"/>
              <w:rPr>
                <w:sz w:val="2"/>
                <w:szCs w:val="2"/>
                <w:color w:val="auto"/>
              </w:rPr>
            </w:pPr>
          </w:p>
        </w:tc>
        <w:tc>
          <w:tcPr>
            <w:tcW w:w="740" w:type="dxa"/>
            <w:vAlign w:val="bottom"/>
            <w:tcBorders>
              <w:bottom w:val="single" w:sz="8" w:color="A7A9AC"/>
            </w:tcBorders>
          </w:tcPr>
          <w:p>
            <w:pPr>
              <w:spacing w:after="0"/>
              <w:rPr>
                <w:sz w:val="2"/>
                <w:szCs w:val="2"/>
                <w:color w:val="auto"/>
              </w:rPr>
            </w:pPr>
          </w:p>
        </w:tc>
        <w:tc>
          <w:tcPr>
            <w:tcW w:w="1300" w:type="dxa"/>
            <w:vAlign w:val="bottom"/>
            <w:tcBorders>
              <w:bottom w:val="single" w:sz="8" w:color="A7A9AC"/>
            </w:tcBorders>
          </w:tcPr>
          <w:p>
            <w:pPr>
              <w:spacing w:after="0"/>
              <w:rPr>
                <w:sz w:val="2"/>
                <w:szCs w:val="2"/>
                <w:color w:val="auto"/>
              </w:rPr>
            </w:pPr>
          </w:p>
        </w:tc>
        <w:tc>
          <w:tcPr>
            <w:tcW w:w="1280" w:type="dxa"/>
            <w:vAlign w:val="bottom"/>
            <w:tcBorders>
              <w:bottom w:val="single" w:sz="8" w:color="A7A9AC"/>
            </w:tcBorders>
          </w:tcPr>
          <w:p>
            <w:pPr>
              <w:spacing w:after="0"/>
              <w:rPr>
                <w:sz w:val="2"/>
                <w:szCs w:val="2"/>
                <w:color w:val="auto"/>
              </w:rPr>
            </w:pPr>
          </w:p>
        </w:tc>
        <w:tc>
          <w:tcPr>
            <w:tcW w:w="1240" w:type="dxa"/>
            <w:vAlign w:val="bottom"/>
            <w:tcBorders>
              <w:bottom w:val="single" w:sz="8" w:color="A7A9AC"/>
            </w:tcBorders>
          </w:tcPr>
          <w:p>
            <w:pPr>
              <w:spacing w:after="0"/>
              <w:rPr>
                <w:sz w:val="2"/>
                <w:szCs w:val="2"/>
                <w:color w:val="auto"/>
              </w:rPr>
            </w:pPr>
          </w:p>
        </w:tc>
        <w:tc>
          <w:tcPr>
            <w:tcW w:w="940" w:type="dxa"/>
            <w:vAlign w:val="bottom"/>
            <w:tcBorders>
              <w:bottom w:val="single" w:sz="8" w:color="A7A9AC"/>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240" w:type="dxa"/>
            <w:vAlign w:val="bottom"/>
            <w:tcBorders>
              <w:bottom w:val="single" w:sz="8" w:color="CB233C"/>
            </w:tcBorders>
            <w:vMerge w:val="continue"/>
          </w:tcPr>
          <w:p>
            <w:pPr>
              <w:spacing w:after="0"/>
              <w:rPr>
                <w:sz w:val="17"/>
                <w:szCs w:val="17"/>
                <w:color w:val="auto"/>
              </w:rPr>
            </w:pPr>
          </w:p>
        </w:tc>
        <w:tc>
          <w:tcPr>
            <w:tcW w:w="680" w:type="dxa"/>
            <w:vAlign w:val="bottom"/>
            <w:tcBorders>
              <w:bottom w:val="single" w:sz="8" w:color="CB233C"/>
            </w:tcBorders>
          </w:tcPr>
          <w:p>
            <w:pPr>
              <w:jc w:val="right"/>
              <w:ind w:right="59"/>
              <w:spacing w:after="0"/>
              <w:rPr>
                <w:sz w:val="20"/>
                <w:szCs w:val="20"/>
                <w:color w:val="auto"/>
              </w:rPr>
            </w:pPr>
            <w:r>
              <w:rPr>
                <w:rFonts w:ascii="Arial" w:cs="Arial" w:eastAsia="Arial" w:hAnsi="Arial"/>
                <w:sz w:val="16"/>
                <w:szCs w:val="16"/>
                <w:color w:val="auto"/>
              </w:rPr>
              <w:t>2019</w:t>
            </w:r>
          </w:p>
        </w:tc>
        <w:tc>
          <w:tcPr>
            <w:tcW w:w="1000" w:type="dxa"/>
            <w:vAlign w:val="bottom"/>
            <w:tcBorders>
              <w:bottom w:val="single" w:sz="8" w:color="CB233C"/>
            </w:tcBorders>
          </w:tcPr>
          <w:p>
            <w:pPr>
              <w:jc w:val="right"/>
              <w:ind w:right="59"/>
              <w:spacing w:after="0"/>
              <w:rPr>
                <w:sz w:val="20"/>
                <w:szCs w:val="20"/>
                <w:color w:val="auto"/>
              </w:rPr>
            </w:pPr>
            <w:r>
              <w:rPr>
                <w:rFonts w:ascii="Arial" w:cs="Arial" w:eastAsia="Arial" w:hAnsi="Arial"/>
                <w:sz w:val="16"/>
                <w:szCs w:val="16"/>
                <w:color w:val="auto"/>
              </w:rPr>
              <w:t>650,000</w:t>
            </w:r>
          </w:p>
        </w:tc>
        <w:tc>
          <w:tcPr>
            <w:tcW w:w="820" w:type="dxa"/>
            <w:vAlign w:val="bottom"/>
            <w:tcBorders>
              <w:bottom w:val="single" w:sz="8" w:color="CB233C"/>
            </w:tcBorders>
          </w:tcPr>
          <w:p>
            <w:pPr>
              <w:jc w:val="right"/>
              <w:ind w:right="9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888,858</w:t>
            </w:r>
          </w:p>
        </w:tc>
        <w:tc>
          <w:tcPr>
            <w:tcW w:w="74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0</w:t>
            </w:r>
          </w:p>
        </w:tc>
        <w:tc>
          <w:tcPr>
            <w:tcW w:w="1300" w:type="dxa"/>
            <w:vAlign w:val="bottom"/>
            <w:tcBorders>
              <w:bottom w:val="single" w:sz="8" w:color="CB233C"/>
            </w:tcBorders>
          </w:tcPr>
          <w:p>
            <w:pPr>
              <w:jc w:val="right"/>
              <w:ind w:right="39"/>
              <w:spacing w:after="0"/>
              <w:rPr>
                <w:sz w:val="20"/>
                <w:szCs w:val="20"/>
                <w:color w:val="auto"/>
              </w:rPr>
            </w:pPr>
            <w:r>
              <w:rPr>
                <w:rFonts w:ascii="Arial" w:cs="Arial" w:eastAsia="Arial" w:hAnsi="Arial"/>
                <w:sz w:val="16"/>
                <w:szCs w:val="16"/>
                <w:color w:val="auto"/>
              </w:rPr>
              <w:t>0</w:t>
            </w:r>
          </w:p>
        </w:tc>
        <w:tc>
          <w:tcPr>
            <w:tcW w:w="128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4,656</w:t>
            </w:r>
          </w:p>
        </w:tc>
        <w:tc>
          <w:tcPr>
            <w:tcW w:w="124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465,091</w:t>
            </w:r>
          </w:p>
        </w:tc>
        <w:tc>
          <w:tcPr>
            <w:tcW w:w="94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2,008,605</w:t>
            </w:r>
          </w:p>
        </w:tc>
        <w:tc>
          <w:tcPr>
            <w:tcW w:w="0" w:type="dxa"/>
            <w:vAlign w:val="bottom"/>
          </w:tcPr>
          <w:p>
            <w:pPr>
              <w:spacing w:after="0"/>
              <w:rPr>
                <w:sz w:val="1"/>
                <w:szCs w:val="1"/>
                <w:color w:val="auto"/>
              </w:rPr>
            </w:pPr>
          </w:p>
        </w:tc>
      </w:tr>
      <w:tr>
        <w:trPr>
          <w:trHeight w:val="183"/>
        </w:trPr>
        <w:tc>
          <w:tcPr>
            <w:tcW w:w="224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Eric J. Carre</w:t>
            </w:r>
          </w:p>
        </w:tc>
        <w:tc>
          <w:tcPr>
            <w:tcW w:w="680" w:type="dxa"/>
            <w:vAlign w:val="bottom"/>
            <w:tcBorders>
              <w:bottom w:val="single" w:sz="8" w:color="A7A9AC"/>
            </w:tcBorders>
          </w:tcPr>
          <w:p>
            <w:pPr>
              <w:jc w:val="right"/>
              <w:ind w:right="59"/>
              <w:spacing w:after="0" w:line="183" w:lineRule="exact"/>
              <w:rPr>
                <w:sz w:val="20"/>
                <w:szCs w:val="20"/>
                <w:color w:val="auto"/>
              </w:rPr>
            </w:pPr>
            <w:r>
              <w:rPr>
                <w:rFonts w:ascii="Arial" w:cs="Arial" w:eastAsia="Arial" w:hAnsi="Arial"/>
                <w:sz w:val="16"/>
                <w:szCs w:val="16"/>
                <w:color w:val="auto"/>
              </w:rPr>
              <w:t>2021</w:t>
            </w:r>
          </w:p>
        </w:tc>
        <w:tc>
          <w:tcPr>
            <w:tcW w:w="1000" w:type="dxa"/>
            <w:vAlign w:val="bottom"/>
            <w:tcBorders>
              <w:bottom w:val="single" w:sz="8" w:color="A7A9AC"/>
            </w:tcBorders>
          </w:tcPr>
          <w:p>
            <w:pPr>
              <w:jc w:val="right"/>
              <w:ind w:right="59"/>
              <w:spacing w:after="0" w:line="183" w:lineRule="exact"/>
              <w:rPr>
                <w:sz w:val="20"/>
                <w:szCs w:val="20"/>
                <w:color w:val="auto"/>
              </w:rPr>
            </w:pPr>
            <w:r>
              <w:rPr>
                <w:rFonts w:ascii="Arial" w:cs="Arial" w:eastAsia="Arial" w:hAnsi="Arial"/>
                <w:sz w:val="16"/>
                <w:szCs w:val="16"/>
                <w:color w:val="auto"/>
              </w:rPr>
              <w:t>800,000</w:t>
            </w:r>
          </w:p>
        </w:tc>
        <w:tc>
          <w:tcPr>
            <w:tcW w:w="820" w:type="dxa"/>
            <w:vAlign w:val="bottom"/>
            <w:tcBorders>
              <w:bottom w:val="single" w:sz="8" w:color="A7A9AC"/>
            </w:tcBorders>
          </w:tcPr>
          <w:p>
            <w:pPr>
              <w:jc w:val="right"/>
              <w:ind w:right="9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1,710,830</w:t>
            </w:r>
          </w:p>
        </w:tc>
        <w:tc>
          <w:tcPr>
            <w:tcW w:w="7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130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4,417,392</w:t>
            </w:r>
          </w:p>
        </w:tc>
        <w:tc>
          <w:tcPr>
            <w:tcW w:w="128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90,828</w:t>
            </w:r>
          </w:p>
        </w:tc>
        <w:tc>
          <w:tcPr>
            <w:tcW w:w="12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608,429</w:t>
            </w:r>
          </w:p>
        </w:tc>
        <w:tc>
          <w:tcPr>
            <w:tcW w:w="9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7,627,479</w:t>
            </w:r>
          </w:p>
        </w:tc>
        <w:tc>
          <w:tcPr>
            <w:tcW w:w="0" w:type="dxa"/>
            <w:vAlign w:val="bottom"/>
          </w:tcPr>
          <w:p>
            <w:pPr>
              <w:spacing w:after="0"/>
              <w:rPr>
                <w:sz w:val="1"/>
                <w:szCs w:val="1"/>
                <w:color w:val="auto"/>
              </w:rPr>
            </w:pPr>
          </w:p>
        </w:tc>
      </w:tr>
      <w:tr>
        <w:trPr>
          <w:trHeight w:val="155"/>
        </w:trPr>
        <w:tc>
          <w:tcPr>
            <w:tcW w:w="2240" w:type="dxa"/>
            <w:vAlign w:val="bottom"/>
          </w:tcPr>
          <w:p>
            <w:pPr>
              <w:ind w:left="240"/>
              <w:spacing w:after="0" w:line="155" w:lineRule="exact"/>
              <w:rPr>
                <w:sz w:val="20"/>
                <w:szCs w:val="20"/>
                <w:color w:val="auto"/>
              </w:rPr>
            </w:pPr>
            <w:r>
              <w:rPr>
                <w:rFonts w:ascii="Arial" w:cs="Arial" w:eastAsia="Arial" w:hAnsi="Arial"/>
                <w:sz w:val="16"/>
                <w:szCs w:val="16"/>
                <w:color w:val="auto"/>
              </w:rPr>
              <w:t>Executive Vice President –</w:t>
            </w:r>
          </w:p>
        </w:tc>
        <w:tc>
          <w:tcPr>
            <w:tcW w:w="680" w:type="dxa"/>
            <w:vAlign w:val="bottom"/>
          </w:tcPr>
          <w:p>
            <w:pPr>
              <w:jc w:val="right"/>
              <w:ind w:right="59"/>
              <w:spacing w:after="0" w:line="155" w:lineRule="exact"/>
              <w:rPr>
                <w:sz w:val="20"/>
                <w:szCs w:val="20"/>
                <w:color w:val="auto"/>
              </w:rPr>
            </w:pPr>
            <w:r>
              <w:rPr>
                <w:rFonts w:ascii="Arial" w:cs="Arial" w:eastAsia="Arial" w:hAnsi="Arial"/>
                <w:sz w:val="16"/>
                <w:szCs w:val="16"/>
                <w:color w:val="auto"/>
              </w:rPr>
              <w:t>2020</w:t>
            </w:r>
          </w:p>
        </w:tc>
        <w:tc>
          <w:tcPr>
            <w:tcW w:w="1000" w:type="dxa"/>
            <w:vAlign w:val="bottom"/>
          </w:tcPr>
          <w:p>
            <w:pPr>
              <w:jc w:val="right"/>
              <w:ind w:right="59"/>
              <w:spacing w:after="0" w:line="155" w:lineRule="exact"/>
              <w:rPr>
                <w:sz w:val="20"/>
                <w:szCs w:val="20"/>
                <w:color w:val="auto"/>
              </w:rPr>
            </w:pPr>
            <w:r>
              <w:rPr>
                <w:rFonts w:ascii="Arial" w:cs="Arial" w:eastAsia="Arial" w:hAnsi="Arial"/>
                <w:sz w:val="16"/>
                <w:szCs w:val="16"/>
                <w:color w:val="auto"/>
              </w:rPr>
              <w:t>746,667</w:t>
            </w:r>
          </w:p>
        </w:tc>
        <w:tc>
          <w:tcPr>
            <w:tcW w:w="820" w:type="dxa"/>
            <w:vAlign w:val="bottom"/>
          </w:tcPr>
          <w:p>
            <w:pPr>
              <w:jc w:val="right"/>
              <w:ind w:right="99"/>
              <w:spacing w:after="0" w:line="155" w:lineRule="exact"/>
              <w:rPr>
                <w:sz w:val="20"/>
                <w:szCs w:val="20"/>
                <w:color w:val="auto"/>
              </w:rPr>
            </w:pPr>
            <w:r>
              <w:rPr>
                <w:rFonts w:ascii="Arial" w:cs="Arial" w:eastAsia="Arial" w:hAnsi="Arial"/>
                <w:sz w:val="16"/>
                <w:szCs w:val="16"/>
                <w:color w:val="auto"/>
              </w:rPr>
              <w:t>0</w:t>
            </w:r>
          </w:p>
        </w:tc>
        <w:tc>
          <w:tcPr>
            <w:tcW w:w="1000" w:type="dxa"/>
            <w:vAlign w:val="bottom"/>
          </w:tcPr>
          <w:p>
            <w:pPr>
              <w:jc w:val="right"/>
              <w:spacing w:after="0" w:line="155" w:lineRule="exact"/>
              <w:rPr>
                <w:sz w:val="20"/>
                <w:szCs w:val="20"/>
                <w:color w:val="auto"/>
              </w:rPr>
            </w:pPr>
            <w:r>
              <w:rPr>
                <w:rFonts w:ascii="Arial" w:cs="Arial" w:eastAsia="Arial" w:hAnsi="Arial"/>
                <w:sz w:val="16"/>
                <w:szCs w:val="16"/>
                <w:color w:val="auto"/>
              </w:rPr>
              <w:t>2,455,778</w:t>
            </w:r>
          </w:p>
        </w:tc>
        <w:tc>
          <w:tcPr>
            <w:tcW w:w="740" w:type="dxa"/>
            <w:vAlign w:val="bottom"/>
          </w:tcPr>
          <w:p>
            <w:pPr>
              <w:jc w:val="right"/>
              <w:spacing w:after="0" w:line="155" w:lineRule="exact"/>
              <w:rPr>
                <w:sz w:val="20"/>
                <w:szCs w:val="20"/>
                <w:color w:val="auto"/>
              </w:rPr>
            </w:pPr>
            <w:r>
              <w:rPr>
                <w:rFonts w:ascii="Arial" w:cs="Arial" w:eastAsia="Arial" w:hAnsi="Arial"/>
                <w:sz w:val="16"/>
                <w:szCs w:val="16"/>
                <w:color w:val="auto"/>
              </w:rPr>
              <w:t>0</w:t>
            </w:r>
          </w:p>
        </w:tc>
        <w:tc>
          <w:tcPr>
            <w:tcW w:w="1300" w:type="dxa"/>
            <w:vAlign w:val="bottom"/>
          </w:tcPr>
          <w:p>
            <w:pPr>
              <w:jc w:val="right"/>
              <w:ind w:right="39"/>
              <w:spacing w:after="0" w:line="155" w:lineRule="exact"/>
              <w:rPr>
                <w:sz w:val="20"/>
                <w:szCs w:val="20"/>
                <w:color w:val="auto"/>
              </w:rPr>
            </w:pPr>
            <w:r>
              <w:rPr>
                <w:rFonts w:ascii="Arial" w:cs="Arial" w:eastAsia="Arial" w:hAnsi="Arial"/>
                <w:sz w:val="16"/>
                <w:szCs w:val="16"/>
                <w:color w:val="auto"/>
              </w:rPr>
              <w:t>2,534,094</w:t>
            </w:r>
          </w:p>
        </w:tc>
        <w:tc>
          <w:tcPr>
            <w:tcW w:w="1280" w:type="dxa"/>
            <w:vAlign w:val="bottom"/>
          </w:tcPr>
          <w:p>
            <w:pPr>
              <w:jc w:val="right"/>
              <w:spacing w:after="0" w:line="155" w:lineRule="exact"/>
              <w:rPr>
                <w:sz w:val="20"/>
                <w:szCs w:val="20"/>
                <w:color w:val="auto"/>
              </w:rPr>
            </w:pPr>
            <w:r>
              <w:rPr>
                <w:rFonts w:ascii="Arial" w:cs="Arial" w:eastAsia="Arial" w:hAnsi="Arial"/>
                <w:sz w:val="16"/>
                <w:szCs w:val="16"/>
                <w:color w:val="auto"/>
              </w:rPr>
              <w:t>89,513</w:t>
            </w:r>
          </w:p>
        </w:tc>
        <w:tc>
          <w:tcPr>
            <w:tcW w:w="1240" w:type="dxa"/>
            <w:vAlign w:val="bottom"/>
          </w:tcPr>
          <w:p>
            <w:pPr>
              <w:jc w:val="right"/>
              <w:spacing w:after="0" w:line="155" w:lineRule="exact"/>
              <w:rPr>
                <w:sz w:val="20"/>
                <w:szCs w:val="20"/>
                <w:color w:val="auto"/>
              </w:rPr>
            </w:pPr>
            <w:r>
              <w:rPr>
                <w:rFonts w:ascii="Arial" w:cs="Arial" w:eastAsia="Arial" w:hAnsi="Arial"/>
                <w:sz w:val="16"/>
                <w:szCs w:val="16"/>
                <w:color w:val="auto"/>
              </w:rPr>
              <w:t>697,483</w:t>
            </w:r>
          </w:p>
        </w:tc>
        <w:tc>
          <w:tcPr>
            <w:tcW w:w="940" w:type="dxa"/>
            <w:vAlign w:val="bottom"/>
          </w:tcPr>
          <w:p>
            <w:pPr>
              <w:jc w:val="right"/>
              <w:spacing w:after="0" w:line="155" w:lineRule="exact"/>
              <w:rPr>
                <w:sz w:val="20"/>
                <w:szCs w:val="20"/>
                <w:color w:val="auto"/>
              </w:rPr>
            </w:pPr>
            <w:r>
              <w:rPr>
                <w:rFonts w:ascii="Arial" w:cs="Arial" w:eastAsia="Arial" w:hAnsi="Arial"/>
                <w:sz w:val="16"/>
                <w:szCs w:val="16"/>
                <w:color w:val="auto"/>
              </w:rPr>
              <w:t>6,523,535</w:t>
            </w:r>
          </w:p>
        </w:tc>
        <w:tc>
          <w:tcPr>
            <w:tcW w:w="0" w:type="dxa"/>
            <w:vAlign w:val="bottom"/>
          </w:tcPr>
          <w:p>
            <w:pPr>
              <w:spacing w:after="0"/>
              <w:rPr>
                <w:sz w:val="1"/>
                <w:szCs w:val="1"/>
                <w:color w:val="auto"/>
              </w:rPr>
            </w:pPr>
          </w:p>
        </w:tc>
      </w:tr>
      <w:tr>
        <w:trPr>
          <w:trHeight w:val="28"/>
        </w:trPr>
        <w:tc>
          <w:tcPr>
            <w:tcW w:w="2240" w:type="dxa"/>
            <w:vAlign w:val="bottom"/>
            <w:vMerge w:val="restart"/>
          </w:tcPr>
          <w:p>
            <w:pPr>
              <w:ind w:left="240"/>
              <w:spacing w:after="0"/>
              <w:rPr>
                <w:sz w:val="20"/>
                <w:szCs w:val="20"/>
                <w:color w:val="auto"/>
              </w:rPr>
            </w:pPr>
            <w:r>
              <w:rPr>
                <w:rFonts w:ascii="Arial" w:cs="Arial" w:eastAsia="Arial" w:hAnsi="Arial"/>
                <w:sz w:val="16"/>
                <w:szCs w:val="16"/>
                <w:color w:val="auto"/>
              </w:rPr>
              <w:t>Global Business Lines</w:t>
            </w:r>
          </w:p>
        </w:tc>
        <w:tc>
          <w:tcPr>
            <w:tcW w:w="680" w:type="dxa"/>
            <w:vAlign w:val="bottom"/>
            <w:tcBorders>
              <w:bottom w:val="single" w:sz="8" w:color="A7A9AC"/>
            </w:tcBorders>
          </w:tcPr>
          <w:p>
            <w:pPr>
              <w:spacing w:after="0"/>
              <w:rPr>
                <w:sz w:val="2"/>
                <w:szCs w:val="2"/>
                <w:color w:val="auto"/>
              </w:rPr>
            </w:pPr>
          </w:p>
        </w:tc>
        <w:tc>
          <w:tcPr>
            <w:tcW w:w="1000" w:type="dxa"/>
            <w:vAlign w:val="bottom"/>
            <w:tcBorders>
              <w:bottom w:val="single" w:sz="8" w:color="A7A9AC"/>
            </w:tcBorders>
          </w:tcPr>
          <w:p>
            <w:pPr>
              <w:spacing w:after="0"/>
              <w:rPr>
                <w:sz w:val="2"/>
                <w:szCs w:val="2"/>
                <w:color w:val="auto"/>
              </w:rPr>
            </w:pPr>
          </w:p>
        </w:tc>
        <w:tc>
          <w:tcPr>
            <w:tcW w:w="820" w:type="dxa"/>
            <w:vAlign w:val="bottom"/>
            <w:tcBorders>
              <w:bottom w:val="single" w:sz="8" w:color="A7A9AC"/>
            </w:tcBorders>
          </w:tcPr>
          <w:p>
            <w:pPr>
              <w:spacing w:after="0"/>
              <w:rPr>
                <w:sz w:val="2"/>
                <w:szCs w:val="2"/>
                <w:color w:val="auto"/>
              </w:rPr>
            </w:pPr>
          </w:p>
        </w:tc>
        <w:tc>
          <w:tcPr>
            <w:tcW w:w="1000" w:type="dxa"/>
            <w:vAlign w:val="bottom"/>
            <w:tcBorders>
              <w:bottom w:val="single" w:sz="8" w:color="A7A9AC"/>
            </w:tcBorders>
          </w:tcPr>
          <w:p>
            <w:pPr>
              <w:spacing w:after="0"/>
              <w:rPr>
                <w:sz w:val="2"/>
                <w:szCs w:val="2"/>
                <w:color w:val="auto"/>
              </w:rPr>
            </w:pPr>
          </w:p>
        </w:tc>
        <w:tc>
          <w:tcPr>
            <w:tcW w:w="740" w:type="dxa"/>
            <w:vAlign w:val="bottom"/>
            <w:tcBorders>
              <w:bottom w:val="single" w:sz="8" w:color="A7A9AC"/>
            </w:tcBorders>
          </w:tcPr>
          <w:p>
            <w:pPr>
              <w:spacing w:after="0"/>
              <w:rPr>
                <w:sz w:val="2"/>
                <w:szCs w:val="2"/>
                <w:color w:val="auto"/>
              </w:rPr>
            </w:pPr>
          </w:p>
        </w:tc>
        <w:tc>
          <w:tcPr>
            <w:tcW w:w="1300" w:type="dxa"/>
            <w:vAlign w:val="bottom"/>
            <w:tcBorders>
              <w:bottom w:val="single" w:sz="8" w:color="A7A9AC"/>
            </w:tcBorders>
          </w:tcPr>
          <w:p>
            <w:pPr>
              <w:spacing w:after="0"/>
              <w:rPr>
                <w:sz w:val="2"/>
                <w:szCs w:val="2"/>
                <w:color w:val="auto"/>
              </w:rPr>
            </w:pPr>
          </w:p>
        </w:tc>
        <w:tc>
          <w:tcPr>
            <w:tcW w:w="1280" w:type="dxa"/>
            <w:vAlign w:val="bottom"/>
            <w:tcBorders>
              <w:bottom w:val="single" w:sz="8" w:color="A7A9AC"/>
            </w:tcBorders>
          </w:tcPr>
          <w:p>
            <w:pPr>
              <w:spacing w:after="0"/>
              <w:rPr>
                <w:sz w:val="2"/>
                <w:szCs w:val="2"/>
                <w:color w:val="auto"/>
              </w:rPr>
            </w:pPr>
          </w:p>
        </w:tc>
        <w:tc>
          <w:tcPr>
            <w:tcW w:w="1240" w:type="dxa"/>
            <w:vAlign w:val="bottom"/>
            <w:tcBorders>
              <w:bottom w:val="single" w:sz="8" w:color="A7A9AC"/>
            </w:tcBorders>
          </w:tcPr>
          <w:p>
            <w:pPr>
              <w:spacing w:after="0"/>
              <w:rPr>
                <w:sz w:val="2"/>
                <w:szCs w:val="2"/>
                <w:color w:val="auto"/>
              </w:rPr>
            </w:pPr>
          </w:p>
        </w:tc>
        <w:tc>
          <w:tcPr>
            <w:tcW w:w="940" w:type="dxa"/>
            <w:vAlign w:val="bottom"/>
            <w:tcBorders>
              <w:bottom w:val="single" w:sz="8" w:color="A7A9AC"/>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tcBorders>
              <w:bottom w:val="single" w:sz="8" w:color="CB233C"/>
            </w:tcBorders>
            <w:vMerge w:val="continue"/>
          </w:tcPr>
          <w:p>
            <w:pPr>
              <w:spacing w:after="0"/>
              <w:rPr>
                <w:sz w:val="15"/>
                <w:szCs w:val="15"/>
                <w:color w:val="auto"/>
              </w:rPr>
            </w:pPr>
          </w:p>
        </w:tc>
        <w:tc>
          <w:tcPr>
            <w:tcW w:w="680" w:type="dxa"/>
            <w:vAlign w:val="bottom"/>
            <w:tcBorders>
              <w:bottom w:val="single" w:sz="8" w:color="CB233C"/>
            </w:tcBorders>
          </w:tcPr>
          <w:p>
            <w:pPr>
              <w:jc w:val="right"/>
              <w:ind w:right="59"/>
              <w:spacing w:after="0" w:line="183" w:lineRule="exact"/>
              <w:rPr>
                <w:sz w:val="20"/>
                <w:szCs w:val="20"/>
                <w:color w:val="auto"/>
              </w:rPr>
            </w:pPr>
            <w:r>
              <w:rPr>
                <w:rFonts w:ascii="Arial" w:cs="Arial" w:eastAsia="Arial" w:hAnsi="Arial"/>
                <w:sz w:val="16"/>
                <w:szCs w:val="16"/>
                <w:color w:val="auto"/>
              </w:rPr>
              <w:t>2019</w:t>
            </w:r>
          </w:p>
        </w:tc>
        <w:tc>
          <w:tcPr>
            <w:tcW w:w="1000" w:type="dxa"/>
            <w:vAlign w:val="bottom"/>
            <w:tcBorders>
              <w:bottom w:val="single" w:sz="8" w:color="CB233C"/>
            </w:tcBorders>
          </w:tcPr>
          <w:p>
            <w:pPr>
              <w:jc w:val="right"/>
              <w:ind w:right="59"/>
              <w:spacing w:after="0" w:line="183" w:lineRule="exact"/>
              <w:rPr>
                <w:sz w:val="20"/>
                <w:szCs w:val="20"/>
                <w:color w:val="auto"/>
              </w:rPr>
            </w:pPr>
            <w:r>
              <w:rPr>
                <w:rFonts w:ascii="Arial" w:cs="Arial" w:eastAsia="Arial" w:hAnsi="Arial"/>
                <w:sz w:val="16"/>
                <w:szCs w:val="16"/>
                <w:color w:val="auto"/>
              </w:rPr>
              <w:t>800,000</w:t>
            </w:r>
          </w:p>
        </w:tc>
        <w:tc>
          <w:tcPr>
            <w:tcW w:w="820" w:type="dxa"/>
            <w:vAlign w:val="bottom"/>
            <w:tcBorders>
              <w:bottom w:val="single" w:sz="8" w:color="CB233C"/>
            </w:tcBorders>
          </w:tcPr>
          <w:p>
            <w:pPr>
              <w:jc w:val="right"/>
              <w:ind w:right="9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848,065</w:t>
            </w:r>
          </w:p>
        </w:tc>
        <w:tc>
          <w:tcPr>
            <w:tcW w:w="74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0</w:t>
            </w:r>
          </w:p>
        </w:tc>
        <w:tc>
          <w:tcPr>
            <w:tcW w:w="1300" w:type="dxa"/>
            <w:vAlign w:val="bottom"/>
            <w:tcBorders>
              <w:bottom w:val="single" w:sz="8" w:color="CB233C"/>
            </w:tcBorders>
          </w:tcPr>
          <w:p>
            <w:pPr>
              <w:jc w:val="right"/>
              <w:ind w:right="39"/>
              <w:spacing w:after="0" w:line="183" w:lineRule="exact"/>
              <w:rPr>
                <w:sz w:val="20"/>
                <w:szCs w:val="20"/>
                <w:color w:val="auto"/>
              </w:rPr>
            </w:pPr>
            <w:r>
              <w:rPr>
                <w:rFonts w:ascii="Arial" w:cs="Arial" w:eastAsia="Arial" w:hAnsi="Arial"/>
                <w:sz w:val="16"/>
                <w:szCs w:val="16"/>
                <w:color w:val="auto"/>
              </w:rPr>
              <w:t>2,485,124</w:t>
            </w:r>
          </w:p>
        </w:tc>
        <w:tc>
          <w:tcPr>
            <w:tcW w:w="128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45,466</w:t>
            </w:r>
          </w:p>
        </w:tc>
        <w:tc>
          <w:tcPr>
            <w:tcW w:w="124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737,503</w:t>
            </w:r>
          </w:p>
        </w:tc>
        <w:tc>
          <w:tcPr>
            <w:tcW w:w="94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4,916,158</w:t>
            </w:r>
          </w:p>
        </w:tc>
        <w:tc>
          <w:tcPr>
            <w:tcW w:w="0" w:type="dxa"/>
            <w:vAlign w:val="bottom"/>
          </w:tcPr>
          <w:p>
            <w:pPr>
              <w:spacing w:after="0"/>
              <w:rPr>
                <w:sz w:val="1"/>
                <w:szCs w:val="1"/>
                <w:color w:val="auto"/>
              </w:rPr>
            </w:pPr>
          </w:p>
        </w:tc>
      </w:tr>
      <w:tr>
        <w:trPr>
          <w:trHeight w:val="183"/>
        </w:trPr>
        <w:tc>
          <w:tcPr>
            <w:tcW w:w="224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Joe D. Rainey</w:t>
            </w:r>
          </w:p>
        </w:tc>
        <w:tc>
          <w:tcPr>
            <w:tcW w:w="680" w:type="dxa"/>
            <w:vAlign w:val="bottom"/>
            <w:tcBorders>
              <w:bottom w:val="single" w:sz="8" w:color="A7A9AC"/>
            </w:tcBorders>
          </w:tcPr>
          <w:p>
            <w:pPr>
              <w:jc w:val="right"/>
              <w:ind w:right="59"/>
              <w:spacing w:after="0" w:line="183" w:lineRule="exact"/>
              <w:rPr>
                <w:sz w:val="20"/>
                <w:szCs w:val="20"/>
                <w:color w:val="auto"/>
              </w:rPr>
            </w:pPr>
            <w:r>
              <w:rPr>
                <w:rFonts w:ascii="Arial" w:cs="Arial" w:eastAsia="Arial" w:hAnsi="Arial"/>
                <w:sz w:val="16"/>
                <w:szCs w:val="16"/>
                <w:color w:val="auto"/>
              </w:rPr>
              <w:t>2021</w:t>
            </w:r>
          </w:p>
        </w:tc>
        <w:tc>
          <w:tcPr>
            <w:tcW w:w="1000" w:type="dxa"/>
            <w:vAlign w:val="bottom"/>
            <w:tcBorders>
              <w:bottom w:val="single" w:sz="8" w:color="A7A9AC"/>
            </w:tcBorders>
          </w:tcPr>
          <w:p>
            <w:pPr>
              <w:jc w:val="right"/>
              <w:ind w:right="59"/>
              <w:spacing w:after="0" w:line="183" w:lineRule="exact"/>
              <w:rPr>
                <w:sz w:val="20"/>
                <w:szCs w:val="20"/>
                <w:color w:val="auto"/>
              </w:rPr>
            </w:pPr>
            <w:r>
              <w:rPr>
                <w:rFonts w:ascii="Arial" w:cs="Arial" w:eastAsia="Arial" w:hAnsi="Arial"/>
                <w:sz w:val="16"/>
                <w:szCs w:val="16"/>
                <w:color w:val="auto"/>
              </w:rPr>
              <w:t>910,000</w:t>
            </w:r>
          </w:p>
        </w:tc>
        <w:tc>
          <w:tcPr>
            <w:tcW w:w="820" w:type="dxa"/>
            <w:vAlign w:val="bottom"/>
            <w:tcBorders>
              <w:bottom w:val="single" w:sz="8" w:color="A7A9AC"/>
            </w:tcBorders>
          </w:tcPr>
          <w:p>
            <w:pPr>
              <w:jc w:val="right"/>
              <w:ind w:right="9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2,258,133</w:t>
            </w:r>
          </w:p>
        </w:tc>
        <w:tc>
          <w:tcPr>
            <w:tcW w:w="7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130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5,760,776</w:t>
            </w:r>
          </w:p>
        </w:tc>
        <w:tc>
          <w:tcPr>
            <w:tcW w:w="128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541,642</w:t>
            </w:r>
          </w:p>
        </w:tc>
        <w:tc>
          <w:tcPr>
            <w:tcW w:w="12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2,200,075</w:t>
            </w:r>
          </w:p>
        </w:tc>
        <w:tc>
          <w:tcPr>
            <w:tcW w:w="9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11,670,626</w:t>
            </w:r>
          </w:p>
        </w:tc>
        <w:tc>
          <w:tcPr>
            <w:tcW w:w="0" w:type="dxa"/>
            <w:vAlign w:val="bottom"/>
          </w:tcPr>
          <w:p>
            <w:pPr>
              <w:spacing w:after="0"/>
              <w:rPr>
                <w:sz w:val="1"/>
                <w:szCs w:val="1"/>
                <w:color w:val="auto"/>
              </w:rPr>
            </w:pPr>
          </w:p>
        </w:tc>
      </w:tr>
      <w:tr>
        <w:trPr>
          <w:trHeight w:val="155"/>
        </w:trPr>
        <w:tc>
          <w:tcPr>
            <w:tcW w:w="2240" w:type="dxa"/>
            <w:vAlign w:val="bottom"/>
          </w:tcPr>
          <w:p>
            <w:pPr>
              <w:ind w:left="240"/>
              <w:spacing w:after="0" w:line="155" w:lineRule="exact"/>
              <w:rPr>
                <w:sz w:val="20"/>
                <w:szCs w:val="20"/>
                <w:color w:val="auto"/>
              </w:rPr>
            </w:pPr>
            <w:r>
              <w:rPr>
                <w:rFonts w:ascii="Arial" w:cs="Arial" w:eastAsia="Arial" w:hAnsi="Arial"/>
                <w:sz w:val="16"/>
                <w:szCs w:val="16"/>
                <w:color w:val="auto"/>
              </w:rPr>
              <w:t>President – Eastern</w:t>
            </w:r>
          </w:p>
        </w:tc>
        <w:tc>
          <w:tcPr>
            <w:tcW w:w="680" w:type="dxa"/>
            <w:vAlign w:val="bottom"/>
          </w:tcPr>
          <w:p>
            <w:pPr>
              <w:jc w:val="right"/>
              <w:ind w:right="59"/>
              <w:spacing w:after="0" w:line="155" w:lineRule="exact"/>
              <w:rPr>
                <w:sz w:val="20"/>
                <w:szCs w:val="20"/>
                <w:color w:val="auto"/>
              </w:rPr>
            </w:pPr>
            <w:r>
              <w:rPr>
                <w:rFonts w:ascii="Arial" w:cs="Arial" w:eastAsia="Arial" w:hAnsi="Arial"/>
                <w:sz w:val="16"/>
                <w:szCs w:val="16"/>
                <w:color w:val="auto"/>
              </w:rPr>
              <w:t>2020</w:t>
            </w:r>
          </w:p>
        </w:tc>
        <w:tc>
          <w:tcPr>
            <w:tcW w:w="1000" w:type="dxa"/>
            <w:vAlign w:val="bottom"/>
          </w:tcPr>
          <w:p>
            <w:pPr>
              <w:jc w:val="right"/>
              <w:ind w:right="59"/>
              <w:spacing w:after="0" w:line="155" w:lineRule="exact"/>
              <w:rPr>
                <w:sz w:val="20"/>
                <w:szCs w:val="20"/>
                <w:color w:val="auto"/>
              </w:rPr>
            </w:pPr>
            <w:r>
              <w:rPr>
                <w:rFonts w:ascii="Arial" w:cs="Arial" w:eastAsia="Arial" w:hAnsi="Arial"/>
                <w:sz w:val="16"/>
                <w:szCs w:val="16"/>
                <w:color w:val="auto"/>
              </w:rPr>
              <w:t>849,333</w:t>
            </w:r>
          </w:p>
        </w:tc>
        <w:tc>
          <w:tcPr>
            <w:tcW w:w="820" w:type="dxa"/>
            <w:vAlign w:val="bottom"/>
          </w:tcPr>
          <w:p>
            <w:pPr>
              <w:jc w:val="right"/>
              <w:ind w:right="99"/>
              <w:spacing w:after="0" w:line="155" w:lineRule="exact"/>
              <w:rPr>
                <w:sz w:val="20"/>
                <w:szCs w:val="20"/>
                <w:color w:val="auto"/>
              </w:rPr>
            </w:pPr>
            <w:r>
              <w:rPr>
                <w:rFonts w:ascii="Arial" w:cs="Arial" w:eastAsia="Arial" w:hAnsi="Arial"/>
                <w:sz w:val="16"/>
                <w:szCs w:val="16"/>
                <w:color w:val="auto"/>
              </w:rPr>
              <w:t>0</w:t>
            </w:r>
          </w:p>
        </w:tc>
        <w:tc>
          <w:tcPr>
            <w:tcW w:w="1000" w:type="dxa"/>
            <w:vAlign w:val="bottom"/>
          </w:tcPr>
          <w:p>
            <w:pPr>
              <w:jc w:val="right"/>
              <w:spacing w:after="0" w:line="155" w:lineRule="exact"/>
              <w:rPr>
                <w:sz w:val="20"/>
                <w:szCs w:val="20"/>
                <w:color w:val="auto"/>
              </w:rPr>
            </w:pPr>
            <w:r>
              <w:rPr>
                <w:rFonts w:ascii="Arial" w:cs="Arial" w:eastAsia="Arial" w:hAnsi="Arial"/>
                <w:sz w:val="16"/>
                <w:szCs w:val="16"/>
                <w:color w:val="auto"/>
              </w:rPr>
              <w:t>3,256,812</w:t>
            </w:r>
          </w:p>
        </w:tc>
        <w:tc>
          <w:tcPr>
            <w:tcW w:w="740" w:type="dxa"/>
            <w:vAlign w:val="bottom"/>
          </w:tcPr>
          <w:p>
            <w:pPr>
              <w:jc w:val="right"/>
              <w:spacing w:after="0" w:line="155" w:lineRule="exact"/>
              <w:rPr>
                <w:sz w:val="20"/>
                <w:szCs w:val="20"/>
                <w:color w:val="auto"/>
              </w:rPr>
            </w:pPr>
            <w:r>
              <w:rPr>
                <w:rFonts w:ascii="Arial" w:cs="Arial" w:eastAsia="Arial" w:hAnsi="Arial"/>
                <w:sz w:val="16"/>
                <w:szCs w:val="16"/>
                <w:color w:val="auto"/>
              </w:rPr>
              <w:t>0</w:t>
            </w:r>
          </w:p>
        </w:tc>
        <w:tc>
          <w:tcPr>
            <w:tcW w:w="1300" w:type="dxa"/>
            <w:vAlign w:val="bottom"/>
          </w:tcPr>
          <w:p>
            <w:pPr>
              <w:jc w:val="right"/>
              <w:ind w:right="39"/>
              <w:spacing w:after="0" w:line="155" w:lineRule="exact"/>
              <w:rPr>
                <w:sz w:val="20"/>
                <w:szCs w:val="20"/>
                <w:color w:val="auto"/>
              </w:rPr>
            </w:pPr>
            <w:r>
              <w:rPr>
                <w:rFonts w:ascii="Arial" w:cs="Arial" w:eastAsia="Arial" w:hAnsi="Arial"/>
                <w:sz w:val="16"/>
                <w:szCs w:val="16"/>
                <w:color w:val="auto"/>
              </w:rPr>
              <w:t>3,378,792</w:t>
            </w:r>
          </w:p>
        </w:tc>
        <w:tc>
          <w:tcPr>
            <w:tcW w:w="1280" w:type="dxa"/>
            <w:vAlign w:val="bottom"/>
          </w:tcPr>
          <w:p>
            <w:pPr>
              <w:jc w:val="right"/>
              <w:spacing w:after="0" w:line="155" w:lineRule="exact"/>
              <w:rPr>
                <w:sz w:val="20"/>
                <w:szCs w:val="20"/>
                <w:color w:val="auto"/>
              </w:rPr>
            </w:pPr>
            <w:r>
              <w:rPr>
                <w:rFonts w:ascii="Arial" w:cs="Arial" w:eastAsia="Arial" w:hAnsi="Arial"/>
                <w:sz w:val="16"/>
                <w:szCs w:val="16"/>
                <w:color w:val="auto"/>
              </w:rPr>
              <w:t>490,397</w:t>
            </w:r>
          </w:p>
        </w:tc>
        <w:tc>
          <w:tcPr>
            <w:tcW w:w="1240" w:type="dxa"/>
            <w:vAlign w:val="bottom"/>
          </w:tcPr>
          <w:p>
            <w:pPr>
              <w:jc w:val="right"/>
              <w:spacing w:after="0" w:line="155" w:lineRule="exact"/>
              <w:rPr>
                <w:sz w:val="20"/>
                <w:szCs w:val="20"/>
                <w:color w:val="auto"/>
              </w:rPr>
            </w:pPr>
            <w:r>
              <w:rPr>
                <w:rFonts w:ascii="Arial" w:cs="Arial" w:eastAsia="Arial" w:hAnsi="Arial"/>
                <w:sz w:val="16"/>
                <w:szCs w:val="16"/>
                <w:color w:val="auto"/>
              </w:rPr>
              <w:t>4,868,394</w:t>
            </w:r>
          </w:p>
        </w:tc>
        <w:tc>
          <w:tcPr>
            <w:tcW w:w="940" w:type="dxa"/>
            <w:vAlign w:val="bottom"/>
          </w:tcPr>
          <w:p>
            <w:pPr>
              <w:jc w:val="right"/>
              <w:spacing w:after="0" w:line="155" w:lineRule="exact"/>
              <w:rPr>
                <w:sz w:val="20"/>
                <w:szCs w:val="20"/>
                <w:color w:val="auto"/>
              </w:rPr>
            </w:pPr>
            <w:r>
              <w:rPr>
                <w:rFonts w:ascii="Arial" w:cs="Arial" w:eastAsia="Arial" w:hAnsi="Arial"/>
                <w:sz w:val="16"/>
                <w:szCs w:val="16"/>
                <w:color w:val="auto"/>
              </w:rPr>
              <w:t>12,843,728</w:t>
            </w:r>
          </w:p>
        </w:tc>
        <w:tc>
          <w:tcPr>
            <w:tcW w:w="0" w:type="dxa"/>
            <w:vAlign w:val="bottom"/>
          </w:tcPr>
          <w:p>
            <w:pPr>
              <w:spacing w:after="0"/>
              <w:rPr>
                <w:sz w:val="1"/>
                <w:szCs w:val="1"/>
                <w:color w:val="auto"/>
              </w:rPr>
            </w:pPr>
          </w:p>
        </w:tc>
      </w:tr>
      <w:tr>
        <w:trPr>
          <w:trHeight w:val="28"/>
        </w:trPr>
        <w:tc>
          <w:tcPr>
            <w:tcW w:w="2240" w:type="dxa"/>
            <w:vAlign w:val="bottom"/>
            <w:vMerge w:val="restart"/>
          </w:tcPr>
          <w:p>
            <w:pPr>
              <w:ind w:left="240"/>
              <w:spacing w:after="0"/>
              <w:rPr>
                <w:sz w:val="20"/>
                <w:szCs w:val="20"/>
                <w:color w:val="auto"/>
              </w:rPr>
            </w:pPr>
            <w:r>
              <w:rPr>
                <w:rFonts w:ascii="Arial" w:cs="Arial" w:eastAsia="Arial" w:hAnsi="Arial"/>
                <w:sz w:val="16"/>
                <w:szCs w:val="16"/>
                <w:color w:val="auto"/>
              </w:rPr>
              <w:t>Hemisphere</w:t>
            </w:r>
          </w:p>
        </w:tc>
        <w:tc>
          <w:tcPr>
            <w:tcW w:w="680" w:type="dxa"/>
            <w:vAlign w:val="bottom"/>
            <w:tcBorders>
              <w:bottom w:val="single" w:sz="8" w:color="A7A9AC"/>
            </w:tcBorders>
          </w:tcPr>
          <w:p>
            <w:pPr>
              <w:spacing w:after="0"/>
              <w:rPr>
                <w:sz w:val="2"/>
                <w:szCs w:val="2"/>
                <w:color w:val="auto"/>
              </w:rPr>
            </w:pPr>
          </w:p>
        </w:tc>
        <w:tc>
          <w:tcPr>
            <w:tcW w:w="1000" w:type="dxa"/>
            <w:vAlign w:val="bottom"/>
            <w:tcBorders>
              <w:bottom w:val="single" w:sz="8" w:color="A7A9AC"/>
            </w:tcBorders>
          </w:tcPr>
          <w:p>
            <w:pPr>
              <w:spacing w:after="0"/>
              <w:rPr>
                <w:sz w:val="2"/>
                <w:szCs w:val="2"/>
                <w:color w:val="auto"/>
              </w:rPr>
            </w:pPr>
          </w:p>
        </w:tc>
        <w:tc>
          <w:tcPr>
            <w:tcW w:w="820" w:type="dxa"/>
            <w:vAlign w:val="bottom"/>
            <w:tcBorders>
              <w:bottom w:val="single" w:sz="8" w:color="A7A9AC"/>
            </w:tcBorders>
          </w:tcPr>
          <w:p>
            <w:pPr>
              <w:spacing w:after="0"/>
              <w:rPr>
                <w:sz w:val="2"/>
                <w:szCs w:val="2"/>
                <w:color w:val="auto"/>
              </w:rPr>
            </w:pPr>
          </w:p>
        </w:tc>
        <w:tc>
          <w:tcPr>
            <w:tcW w:w="1000" w:type="dxa"/>
            <w:vAlign w:val="bottom"/>
            <w:tcBorders>
              <w:bottom w:val="single" w:sz="8" w:color="A7A9AC"/>
            </w:tcBorders>
          </w:tcPr>
          <w:p>
            <w:pPr>
              <w:spacing w:after="0"/>
              <w:rPr>
                <w:sz w:val="2"/>
                <w:szCs w:val="2"/>
                <w:color w:val="auto"/>
              </w:rPr>
            </w:pPr>
          </w:p>
        </w:tc>
        <w:tc>
          <w:tcPr>
            <w:tcW w:w="740" w:type="dxa"/>
            <w:vAlign w:val="bottom"/>
            <w:tcBorders>
              <w:bottom w:val="single" w:sz="8" w:color="A7A9AC"/>
            </w:tcBorders>
          </w:tcPr>
          <w:p>
            <w:pPr>
              <w:spacing w:after="0"/>
              <w:rPr>
                <w:sz w:val="2"/>
                <w:szCs w:val="2"/>
                <w:color w:val="auto"/>
              </w:rPr>
            </w:pPr>
          </w:p>
        </w:tc>
        <w:tc>
          <w:tcPr>
            <w:tcW w:w="1300" w:type="dxa"/>
            <w:vAlign w:val="bottom"/>
            <w:tcBorders>
              <w:bottom w:val="single" w:sz="8" w:color="A7A9AC"/>
            </w:tcBorders>
          </w:tcPr>
          <w:p>
            <w:pPr>
              <w:spacing w:after="0"/>
              <w:rPr>
                <w:sz w:val="2"/>
                <w:szCs w:val="2"/>
                <w:color w:val="auto"/>
              </w:rPr>
            </w:pPr>
          </w:p>
        </w:tc>
        <w:tc>
          <w:tcPr>
            <w:tcW w:w="1280" w:type="dxa"/>
            <w:vAlign w:val="bottom"/>
            <w:tcBorders>
              <w:bottom w:val="single" w:sz="8" w:color="A7A9AC"/>
            </w:tcBorders>
          </w:tcPr>
          <w:p>
            <w:pPr>
              <w:spacing w:after="0"/>
              <w:rPr>
                <w:sz w:val="2"/>
                <w:szCs w:val="2"/>
                <w:color w:val="auto"/>
              </w:rPr>
            </w:pPr>
          </w:p>
        </w:tc>
        <w:tc>
          <w:tcPr>
            <w:tcW w:w="1240" w:type="dxa"/>
            <w:vAlign w:val="bottom"/>
            <w:tcBorders>
              <w:bottom w:val="single" w:sz="8" w:color="A7A9AC"/>
            </w:tcBorders>
          </w:tcPr>
          <w:p>
            <w:pPr>
              <w:spacing w:after="0"/>
              <w:rPr>
                <w:sz w:val="2"/>
                <w:szCs w:val="2"/>
                <w:color w:val="auto"/>
              </w:rPr>
            </w:pPr>
          </w:p>
        </w:tc>
        <w:tc>
          <w:tcPr>
            <w:tcW w:w="940" w:type="dxa"/>
            <w:vAlign w:val="bottom"/>
            <w:tcBorders>
              <w:bottom w:val="single" w:sz="8" w:color="A7A9AC"/>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tcBorders>
              <w:bottom w:val="single" w:sz="8" w:color="CB233C"/>
            </w:tcBorders>
            <w:vMerge w:val="continue"/>
          </w:tcPr>
          <w:p>
            <w:pPr>
              <w:spacing w:after="0"/>
              <w:rPr>
                <w:sz w:val="15"/>
                <w:szCs w:val="15"/>
                <w:color w:val="auto"/>
              </w:rPr>
            </w:pPr>
          </w:p>
        </w:tc>
        <w:tc>
          <w:tcPr>
            <w:tcW w:w="680" w:type="dxa"/>
            <w:vAlign w:val="bottom"/>
            <w:tcBorders>
              <w:bottom w:val="single" w:sz="8" w:color="CB233C"/>
            </w:tcBorders>
          </w:tcPr>
          <w:p>
            <w:pPr>
              <w:jc w:val="right"/>
              <w:ind w:right="59"/>
              <w:spacing w:after="0" w:line="183" w:lineRule="exact"/>
              <w:rPr>
                <w:sz w:val="20"/>
                <w:szCs w:val="20"/>
                <w:color w:val="auto"/>
              </w:rPr>
            </w:pPr>
            <w:r>
              <w:rPr>
                <w:rFonts w:ascii="Arial" w:cs="Arial" w:eastAsia="Arial" w:hAnsi="Arial"/>
                <w:sz w:val="16"/>
                <w:szCs w:val="16"/>
                <w:color w:val="auto"/>
              </w:rPr>
              <w:t>2019</w:t>
            </w:r>
          </w:p>
        </w:tc>
        <w:tc>
          <w:tcPr>
            <w:tcW w:w="1000" w:type="dxa"/>
            <w:vAlign w:val="bottom"/>
            <w:tcBorders>
              <w:bottom w:val="single" w:sz="8" w:color="CB233C"/>
            </w:tcBorders>
          </w:tcPr>
          <w:p>
            <w:pPr>
              <w:jc w:val="right"/>
              <w:ind w:right="59"/>
              <w:spacing w:after="0" w:line="183" w:lineRule="exact"/>
              <w:rPr>
                <w:sz w:val="20"/>
                <w:szCs w:val="20"/>
                <w:color w:val="auto"/>
              </w:rPr>
            </w:pPr>
            <w:r>
              <w:rPr>
                <w:rFonts w:ascii="Arial" w:cs="Arial" w:eastAsia="Arial" w:hAnsi="Arial"/>
                <w:sz w:val="16"/>
                <w:szCs w:val="16"/>
                <w:color w:val="auto"/>
              </w:rPr>
              <w:t>910,000</w:t>
            </w:r>
          </w:p>
        </w:tc>
        <w:tc>
          <w:tcPr>
            <w:tcW w:w="820" w:type="dxa"/>
            <w:vAlign w:val="bottom"/>
            <w:tcBorders>
              <w:bottom w:val="single" w:sz="8" w:color="CB233C"/>
            </w:tcBorders>
          </w:tcPr>
          <w:p>
            <w:pPr>
              <w:jc w:val="right"/>
              <w:ind w:right="9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1,129,322</w:t>
            </w:r>
          </w:p>
        </w:tc>
        <w:tc>
          <w:tcPr>
            <w:tcW w:w="74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0</w:t>
            </w:r>
          </w:p>
        </w:tc>
        <w:tc>
          <w:tcPr>
            <w:tcW w:w="1300" w:type="dxa"/>
            <w:vAlign w:val="bottom"/>
            <w:tcBorders>
              <w:bottom w:val="single" w:sz="8" w:color="CB233C"/>
            </w:tcBorders>
          </w:tcPr>
          <w:p>
            <w:pPr>
              <w:jc w:val="right"/>
              <w:ind w:right="39"/>
              <w:spacing w:after="0" w:line="183" w:lineRule="exact"/>
              <w:rPr>
                <w:sz w:val="20"/>
                <w:szCs w:val="20"/>
                <w:color w:val="auto"/>
              </w:rPr>
            </w:pPr>
            <w:r>
              <w:rPr>
                <w:rFonts w:ascii="Arial" w:cs="Arial" w:eastAsia="Arial" w:hAnsi="Arial"/>
                <w:sz w:val="16"/>
                <w:szCs w:val="16"/>
                <w:color w:val="auto"/>
              </w:rPr>
              <w:t>3,307,924</w:t>
            </w:r>
          </w:p>
        </w:tc>
        <w:tc>
          <w:tcPr>
            <w:tcW w:w="128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409,467</w:t>
            </w:r>
          </w:p>
        </w:tc>
        <w:tc>
          <w:tcPr>
            <w:tcW w:w="124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2,368,494</w:t>
            </w:r>
          </w:p>
        </w:tc>
        <w:tc>
          <w:tcPr>
            <w:tcW w:w="94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8,125,207</w:t>
            </w:r>
          </w:p>
        </w:tc>
        <w:tc>
          <w:tcPr>
            <w:tcW w:w="0" w:type="dxa"/>
            <w:vAlign w:val="bottom"/>
          </w:tcPr>
          <w:p>
            <w:pPr>
              <w:spacing w:after="0"/>
              <w:rPr>
                <w:sz w:val="1"/>
                <w:szCs w:val="1"/>
                <w:color w:val="auto"/>
              </w:rPr>
            </w:pPr>
          </w:p>
        </w:tc>
      </w:tr>
      <w:tr>
        <w:trPr>
          <w:trHeight w:val="183"/>
        </w:trPr>
        <w:tc>
          <w:tcPr>
            <w:tcW w:w="224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Mark J. Richard</w:t>
            </w:r>
          </w:p>
        </w:tc>
        <w:tc>
          <w:tcPr>
            <w:tcW w:w="680" w:type="dxa"/>
            <w:vAlign w:val="bottom"/>
            <w:tcBorders>
              <w:bottom w:val="single" w:sz="8" w:color="A7A9AC"/>
            </w:tcBorders>
          </w:tcPr>
          <w:p>
            <w:pPr>
              <w:jc w:val="right"/>
              <w:ind w:right="59"/>
              <w:spacing w:after="0" w:line="183" w:lineRule="exact"/>
              <w:rPr>
                <w:sz w:val="20"/>
                <w:szCs w:val="20"/>
                <w:color w:val="auto"/>
              </w:rPr>
            </w:pPr>
            <w:r>
              <w:rPr>
                <w:rFonts w:ascii="Arial" w:cs="Arial" w:eastAsia="Arial" w:hAnsi="Arial"/>
                <w:sz w:val="16"/>
                <w:szCs w:val="16"/>
                <w:color w:val="auto"/>
              </w:rPr>
              <w:t>2021</w:t>
            </w:r>
          </w:p>
        </w:tc>
        <w:tc>
          <w:tcPr>
            <w:tcW w:w="1000" w:type="dxa"/>
            <w:vAlign w:val="bottom"/>
            <w:tcBorders>
              <w:bottom w:val="single" w:sz="8" w:color="A7A9AC"/>
            </w:tcBorders>
          </w:tcPr>
          <w:p>
            <w:pPr>
              <w:jc w:val="right"/>
              <w:ind w:right="59"/>
              <w:spacing w:after="0" w:line="183" w:lineRule="exact"/>
              <w:rPr>
                <w:sz w:val="20"/>
                <w:szCs w:val="20"/>
                <w:color w:val="auto"/>
              </w:rPr>
            </w:pPr>
            <w:r>
              <w:rPr>
                <w:rFonts w:ascii="Arial" w:cs="Arial" w:eastAsia="Arial" w:hAnsi="Arial"/>
                <w:sz w:val="16"/>
                <w:szCs w:val="16"/>
                <w:color w:val="auto"/>
              </w:rPr>
              <w:t>810,000</w:t>
            </w:r>
          </w:p>
        </w:tc>
        <w:tc>
          <w:tcPr>
            <w:tcW w:w="820" w:type="dxa"/>
            <w:vAlign w:val="bottom"/>
            <w:tcBorders>
              <w:bottom w:val="single" w:sz="8" w:color="A7A9AC"/>
            </w:tcBorders>
          </w:tcPr>
          <w:p>
            <w:pPr>
              <w:jc w:val="right"/>
              <w:ind w:right="9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2,217,592</w:t>
            </w:r>
          </w:p>
        </w:tc>
        <w:tc>
          <w:tcPr>
            <w:tcW w:w="7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130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5,540,776</w:t>
            </w:r>
          </w:p>
        </w:tc>
        <w:tc>
          <w:tcPr>
            <w:tcW w:w="128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205,693</w:t>
            </w:r>
          </w:p>
        </w:tc>
        <w:tc>
          <w:tcPr>
            <w:tcW w:w="12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1,321,497</w:t>
            </w:r>
          </w:p>
        </w:tc>
        <w:tc>
          <w:tcPr>
            <w:tcW w:w="9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10,095,558</w:t>
            </w:r>
          </w:p>
        </w:tc>
        <w:tc>
          <w:tcPr>
            <w:tcW w:w="0" w:type="dxa"/>
            <w:vAlign w:val="bottom"/>
          </w:tcPr>
          <w:p>
            <w:pPr>
              <w:spacing w:after="0"/>
              <w:rPr>
                <w:sz w:val="1"/>
                <w:szCs w:val="1"/>
                <w:color w:val="auto"/>
              </w:rPr>
            </w:pPr>
          </w:p>
        </w:tc>
      </w:tr>
      <w:tr>
        <w:trPr>
          <w:trHeight w:val="155"/>
        </w:trPr>
        <w:tc>
          <w:tcPr>
            <w:tcW w:w="2240" w:type="dxa"/>
            <w:vAlign w:val="bottom"/>
          </w:tcPr>
          <w:p>
            <w:pPr>
              <w:ind w:left="240"/>
              <w:spacing w:after="0" w:line="155" w:lineRule="exact"/>
              <w:rPr>
                <w:sz w:val="20"/>
                <w:szCs w:val="20"/>
                <w:color w:val="auto"/>
              </w:rPr>
            </w:pPr>
            <w:r>
              <w:rPr>
                <w:rFonts w:ascii="Arial" w:cs="Arial" w:eastAsia="Arial" w:hAnsi="Arial"/>
                <w:sz w:val="16"/>
                <w:szCs w:val="16"/>
                <w:color w:val="auto"/>
              </w:rPr>
              <w:t>President – Western</w:t>
            </w:r>
          </w:p>
        </w:tc>
        <w:tc>
          <w:tcPr>
            <w:tcW w:w="680" w:type="dxa"/>
            <w:vAlign w:val="bottom"/>
          </w:tcPr>
          <w:p>
            <w:pPr>
              <w:jc w:val="right"/>
              <w:ind w:right="59"/>
              <w:spacing w:after="0" w:line="155" w:lineRule="exact"/>
              <w:rPr>
                <w:sz w:val="20"/>
                <w:szCs w:val="20"/>
                <w:color w:val="auto"/>
              </w:rPr>
            </w:pPr>
            <w:r>
              <w:rPr>
                <w:rFonts w:ascii="Arial" w:cs="Arial" w:eastAsia="Arial" w:hAnsi="Arial"/>
                <w:sz w:val="16"/>
                <w:szCs w:val="16"/>
                <w:color w:val="auto"/>
              </w:rPr>
              <w:t>2020</w:t>
            </w:r>
          </w:p>
        </w:tc>
        <w:tc>
          <w:tcPr>
            <w:tcW w:w="1000" w:type="dxa"/>
            <w:vAlign w:val="bottom"/>
          </w:tcPr>
          <w:p>
            <w:pPr>
              <w:jc w:val="right"/>
              <w:ind w:right="59"/>
              <w:spacing w:after="0" w:line="155" w:lineRule="exact"/>
              <w:rPr>
                <w:sz w:val="20"/>
                <w:szCs w:val="20"/>
                <w:color w:val="auto"/>
              </w:rPr>
            </w:pPr>
            <w:r>
              <w:rPr>
                <w:rFonts w:ascii="Arial" w:cs="Arial" w:eastAsia="Arial" w:hAnsi="Arial"/>
                <w:sz w:val="16"/>
                <w:szCs w:val="16"/>
                <w:color w:val="auto"/>
              </w:rPr>
              <w:t>756,000</w:t>
            </w:r>
          </w:p>
        </w:tc>
        <w:tc>
          <w:tcPr>
            <w:tcW w:w="820" w:type="dxa"/>
            <w:vAlign w:val="bottom"/>
          </w:tcPr>
          <w:p>
            <w:pPr>
              <w:jc w:val="right"/>
              <w:ind w:right="99"/>
              <w:spacing w:after="0" w:line="155" w:lineRule="exact"/>
              <w:rPr>
                <w:sz w:val="20"/>
                <w:szCs w:val="20"/>
                <w:color w:val="auto"/>
              </w:rPr>
            </w:pPr>
            <w:r>
              <w:rPr>
                <w:rFonts w:ascii="Arial" w:cs="Arial" w:eastAsia="Arial" w:hAnsi="Arial"/>
                <w:sz w:val="16"/>
                <w:szCs w:val="16"/>
                <w:color w:val="auto"/>
              </w:rPr>
              <w:t>0</w:t>
            </w:r>
          </w:p>
        </w:tc>
        <w:tc>
          <w:tcPr>
            <w:tcW w:w="1000" w:type="dxa"/>
            <w:vAlign w:val="bottom"/>
          </w:tcPr>
          <w:p>
            <w:pPr>
              <w:jc w:val="right"/>
              <w:spacing w:after="0" w:line="155" w:lineRule="exact"/>
              <w:rPr>
                <w:sz w:val="20"/>
                <w:szCs w:val="20"/>
                <w:color w:val="auto"/>
              </w:rPr>
            </w:pPr>
            <w:r>
              <w:rPr>
                <w:rFonts w:ascii="Arial" w:cs="Arial" w:eastAsia="Arial" w:hAnsi="Arial"/>
                <w:sz w:val="16"/>
                <w:szCs w:val="16"/>
                <w:color w:val="auto"/>
              </w:rPr>
              <w:t>3,226,875</w:t>
            </w:r>
          </w:p>
        </w:tc>
        <w:tc>
          <w:tcPr>
            <w:tcW w:w="740" w:type="dxa"/>
            <w:vAlign w:val="bottom"/>
          </w:tcPr>
          <w:p>
            <w:pPr>
              <w:jc w:val="right"/>
              <w:spacing w:after="0" w:line="155" w:lineRule="exact"/>
              <w:rPr>
                <w:sz w:val="20"/>
                <w:szCs w:val="20"/>
                <w:color w:val="auto"/>
              </w:rPr>
            </w:pPr>
            <w:r>
              <w:rPr>
                <w:rFonts w:ascii="Arial" w:cs="Arial" w:eastAsia="Arial" w:hAnsi="Arial"/>
                <w:sz w:val="16"/>
                <w:szCs w:val="16"/>
                <w:color w:val="auto"/>
              </w:rPr>
              <w:t>0</w:t>
            </w:r>
          </w:p>
        </w:tc>
        <w:tc>
          <w:tcPr>
            <w:tcW w:w="1300" w:type="dxa"/>
            <w:vAlign w:val="bottom"/>
          </w:tcPr>
          <w:p>
            <w:pPr>
              <w:jc w:val="right"/>
              <w:ind w:right="39"/>
              <w:spacing w:after="0" w:line="155" w:lineRule="exact"/>
              <w:rPr>
                <w:sz w:val="20"/>
                <w:szCs w:val="20"/>
                <w:color w:val="auto"/>
              </w:rPr>
            </w:pPr>
            <w:r>
              <w:rPr>
                <w:rFonts w:ascii="Arial" w:cs="Arial" w:eastAsia="Arial" w:hAnsi="Arial"/>
                <w:sz w:val="16"/>
                <w:szCs w:val="16"/>
                <w:color w:val="auto"/>
              </w:rPr>
              <w:t>2,000,000</w:t>
            </w:r>
          </w:p>
        </w:tc>
        <w:tc>
          <w:tcPr>
            <w:tcW w:w="1280" w:type="dxa"/>
            <w:vAlign w:val="bottom"/>
          </w:tcPr>
          <w:p>
            <w:pPr>
              <w:jc w:val="right"/>
              <w:spacing w:after="0" w:line="155" w:lineRule="exact"/>
              <w:rPr>
                <w:sz w:val="20"/>
                <w:szCs w:val="20"/>
                <w:color w:val="auto"/>
              </w:rPr>
            </w:pPr>
            <w:r>
              <w:rPr>
                <w:rFonts w:ascii="Arial" w:cs="Arial" w:eastAsia="Arial" w:hAnsi="Arial"/>
                <w:sz w:val="16"/>
                <w:szCs w:val="16"/>
                <w:color w:val="auto"/>
              </w:rPr>
              <w:t>123,041</w:t>
            </w:r>
          </w:p>
        </w:tc>
        <w:tc>
          <w:tcPr>
            <w:tcW w:w="1240" w:type="dxa"/>
            <w:vAlign w:val="bottom"/>
          </w:tcPr>
          <w:p>
            <w:pPr>
              <w:jc w:val="right"/>
              <w:spacing w:after="0" w:line="155" w:lineRule="exact"/>
              <w:rPr>
                <w:sz w:val="20"/>
                <w:szCs w:val="20"/>
                <w:color w:val="auto"/>
              </w:rPr>
            </w:pPr>
            <w:r>
              <w:rPr>
                <w:rFonts w:ascii="Arial" w:cs="Arial" w:eastAsia="Arial" w:hAnsi="Arial"/>
                <w:sz w:val="16"/>
                <w:szCs w:val="16"/>
                <w:color w:val="auto"/>
              </w:rPr>
              <w:t>1,337,580</w:t>
            </w:r>
          </w:p>
        </w:tc>
        <w:tc>
          <w:tcPr>
            <w:tcW w:w="940" w:type="dxa"/>
            <w:vAlign w:val="bottom"/>
          </w:tcPr>
          <w:p>
            <w:pPr>
              <w:jc w:val="right"/>
              <w:spacing w:after="0" w:line="155" w:lineRule="exact"/>
              <w:rPr>
                <w:sz w:val="20"/>
                <w:szCs w:val="20"/>
                <w:color w:val="auto"/>
              </w:rPr>
            </w:pPr>
            <w:r>
              <w:rPr>
                <w:rFonts w:ascii="Arial" w:cs="Arial" w:eastAsia="Arial" w:hAnsi="Arial"/>
                <w:sz w:val="16"/>
                <w:szCs w:val="16"/>
                <w:color w:val="auto"/>
              </w:rPr>
              <w:t>7,443,496</w:t>
            </w:r>
          </w:p>
        </w:tc>
        <w:tc>
          <w:tcPr>
            <w:tcW w:w="0" w:type="dxa"/>
            <w:vAlign w:val="bottom"/>
          </w:tcPr>
          <w:p>
            <w:pPr>
              <w:spacing w:after="0"/>
              <w:rPr>
                <w:sz w:val="1"/>
                <w:szCs w:val="1"/>
                <w:color w:val="auto"/>
              </w:rPr>
            </w:pPr>
          </w:p>
        </w:tc>
      </w:tr>
      <w:tr>
        <w:trPr>
          <w:trHeight w:val="28"/>
        </w:trPr>
        <w:tc>
          <w:tcPr>
            <w:tcW w:w="2240" w:type="dxa"/>
            <w:vAlign w:val="bottom"/>
            <w:vMerge w:val="restart"/>
          </w:tcPr>
          <w:p>
            <w:pPr>
              <w:ind w:left="240"/>
              <w:spacing w:after="0"/>
              <w:rPr>
                <w:sz w:val="20"/>
                <w:szCs w:val="20"/>
                <w:color w:val="auto"/>
              </w:rPr>
            </w:pPr>
            <w:r>
              <w:rPr>
                <w:rFonts w:ascii="Arial" w:cs="Arial" w:eastAsia="Arial" w:hAnsi="Arial"/>
                <w:sz w:val="16"/>
                <w:szCs w:val="16"/>
                <w:color w:val="auto"/>
              </w:rPr>
              <w:t>Hemisphere</w:t>
            </w:r>
          </w:p>
        </w:tc>
        <w:tc>
          <w:tcPr>
            <w:tcW w:w="680" w:type="dxa"/>
            <w:vAlign w:val="bottom"/>
            <w:tcBorders>
              <w:bottom w:val="single" w:sz="8" w:color="A7A9AC"/>
            </w:tcBorders>
          </w:tcPr>
          <w:p>
            <w:pPr>
              <w:spacing w:after="0"/>
              <w:rPr>
                <w:sz w:val="2"/>
                <w:szCs w:val="2"/>
                <w:color w:val="auto"/>
              </w:rPr>
            </w:pPr>
          </w:p>
        </w:tc>
        <w:tc>
          <w:tcPr>
            <w:tcW w:w="1000" w:type="dxa"/>
            <w:vAlign w:val="bottom"/>
            <w:tcBorders>
              <w:bottom w:val="single" w:sz="8" w:color="A7A9AC"/>
            </w:tcBorders>
          </w:tcPr>
          <w:p>
            <w:pPr>
              <w:spacing w:after="0"/>
              <w:rPr>
                <w:sz w:val="2"/>
                <w:szCs w:val="2"/>
                <w:color w:val="auto"/>
              </w:rPr>
            </w:pPr>
          </w:p>
        </w:tc>
        <w:tc>
          <w:tcPr>
            <w:tcW w:w="820" w:type="dxa"/>
            <w:vAlign w:val="bottom"/>
            <w:tcBorders>
              <w:bottom w:val="single" w:sz="8" w:color="A7A9AC"/>
            </w:tcBorders>
          </w:tcPr>
          <w:p>
            <w:pPr>
              <w:spacing w:after="0"/>
              <w:rPr>
                <w:sz w:val="2"/>
                <w:szCs w:val="2"/>
                <w:color w:val="auto"/>
              </w:rPr>
            </w:pPr>
          </w:p>
        </w:tc>
        <w:tc>
          <w:tcPr>
            <w:tcW w:w="1000" w:type="dxa"/>
            <w:vAlign w:val="bottom"/>
            <w:tcBorders>
              <w:bottom w:val="single" w:sz="8" w:color="A7A9AC"/>
            </w:tcBorders>
          </w:tcPr>
          <w:p>
            <w:pPr>
              <w:spacing w:after="0"/>
              <w:rPr>
                <w:sz w:val="2"/>
                <w:szCs w:val="2"/>
                <w:color w:val="auto"/>
              </w:rPr>
            </w:pPr>
          </w:p>
        </w:tc>
        <w:tc>
          <w:tcPr>
            <w:tcW w:w="740" w:type="dxa"/>
            <w:vAlign w:val="bottom"/>
            <w:tcBorders>
              <w:bottom w:val="single" w:sz="8" w:color="A7A9AC"/>
            </w:tcBorders>
          </w:tcPr>
          <w:p>
            <w:pPr>
              <w:spacing w:after="0"/>
              <w:rPr>
                <w:sz w:val="2"/>
                <w:szCs w:val="2"/>
                <w:color w:val="auto"/>
              </w:rPr>
            </w:pPr>
          </w:p>
        </w:tc>
        <w:tc>
          <w:tcPr>
            <w:tcW w:w="1300" w:type="dxa"/>
            <w:vAlign w:val="bottom"/>
            <w:tcBorders>
              <w:bottom w:val="single" w:sz="8" w:color="A7A9AC"/>
            </w:tcBorders>
          </w:tcPr>
          <w:p>
            <w:pPr>
              <w:spacing w:after="0"/>
              <w:rPr>
                <w:sz w:val="2"/>
                <w:szCs w:val="2"/>
                <w:color w:val="auto"/>
              </w:rPr>
            </w:pPr>
          </w:p>
        </w:tc>
        <w:tc>
          <w:tcPr>
            <w:tcW w:w="1280" w:type="dxa"/>
            <w:vAlign w:val="bottom"/>
            <w:tcBorders>
              <w:bottom w:val="single" w:sz="8" w:color="A7A9AC"/>
            </w:tcBorders>
          </w:tcPr>
          <w:p>
            <w:pPr>
              <w:spacing w:after="0"/>
              <w:rPr>
                <w:sz w:val="2"/>
                <w:szCs w:val="2"/>
                <w:color w:val="auto"/>
              </w:rPr>
            </w:pPr>
          </w:p>
        </w:tc>
        <w:tc>
          <w:tcPr>
            <w:tcW w:w="1240" w:type="dxa"/>
            <w:vAlign w:val="bottom"/>
            <w:tcBorders>
              <w:bottom w:val="single" w:sz="8" w:color="A7A9AC"/>
            </w:tcBorders>
          </w:tcPr>
          <w:p>
            <w:pPr>
              <w:spacing w:after="0"/>
              <w:rPr>
                <w:sz w:val="2"/>
                <w:szCs w:val="2"/>
                <w:color w:val="auto"/>
              </w:rPr>
            </w:pPr>
          </w:p>
        </w:tc>
        <w:tc>
          <w:tcPr>
            <w:tcW w:w="940" w:type="dxa"/>
            <w:vAlign w:val="bottom"/>
            <w:tcBorders>
              <w:bottom w:val="single" w:sz="8" w:color="A7A9AC"/>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tcBorders>
              <w:bottom w:val="single" w:sz="8" w:color="CB233C"/>
            </w:tcBorders>
            <w:vMerge w:val="continue"/>
          </w:tcPr>
          <w:p>
            <w:pPr>
              <w:spacing w:after="0"/>
              <w:rPr>
                <w:sz w:val="15"/>
                <w:szCs w:val="15"/>
                <w:color w:val="auto"/>
              </w:rPr>
            </w:pPr>
          </w:p>
        </w:tc>
        <w:tc>
          <w:tcPr>
            <w:tcW w:w="680" w:type="dxa"/>
            <w:vAlign w:val="bottom"/>
            <w:tcBorders>
              <w:bottom w:val="single" w:sz="8" w:color="CB233C"/>
            </w:tcBorders>
          </w:tcPr>
          <w:p>
            <w:pPr>
              <w:jc w:val="right"/>
              <w:ind w:right="59"/>
              <w:spacing w:after="0" w:line="183" w:lineRule="exact"/>
              <w:rPr>
                <w:sz w:val="20"/>
                <w:szCs w:val="20"/>
                <w:color w:val="auto"/>
              </w:rPr>
            </w:pPr>
            <w:r>
              <w:rPr>
                <w:rFonts w:ascii="Arial" w:cs="Arial" w:eastAsia="Arial" w:hAnsi="Arial"/>
                <w:sz w:val="16"/>
                <w:szCs w:val="16"/>
                <w:color w:val="auto"/>
              </w:rPr>
              <w:t>2019</w:t>
            </w:r>
          </w:p>
        </w:tc>
        <w:tc>
          <w:tcPr>
            <w:tcW w:w="1000" w:type="dxa"/>
            <w:vAlign w:val="bottom"/>
            <w:tcBorders>
              <w:bottom w:val="single" w:sz="8" w:color="CB233C"/>
            </w:tcBorders>
          </w:tcPr>
          <w:p>
            <w:pPr>
              <w:jc w:val="right"/>
              <w:ind w:right="59"/>
              <w:spacing w:after="0" w:line="183" w:lineRule="exact"/>
              <w:rPr>
                <w:sz w:val="20"/>
                <w:szCs w:val="20"/>
                <w:color w:val="auto"/>
              </w:rPr>
            </w:pPr>
            <w:r>
              <w:rPr>
                <w:rFonts w:ascii="Arial" w:cs="Arial" w:eastAsia="Arial" w:hAnsi="Arial"/>
                <w:sz w:val="16"/>
                <w:szCs w:val="16"/>
                <w:color w:val="auto"/>
              </w:rPr>
              <w:t>716,678</w:t>
            </w:r>
          </w:p>
        </w:tc>
        <w:tc>
          <w:tcPr>
            <w:tcW w:w="820" w:type="dxa"/>
            <w:vAlign w:val="bottom"/>
            <w:tcBorders>
              <w:bottom w:val="single" w:sz="8" w:color="CB233C"/>
            </w:tcBorders>
          </w:tcPr>
          <w:p>
            <w:pPr>
              <w:jc w:val="right"/>
              <w:ind w:right="9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1,129,322</w:t>
            </w:r>
          </w:p>
        </w:tc>
        <w:tc>
          <w:tcPr>
            <w:tcW w:w="74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0</w:t>
            </w:r>
          </w:p>
        </w:tc>
        <w:tc>
          <w:tcPr>
            <w:tcW w:w="1300" w:type="dxa"/>
            <w:vAlign w:val="bottom"/>
            <w:tcBorders>
              <w:bottom w:val="single" w:sz="8" w:color="CB233C"/>
            </w:tcBorders>
          </w:tcPr>
          <w:p>
            <w:pPr>
              <w:jc w:val="right"/>
              <w:ind w:right="39"/>
              <w:spacing w:after="0" w:line="183" w:lineRule="exact"/>
              <w:rPr>
                <w:sz w:val="20"/>
                <w:szCs w:val="20"/>
                <w:color w:val="auto"/>
              </w:rPr>
            </w:pPr>
            <w:r>
              <w:rPr>
                <w:rFonts w:ascii="Arial" w:cs="Arial" w:eastAsia="Arial" w:hAnsi="Arial"/>
                <w:sz w:val="16"/>
                <w:szCs w:val="16"/>
                <w:color w:val="auto"/>
              </w:rPr>
              <w:t>1,656,000</w:t>
            </w:r>
          </w:p>
        </w:tc>
        <w:tc>
          <w:tcPr>
            <w:tcW w:w="128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88,574</w:t>
            </w:r>
          </w:p>
        </w:tc>
        <w:tc>
          <w:tcPr>
            <w:tcW w:w="124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1,321,431</w:t>
            </w:r>
          </w:p>
        </w:tc>
        <w:tc>
          <w:tcPr>
            <w:tcW w:w="94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4,912,005</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auto"/>
        </w:rPr>
        <w:t xml:space="preserve">Note: </w:t>
      </w:r>
      <w:r>
        <w:rPr>
          <w:rFonts w:ascii="Arial" w:cs="Arial" w:eastAsia="Arial" w:hAnsi="Arial"/>
          <w:sz w:val="16"/>
          <w:szCs w:val="16"/>
          <w:color w:val="auto"/>
        </w:rPr>
        <w:t>Some shareholders asked that we show the impact of the change in our performance award structure on the 2021 total compensation reflected above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Mr. Miller. The total compensation amount includes, in the Non-Equity Incentive Plan Compensation column above, $9,631,664, which is a cash award from the 2019 PUP cycle earned in 2021. It also includes in the Stock Awards column $6,300,070 for a performance shares award granted in 2021 (even though the performance shares award has not yet been earned and if earned, will not be determined until the cycle concludes at the end of 2023). If the performance shares award had been made as a cash award under our old performance award structure, the $6,300,070 would not appear in the 2021 compensation table.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Salary. </w:t>
      </w:r>
      <w:r>
        <w:rPr>
          <w:rFonts w:ascii="Arial" w:cs="Arial" w:eastAsia="Arial" w:hAnsi="Arial"/>
          <w:sz w:val="16"/>
          <w:szCs w:val="16"/>
          <w:color w:val="auto"/>
        </w:rPr>
        <w:t>The amounts in the Salary column reflect the salary earned by each NEO.</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Stock Awards. </w:t>
      </w:r>
      <w:r>
        <w:rPr>
          <w:rFonts w:ascii="Arial" w:cs="Arial" w:eastAsia="Arial" w:hAnsi="Arial"/>
          <w:sz w:val="16"/>
          <w:szCs w:val="16"/>
          <w:color w:val="auto"/>
        </w:rPr>
        <w:t>The amounts in the Stock Awards column reflect the grant date fair value of the performance shares awarded in 2021. The amount reflects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accounting expense and does not correspond to actual value that may be realized by a NEO in the future. We use a Monte Carlo simulation that uses a probabilistic approach and was performed by an actuary to determine grant date fair value. The NEOs may never realize any value from these performance shares and, to the extent that they do, the amounts realized may have no correlation to the amounts reported above.</w:t>
      </w:r>
    </w:p>
    <w:p>
      <w:pPr>
        <w:spacing w:after="0" w:line="16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 xml:space="preserve">Non-Equity Incentive Plan Compensation. </w:t>
      </w:r>
      <w:r>
        <w:rPr>
          <w:rFonts w:ascii="Arial" w:cs="Arial" w:eastAsia="Arial" w:hAnsi="Arial"/>
          <w:sz w:val="16"/>
          <w:szCs w:val="16"/>
          <w:color w:val="auto"/>
        </w:rPr>
        <w:t>The Non-Equity Incentive Plan Compensation column reflects amounts earned in 2021 for the 2021 Halliburton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Annual Performance Pay Plan and the 2019 cycle Performance Unit Program.</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2021 Halliburton Annual Performance Pay Plan amounts paid to each NEO are: $4,500,000 for Mr. Miller; $1,520,000 for Mr. Loeffler; $1,600,000 for Mr.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Carre; $2,002,000 for Mr. Rainey; and $1,782,000 for Mr. Richard.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2019 cycle Performance Unit Program amounts paid to each NEO are: $9,631,664 for Mr. Miller; $2,878,952 for Mr. Loeffler; $2,817,392 for Mr. Carre; $3,758,776 for Mr. Rainey; and $3,758,776 for Mr. Richard. The amounts paid to the NEOs for the 2019 cycle Performance Unit Program differ from what is shown in the Grants of Plan-Based Awards in Fiscal Year 2021 table under Estimated Future Payments Under Non-Equity Incentive Plan Awards. That table indicates the potential award amounts payable in cash under the 2021 cycle Performance Unit Program, which will close on December 31, 2023.</w:t>
      </w:r>
    </w:p>
    <w:p>
      <w:pPr>
        <w:spacing w:after="0" w:line="164" w:lineRule="exact"/>
        <w:rPr>
          <w:sz w:val="20"/>
          <w:szCs w:val="20"/>
          <w:color w:val="auto"/>
        </w:rPr>
      </w:pPr>
    </w:p>
    <w:p>
      <w:pPr>
        <w:ind w:left="7800"/>
        <w:spacing w:after="0"/>
        <w:tabs>
          <w:tab w:leader="none" w:pos="1104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886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Change in Pension Value and NQDC Earnings. </w:t>
      </w:r>
      <w:r>
        <w:rPr>
          <w:rFonts w:ascii="Arial" w:cs="Arial" w:eastAsia="Arial" w:hAnsi="Arial"/>
          <w:sz w:val="16"/>
          <w:szCs w:val="16"/>
          <w:color w:val="auto"/>
        </w:rPr>
        <w:t>The amounts in the Change in Pension Value and NQDC Earnings column are attributable to the above-market earnings for various nonqualified plans. The methodology for determining what constitutes above-market earnings is the difference between the interest rate as stated in the applicable nonqualified plan document and the Internal Revenue Service Long-Term 120% AFR rate as of December 31, 2021. The 120% AFR rate used for determining above-market earnings in 2021 was 2.28%.</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 xml:space="preserve">Supplemental Executive Retirement Plan Above-Market Earnings. </w:t>
      </w:r>
      <w:r>
        <w:rPr>
          <w:rFonts w:ascii="Arial" w:cs="Arial" w:eastAsia="Arial" w:hAnsi="Arial"/>
          <w:sz w:val="16"/>
          <w:szCs w:val="16"/>
          <w:color w:val="auto"/>
        </w:rPr>
        <w:t>The current interest rate for active participant accounts in the Supplemental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Plan is 5% as defined by the plan document. The above-market earnings for active participants equaled 2.72% (5% (plan interest) minus 2.28%) for 2021.</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NEOs earned above-market earnings for their balances associated with the plan as follows: $217,130 for Mr. Miller; $25,455 for Mr. Loeffler; $79,267 for Mr.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Carre; $215,486 for Mr. Rainey; and $64,860 for Mr. Richard.</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 xml:space="preserve">Benefit Restoration Plan Above-Market Earnings. </w:t>
      </w:r>
      <w:r>
        <w:rPr>
          <w:rFonts w:ascii="Arial" w:cs="Arial" w:eastAsia="Arial" w:hAnsi="Arial"/>
          <w:sz w:val="16"/>
          <w:szCs w:val="16"/>
          <w:color w:val="auto"/>
        </w:rPr>
        <w:t>In accordance with the plan document, participants earn monthly interest at the 120% AFR rate,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the interest rate shall be no less than 6% per annum or greater than 10% per annum. Because the 120% AFR rate was below the 6% minimum interest threshold, the above-market earnings associated with this plan were 3.72% (6% (plan interest) minus 2.28%) for 2021.</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NEOs earned above-market earnings for their balances associated with the plan as follows: $25,197 for Mr. Miller; $2,691 for Mr. Loeffler; $11,561 for Mr.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Carre; $22,360 for Mr. Rainey; and $7,610 for Mr. Richard.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Elective Deferral Plan Above-Market Earnings. </w:t>
      </w:r>
      <w:r>
        <w:rPr>
          <w:rFonts w:ascii="Arial" w:cs="Arial" w:eastAsia="Arial" w:hAnsi="Arial"/>
          <w:sz w:val="16"/>
          <w:szCs w:val="16"/>
          <w:color w:val="auto"/>
        </w:rPr>
        <w:t>The average NEO earnings for the balances associated with the Elective Deferral Plan were 9.60% for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above-market earnings associated with this plan equaled 7.32% (9.60% minus 2.28%) for 2021.</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NEOs earned above-market earnings for balances associated with the plan as follows: $303,796 for Mr. Rainey; and $133,223 for Mr. Richard. Messrs.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Miller, Loeffler, and Carre are not participants in and do not have any prior balances in the Elective Deferral Plan.</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amounts shown in this column differ from the amounts shown for the Supplemental Executive Retirement Plan, the Benefit Restoration Plan, and the Elective Deferral Plan in the 2021 Nonqualified Deferred Compensation table under the Aggregate Earnings in Last Fiscal Year column because that table includes all earnings and losses, and the Summary Compensation Table shows above-market earnings only.</w:t>
      </w:r>
    </w:p>
    <w:p>
      <w:pPr>
        <w:spacing w:after="0" w:line="15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 xml:space="preserve">All Other Compensation. </w:t>
      </w:r>
      <w:r>
        <w:rPr>
          <w:rFonts w:ascii="Arial" w:cs="Arial" w:eastAsia="Arial" w:hAnsi="Arial"/>
          <w:sz w:val="16"/>
          <w:szCs w:val="16"/>
          <w:color w:val="auto"/>
        </w:rPr>
        <w:t>Detailed information for amounts included in the All Other Compensation column can be found in the Supplemental Table: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Compensation.</w:t>
      </w:r>
    </w:p>
    <w:p>
      <w:pPr>
        <w:spacing w:after="0" w:line="234"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Supplemental Table: All Other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components of the All Other Compensation column of the Summary Compensation Table for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Halliburton</w:t>
            </w:r>
          </w:p>
        </w:tc>
        <w:tc>
          <w:tcPr>
            <w:tcW w:w="8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Restricted</w:t>
            </w: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HRSP</w:t>
            </w:r>
          </w:p>
        </w:tc>
        <w:tc>
          <w:tcPr>
            <w:tcW w:w="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Benefit</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1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Halliburton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Giving</w:t>
            </w:r>
          </w:p>
        </w:tc>
        <w:tc>
          <w:tcPr>
            <w:tcW w:w="8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Stock</w:t>
            </w: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Employer</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HRSP</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Restoration</w:t>
            </w:r>
          </w:p>
        </w:tc>
        <w:tc>
          <w:tcPr>
            <w:tcW w:w="82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Expatriate</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All</w:t>
            </w:r>
          </w:p>
        </w:tc>
        <w:tc>
          <w:tcPr>
            <w:tcW w:w="840" w:type="dxa"/>
            <w:vAlign w:val="bottom"/>
          </w:tcPr>
          <w:p>
            <w:pPr>
              <w:spacing w:after="0"/>
              <w:rPr>
                <w:sz w:val="16"/>
                <w:szCs w:val="16"/>
                <w:color w:val="auto"/>
              </w:rPr>
            </w:pPr>
          </w:p>
        </w:tc>
      </w:tr>
      <w:tr>
        <w:trPr>
          <w:trHeight w:val="189"/>
        </w:trPr>
        <w:tc>
          <w:tcPr>
            <w:tcW w:w="1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Foundation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Choices</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HALPAC</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Dividends</w:t>
            </w: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Match</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Basic</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Plan</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SERP</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Assignment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03"/>
        </w:trPr>
        <w:tc>
          <w:tcPr>
            <w:tcW w:w="1300" w:type="dxa"/>
            <w:vAlign w:val="bottom"/>
            <w:tcBorders>
              <w:bottom w:val="single" w:sz="8" w:color="CB233C"/>
            </w:tcBorders>
          </w:tcPr>
          <w:p>
            <w:pPr>
              <w:ind w:left="60"/>
              <w:spacing w:after="0"/>
              <w:rPr>
                <w:sz w:val="20"/>
                <w:szCs w:val="20"/>
                <w:color w:val="auto"/>
              </w:rPr>
            </w:pPr>
            <w:r>
              <w:rPr>
                <w:rFonts w:ascii="Arial" w:cs="Arial" w:eastAsia="Arial" w:hAnsi="Arial"/>
                <w:sz w:val="16"/>
                <w:szCs w:val="16"/>
                <w:b w:val="1"/>
                <w:bCs w:val="1"/>
                <w:color w:val="auto"/>
              </w:rPr>
              <w:t>Name</w:t>
            </w:r>
          </w:p>
        </w:tc>
        <w:tc>
          <w:tcPr>
            <w:tcW w:w="104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B233C"/>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B233C"/>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83"/>
        </w:trPr>
        <w:tc>
          <w:tcPr>
            <w:tcW w:w="130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color w:val="auto"/>
              </w:rPr>
              <w:t>Jeffrey A. Miller</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112,500</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8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5,000</w:t>
            </w:r>
          </w:p>
        </w:tc>
        <w:tc>
          <w:tcPr>
            <w:tcW w:w="9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110,957</w:t>
            </w:r>
          </w:p>
        </w:tc>
        <w:tc>
          <w:tcPr>
            <w:tcW w:w="960" w:type="dxa"/>
            <w:vAlign w:val="bottom"/>
            <w:tcBorders>
              <w:bottom w:val="single" w:sz="8" w:color="A7A9AC"/>
            </w:tcBorders>
          </w:tcPr>
          <w:p>
            <w:pPr>
              <w:jc w:val="right"/>
              <w:ind w:right="59"/>
              <w:spacing w:after="0" w:line="183" w:lineRule="exact"/>
              <w:rPr>
                <w:sz w:val="20"/>
                <w:szCs w:val="20"/>
                <w:color w:val="auto"/>
              </w:rPr>
            </w:pPr>
            <w:r>
              <w:rPr>
                <w:rFonts w:ascii="Arial" w:cs="Arial" w:eastAsia="Arial" w:hAnsi="Arial"/>
                <w:sz w:val="16"/>
                <w:szCs w:val="16"/>
                <w:color w:val="auto"/>
              </w:rPr>
              <w:t>13,000</w:t>
            </w:r>
          </w:p>
        </w:tc>
        <w:tc>
          <w:tcPr>
            <w:tcW w:w="6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5,800</w:t>
            </w:r>
          </w:p>
        </w:tc>
        <w:tc>
          <w:tcPr>
            <w:tcW w:w="102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84,700</w:t>
            </w:r>
          </w:p>
        </w:tc>
        <w:tc>
          <w:tcPr>
            <w:tcW w:w="82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1,034,000</w:t>
            </w:r>
          </w:p>
        </w:tc>
        <w:tc>
          <w:tcPr>
            <w:tcW w:w="112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0</w:t>
            </w:r>
          </w:p>
        </w:tc>
        <w:tc>
          <w:tcPr>
            <w:tcW w:w="68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51,964</w:t>
            </w:r>
          </w:p>
        </w:tc>
        <w:tc>
          <w:tcPr>
            <w:tcW w:w="8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1,417,921</w:t>
            </w:r>
          </w:p>
        </w:tc>
      </w:tr>
      <w:tr>
        <w:trPr>
          <w:trHeight w:val="183"/>
        </w:trPr>
        <w:tc>
          <w:tcPr>
            <w:tcW w:w="130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color w:val="auto"/>
              </w:rPr>
              <w:t>Lance Loeffler</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24,255</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600</w:t>
            </w:r>
          </w:p>
        </w:tc>
        <w:tc>
          <w:tcPr>
            <w:tcW w:w="8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5,000</w:t>
            </w:r>
          </w:p>
        </w:tc>
        <w:tc>
          <w:tcPr>
            <w:tcW w:w="9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22,098</w:t>
            </w:r>
          </w:p>
        </w:tc>
        <w:tc>
          <w:tcPr>
            <w:tcW w:w="960" w:type="dxa"/>
            <w:vAlign w:val="bottom"/>
            <w:tcBorders>
              <w:bottom w:val="single" w:sz="8" w:color="A7A9AC"/>
            </w:tcBorders>
          </w:tcPr>
          <w:p>
            <w:pPr>
              <w:jc w:val="right"/>
              <w:ind w:right="59"/>
              <w:spacing w:after="0" w:line="183" w:lineRule="exact"/>
              <w:rPr>
                <w:sz w:val="20"/>
                <w:szCs w:val="20"/>
                <w:color w:val="auto"/>
              </w:rPr>
            </w:pPr>
            <w:r>
              <w:rPr>
                <w:rFonts w:ascii="Arial" w:cs="Arial" w:eastAsia="Arial" w:hAnsi="Arial"/>
                <w:sz w:val="16"/>
                <w:szCs w:val="16"/>
                <w:color w:val="auto"/>
              </w:rPr>
              <w:t>12,188</w:t>
            </w:r>
          </w:p>
        </w:tc>
        <w:tc>
          <w:tcPr>
            <w:tcW w:w="6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5,800</w:t>
            </w:r>
          </w:p>
        </w:tc>
        <w:tc>
          <w:tcPr>
            <w:tcW w:w="102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32,900</w:t>
            </w:r>
          </w:p>
        </w:tc>
        <w:tc>
          <w:tcPr>
            <w:tcW w:w="82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378,000</w:t>
            </w:r>
          </w:p>
        </w:tc>
        <w:tc>
          <w:tcPr>
            <w:tcW w:w="112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0</w:t>
            </w:r>
          </w:p>
        </w:tc>
        <w:tc>
          <w:tcPr>
            <w:tcW w:w="68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8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480,841</w:t>
            </w:r>
          </w:p>
        </w:tc>
      </w:tr>
      <w:tr>
        <w:trPr>
          <w:trHeight w:val="183"/>
        </w:trPr>
        <w:tc>
          <w:tcPr>
            <w:tcW w:w="130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color w:val="auto"/>
              </w:rPr>
              <w:t>Eric J. Carre</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8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24,179</w:t>
            </w:r>
          </w:p>
        </w:tc>
        <w:tc>
          <w:tcPr>
            <w:tcW w:w="960" w:type="dxa"/>
            <w:vAlign w:val="bottom"/>
            <w:tcBorders>
              <w:bottom w:val="single" w:sz="8" w:color="A7A9AC"/>
            </w:tcBorders>
          </w:tcPr>
          <w:p>
            <w:pPr>
              <w:jc w:val="right"/>
              <w:ind w:right="59"/>
              <w:spacing w:after="0" w:line="183" w:lineRule="exact"/>
              <w:rPr>
                <w:sz w:val="20"/>
                <w:szCs w:val="20"/>
                <w:color w:val="auto"/>
              </w:rPr>
            </w:pPr>
            <w:r>
              <w:rPr>
                <w:rFonts w:ascii="Arial" w:cs="Arial" w:eastAsia="Arial" w:hAnsi="Arial"/>
                <w:sz w:val="16"/>
                <w:szCs w:val="16"/>
                <w:color w:val="auto"/>
              </w:rPr>
              <w:t>13,750</w:t>
            </w:r>
          </w:p>
        </w:tc>
        <w:tc>
          <w:tcPr>
            <w:tcW w:w="6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5,800</w:t>
            </w:r>
          </w:p>
        </w:tc>
        <w:tc>
          <w:tcPr>
            <w:tcW w:w="102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35,700</w:t>
            </w:r>
          </w:p>
        </w:tc>
        <w:tc>
          <w:tcPr>
            <w:tcW w:w="82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529,000</w:t>
            </w:r>
          </w:p>
        </w:tc>
        <w:tc>
          <w:tcPr>
            <w:tcW w:w="112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0</w:t>
            </w:r>
          </w:p>
        </w:tc>
        <w:tc>
          <w:tcPr>
            <w:tcW w:w="68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8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608,429</w:t>
            </w:r>
          </w:p>
        </w:tc>
      </w:tr>
      <w:tr>
        <w:trPr>
          <w:trHeight w:val="183"/>
        </w:trPr>
        <w:tc>
          <w:tcPr>
            <w:tcW w:w="130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color w:val="auto"/>
              </w:rPr>
              <w:t>Joe D. Rainey</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8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A7A9AC"/>
            </w:tcBorders>
          </w:tcPr>
          <w:p>
            <w:pPr>
              <w:jc w:val="right"/>
              <w:ind w:right="59"/>
              <w:spacing w:after="0" w:line="183" w:lineRule="exact"/>
              <w:rPr>
                <w:sz w:val="20"/>
                <w:szCs w:val="20"/>
                <w:color w:val="auto"/>
              </w:rPr>
            </w:pPr>
            <w:r>
              <w:rPr>
                <w:rFonts w:ascii="Arial" w:cs="Arial" w:eastAsia="Arial" w:hAnsi="Arial"/>
                <w:sz w:val="16"/>
                <w:szCs w:val="16"/>
                <w:color w:val="auto"/>
              </w:rPr>
              <w:t>13,000</w:t>
            </w:r>
          </w:p>
        </w:tc>
        <w:tc>
          <w:tcPr>
            <w:tcW w:w="6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5,800</w:t>
            </w:r>
          </w:p>
        </w:tc>
        <w:tc>
          <w:tcPr>
            <w:tcW w:w="102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43,400</w:t>
            </w:r>
          </w:p>
        </w:tc>
        <w:tc>
          <w:tcPr>
            <w:tcW w:w="82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112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2,137,875</w:t>
            </w:r>
          </w:p>
        </w:tc>
        <w:tc>
          <w:tcPr>
            <w:tcW w:w="68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8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2,200,075</w:t>
            </w:r>
          </w:p>
        </w:tc>
      </w:tr>
      <w:tr>
        <w:trPr>
          <w:trHeight w:val="183"/>
        </w:trPr>
        <w:tc>
          <w:tcPr>
            <w:tcW w:w="1300" w:type="dxa"/>
            <w:vAlign w:val="bottom"/>
            <w:tcBorders>
              <w:bottom w:val="single" w:sz="8" w:color="CB233C"/>
            </w:tcBorders>
          </w:tcPr>
          <w:p>
            <w:pPr>
              <w:ind w:left="60"/>
              <w:spacing w:after="0" w:line="183" w:lineRule="exact"/>
              <w:rPr>
                <w:sz w:val="20"/>
                <w:szCs w:val="20"/>
                <w:color w:val="auto"/>
              </w:rPr>
            </w:pPr>
            <w:r>
              <w:rPr>
                <w:rFonts w:ascii="Arial" w:cs="Arial" w:eastAsia="Arial" w:hAnsi="Arial"/>
                <w:sz w:val="16"/>
                <w:szCs w:val="16"/>
                <w:color w:val="auto"/>
              </w:rPr>
              <w:t>Mark J. Richard</w:t>
            </w:r>
          </w:p>
        </w:tc>
        <w:tc>
          <w:tcPr>
            <w:tcW w:w="104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45,000</w:t>
            </w:r>
          </w:p>
        </w:tc>
        <w:tc>
          <w:tcPr>
            <w:tcW w:w="100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480</w:t>
            </w:r>
          </w:p>
        </w:tc>
        <w:tc>
          <w:tcPr>
            <w:tcW w:w="84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5,000</w:t>
            </w:r>
          </w:p>
        </w:tc>
        <w:tc>
          <w:tcPr>
            <w:tcW w:w="96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27,317</w:t>
            </w:r>
          </w:p>
        </w:tc>
        <w:tc>
          <w:tcPr>
            <w:tcW w:w="960" w:type="dxa"/>
            <w:vAlign w:val="bottom"/>
            <w:tcBorders>
              <w:bottom w:val="single" w:sz="8" w:color="CB233C"/>
            </w:tcBorders>
          </w:tcPr>
          <w:p>
            <w:pPr>
              <w:jc w:val="right"/>
              <w:ind w:right="59"/>
              <w:spacing w:after="0" w:line="183" w:lineRule="exact"/>
              <w:rPr>
                <w:sz w:val="20"/>
                <w:szCs w:val="20"/>
                <w:color w:val="auto"/>
              </w:rPr>
            </w:pPr>
            <w:r>
              <w:rPr>
                <w:rFonts w:ascii="Arial" w:cs="Arial" w:eastAsia="Arial" w:hAnsi="Arial"/>
                <w:sz w:val="16"/>
                <w:szCs w:val="16"/>
                <w:color w:val="auto"/>
              </w:rPr>
              <w:t>14,500</w:t>
            </w:r>
          </w:p>
        </w:tc>
        <w:tc>
          <w:tcPr>
            <w:tcW w:w="66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5,800</w:t>
            </w:r>
          </w:p>
        </w:tc>
        <w:tc>
          <w:tcPr>
            <w:tcW w:w="102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36,400</w:t>
            </w:r>
          </w:p>
        </w:tc>
        <w:tc>
          <w:tcPr>
            <w:tcW w:w="82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1,187,000</w:t>
            </w:r>
          </w:p>
        </w:tc>
        <w:tc>
          <w:tcPr>
            <w:tcW w:w="1120" w:type="dxa"/>
            <w:vAlign w:val="bottom"/>
            <w:tcBorders>
              <w:bottom w:val="single" w:sz="8" w:color="CB233C"/>
            </w:tcBorders>
          </w:tcPr>
          <w:p>
            <w:pPr>
              <w:jc w:val="right"/>
              <w:ind w:right="39"/>
              <w:spacing w:after="0" w:line="183" w:lineRule="exact"/>
              <w:rPr>
                <w:sz w:val="20"/>
                <w:szCs w:val="20"/>
                <w:color w:val="auto"/>
              </w:rPr>
            </w:pPr>
            <w:r>
              <w:rPr>
                <w:rFonts w:ascii="Arial" w:cs="Arial" w:eastAsia="Arial" w:hAnsi="Arial"/>
                <w:sz w:val="16"/>
                <w:szCs w:val="16"/>
                <w:color w:val="auto"/>
              </w:rPr>
              <w:t>0</w:t>
            </w:r>
          </w:p>
        </w:tc>
        <w:tc>
          <w:tcPr>
            <w:tcW w:w="68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0</w:t>
            </w:r>
          </w:p>
        </w:tc>
        <w:tc>
          <w:tcPr>
            <w:tcW w:w="84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1,321,497</w:t>
            </w: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Halliburton Foundation. </w:t>
      </w:r>
      <w:r>
        <w:rPr>
          <w:rFonts w:ascii="Arial" w:cs="Arial" w:eastAsia="Arial" w:hAnsi="Arial"/>
          <w:sz w:val="16"/>
          <w:szCs w:val="16"/>
          <w:color w:val="auto"/>
        </w:rPr>
        <w:t>The Halliburton Foundation allows NEOs and other employees to donate to approved universities, medical hospitals, and primary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schools of their choice. In 2021, the Halliburton Foundation matched donations up to $20,000 on a 2.25 for 1 basis. Mr. Miller participated in the Halliburton Foundation’s matching program for Directors, which allowed his 2021 contributions up to $50,000 to qualified organizations to be matched on a 2.25 for 1 basis.</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Halliburton Giving Choices. </w:t>
      </w:r>
      <w:r>
        <w:rPr>
          <w:rFonts w:ascii="Arial" w:cs="Arial" w:eastAsia="Arial" w:hAnsi="Arial"/>
          <w:sz w:val="16"/>
          <w:szCs w:val="16"/>
          <w:color w:val="auto"/>
        </w:rPr>
        <w:t>The Halliburton Giving Choices Program allows NEOs and other employees to donate to approved not-for-profit charities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their choice. We match donations by contributing ten cents for every dollar contributed by employees. The amounts shown represent the match amounts the program donated to charities on behalf of the NEOs in 2021.</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auto"/>
        </w:rPr>
        <w:t xml:space="preserve">Halliburton Political Action Committee. </w:t>
      </w:r>
      <w:r>
        <w:rPr>
          <w:rFonts w:ascii="Arial" w:cs="Arial" w:eastAsia="Arial" w:hAnsi="Arial"/>
          <w:sz w:val="16"/>
          <w:szCs w:val="16"/>
          <w:color w:val="auto"/>
        </w:rPr>
        <w:t>The Halliburton Political Action Committee, or HALPAC, allows NEOs and other eligible employees to donate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political candidates and participate in the political process. We match the NEOs’ and other employees’ donations to HALPAC dollar-for-dollar to a 501(c)(3) status nonprofit organization of the contributor’s choice. The amounts shown represent the match amounts donated to charities on behalf of the NEOs in 2021.</w:t>
      </w:r>
    </w:p>
    <w:p>
      <w:pPr>
        <w:spacing w:after="0" w:line="35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Restricted Stock Dividends. </w:t>
      </w:r>
      <w:r>
        <w:rPr>
          <w:rFonts w:ascii="Arial" w:cs="Arial" w:eastAsia="Arial" w:hAnsi="Arial"/>
          <w:sz w:val="16"/>
          <w:szCs w:val="16"/>
          <w:color w:val="auto"/>
        </w:rPr>
        <w:t>This is the amount of dividends paid on restricted stock held by NEOs in 2021. Restricted stock units granted to employees do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receive dividend payments. Except where there is a distinction to make between the two types of awards, this proxy statement refers to both restricted stock and restricted stock units as “restricted stock”.</w:t>
      </w:r>
    </w:p>
    <w:p>
      <w:pPr>
        <w:spacing w:after="0" w:line="158" w:lineRule="exact"/>
        <w:rPr>
          <w:sz w:val="20"/>
          <w:szCs w:val="20"/>
          <w:color w:val="auto"/>
        </w:r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754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Retirement and Savings Plan Employer Match. </w:t>
      </w:r>
      <w:r>
        <w:rPr>
          <w:rFonts w:ascii="Arial" w:cs="Arial" w:eastAsia="Arial" w:hAnsi="Arial"/>
          <w:sz w:val="16"/>
          <w:szCs w:val="16"/>
          <w:color w:val="auto"/>
        </w:rPr>
        <w:t>This is the contribution we made on behalf of each NEO to the Halliburton Retirement and Savings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defined contribution plan. We match employee contributions up to 5% of each employee’s eligible base salary up to the 401(a)(17) compensation limit of $290,000 in 2021.</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Retirement and Savings Plan Basic Contribution. </w:t>
      </w:r>
      <w:r>
        <w:rPr>
          <w:rFonts w:ascii="Arial" w:cs="Arial" w:eastAsia="Arial" w:hAnsi="Arial"/>
          <w:sz w:val="16"/>
          <w:szCs w:val="16"/>
          <w:color w:val="auto"/>
        </w:rPr>
        <w:t>This is the contribution we made on behalf of each NEO to the Retirement and Savings Plan. If actively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employed on December 31, 2021, or if they meet retirement eligibility requirements of the plan as of their separation date, each employee receives a contribution equal to 2% of their eligible base pay up to the 401(a)(17) compensation limit of $290,000 in 2021.</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Benefit Restoration Plan. </w:t>
      </w:r>
      <w:r>
        <w:rPr>
          <w:rFonts w:ascii="Arial" w:cs="Arial" w:eastAsia="Arial" w:hAnsi="Arial"/>
          <w:sz w:val="16"/>
          <w:szCs w:val="16"/>
          <w:color w:val="auto"/>
        </w:rPr>
        <w:t>This is the award earned under the Benefit Restoration Plan in 2021 as discussed in the Benefit Restoration Plan section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Discussion and Analysis. Associated interest, awards, and beginning and ending balances for the Benefit Restoration Plan are included in the 2021 Nonqualified Deferred Compensation table.</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Supplemental Executive Retirement Plan. </w:t>
      </w:r>
      <w:r>
        <w:rPr>
          <w:rFonts w:ascii="Arial" w:cs="Arial" w:eastAsia="Arial" w:hAnsi="Arial"/>
          <w:sz w:val="16"/>
          <w:szCs w:val="16"/>
          <w:color w:val="auto"/>
        </w:rPr>
        <w:t>This is the award approved under the Supplemental Executive Retirement Plan in 2021 as discussed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Supplemental Executive Retirement Plan section of Compensation Discussion and Analysis. Associated interest, awards, and beginning and ending balances for the Supplemental Executive Retirement Plan are included in the 2021 Nonqualified Deferred Compensation table.</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Expatriate Assignment. </w:t>
      </w:r>
      <w:r>
        <w:rPr>
          <w:rFonts w:ascii="Arial" w:cs="Arial" w:eastAsia="Arial" w:hAnsi="Arial"/>
          <w:sz w:val="16"/>
          <w:szCs w:val="16"/>
          <w:color w:val="auto"/>
        </w:rPr>
        <w:t>In 2021, Mr. Rainey received compensation associated with his expatriate assignment similar in type to that received by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expatriates on comparable assignments. He received $78,968 for cost of living adjustment; $91,000 for mobility premium; $1,832,837 for tax equalization; $102,330 for imputed housing allowance; $19,670 for tax preparation; and $13,070 for auto imputed allowance.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w:t>
      </w:r>
    </w:p>
    <w:p>
      <w:pPr>
        <w:spacing w:after="0" w:line="201" w:lineRule="exact"/>
        <w:rPr>
          <w:sz w:val="20"/>
          <w:szCs w:val="20"/>
          <w:color w:val="auto"/>
        </w:rPr>
      </w:pPr>
    </w:p>
    <w:p>
      <w:pPr>
        <w:jc w:val="both"/>
        <w:ind w:left="180" w:hanging="172"/>
        <w:spacing w:after="0" w:line="254" w:lineRule="auto"/>
        <w:tabs>
          <w:tab w:leader="none" w:pos="180" w:val="left"/>
        </w:tabs>
        <w:numPr>
          <w:ilvl w:val="0"/>
          <w:numId w:val="76"/>
        </w:numPr>
        <w:rPr>
          <w:rFonts w:ascii="Arial" w:cs="Arial" w:eastAsia="Arial" w:hAnsi="Arial"/>
          <w:sz w:val="16"/>
          <w:szCs w:val="16"/>
          <w:color w:val="CB233C"/>
        </w:rPr>
      </w:pPr>
      <w:r>
        <w:rPr>
          <w:rFonts w:ascii="Arial" w:cs="Arial" w:eastAsia="Arial" w:hAnsi="Arial"/>
          <w:sz w:val="16"/>
          <w:szCs w:val="16"/>
          <w:i w:val="1"/>
          <w:iCs w:val="1"/>
          <w:color w:val="auto"/>
        </w:rPr>
        <w:t xml:space="preserve">Aircraft Usage. </w:t>
      </w:r>
      <w:r>
        <w:rPr>
          <w:rFonts w:ascii="Arial" w:cs="Arial" w:eastAsia="Arial" w:hAnsi="Arial"/>
          <w:sz w:val="16"/>
          <w:szCs w:val="16"/>
          <w:color w:val="auto"/>
        </w:rPr>
        <w:t>As a result of the recommendations provided by an independent, third-party security consultant, the Board has determined that Mr. Miller</w:t>
      </w:r>
      <w:r>
        <w:rPr>
          <w:rFonts w:ascii="Arial" w:cs="Arial" w:eastAsia="Arial" w:hAnsi="Arial"/>
          <w:sz w:val="16"/>
          <w:szCs w:val="16"/>
          <w:i w:val="1"/>
          <w:iCs w:val="1"/>
          <w:color w:val="auto"/>
        </w:rPr>
        <w:t xml:space="preserve"> </w:t>
      </w:r>
      <w:r>
        <w:rPr>
          <w:rFonts w:ascii="Arial" w:cs="Arial" w:eastAsia="Arial" w:hAnsi="Arial"/>
          <w:sz w:val="16"/>
          <w:szCs w:val="16"/>
          <w:color w:val="auto"/>
        </w:rPr>
        <w:t>must use company aircraft for all travel. The security study also recommends that his spouse and children use company-provided aircraft. For 2021, the incremental cost to us for this personal use of our aircraft was $41,487 for Mr. Miller. For total compensation purposes in 2021, we valued the incremental cost of the personal use of aircraft using a method that takes into account: landing, parking, hanger, flight planning services, and dead-head costs; crew travel expenses; supplies and catering; aircraft fuel and oil expenses per hour of flight; any customs, foreign permit, and similar fees; and passenger ground transportation. NEOs are not reimbursed for the tax impact of any imputed income resulting from aircraft usage.</w:t>
      </w:r>
    </w:p>
    <w:p>
      <w:pPr>
        <w:spacing w:after="0" w:line="46" w:lineRule="exact"/>
        <w:rPr>
          <w:rFonts w:ascii="Arial" w:cs="Arial" w:eastAsia="Arial" w:hAnsi="Arial"/>
          <w:sz w:val="16"/>
          <w:szCs w:val="16"/>
          <w:color w:val="CB233C"/>
        </w:rPr>
      </w:pPr>
    </w:p>
    <w:p>
      <w:pPr>
        <w:ind w:left="180" w:hanging="172"/>
        <w:spacing w:after="0"/>
        <w:tabs>
          <w:tab w:leader="none" w:pos="180" w:val="left"/>
        </w:tabs>
        <w:numPr>
          <w:ilvl w:val="0"/>
          <w:numId w:val="76"/>
        </w:numPr>
        <w:rPr>
          <w:rFonts w:ascii="Arial" w:cs="Arial" w:eastAsia="Arial" w:hAnsi="Arial"/>
          <w:sz w:val="16"/>
          <w:szCs w:val="16"/>
          <w:color w:val="CB233C"/>
        </w:rPr>
      </w:pPr>
      <w:r>
        <w:rPr>
          <w:rFonts w:ascii="Arial" w:cs="Arial" w:eastAsia="Arial" w:hAnsi="Arial"/>
          <w:sz w:val="16"/>
          <w:szCs w:val="16"/>
          <w:i w:val="1"/>
          <w:iCs w:val="1"/>
          <w:color w:val="auto"/>
        </w:rPr>
        <w:t xml:space="preserve">Home Security. </w:t>
      </w:r>
      <w:r>
        <w:rPr>
          <w:rFonts w:ascii="Arial" w:cs="Arial" w:eastAsia="Arial" w:hAnsi="Arial"/>
          <w:sz w:val="16"/>
          <w:szCs w:val="16"/>
          <w:color w:val="auto"/>
        </w:rPr>
        <w:t>We provide security for residences based on risk assessments. In 2021, home security costs were $4,224 for Mr. Miller.</w:t>
      </w:r>
    </w:p>
    <w:p>
      <w:pPr>
        <w:spacing w:after="0" w:line="86" w:lineRule="exact"/>
        <w:rPr>
          <w:rFonts w:ascii="Arial" w:cs="Arial" w:eastAsia="Arial" w:hAnsi="Arial"/>
          <w:sz w:val="16"/>
          <w:szCs w:val="16"/>
          <w:color w:val="CB233C"/>
        </w:rPr>
      </w:pPr>
    </w:p>
    <w:p>
      <w:pPr>
        <w:ind w:left="180" w:hanging="172"/>
        <w:spacing w:after="0" w:line="286" w:lineRule="auto"/>
        <w:tabs>
          <w:tab w:leader="none" w:pos="180" w:val="left"/>
        </w:tabs>
        <w:numPr>
          <w:ilvl w:val="0"/>
          <w:numId w:val="76"/>
        </w:numPr>
        <w:rPr>
          <w:rFonts w:ascii="Arial" w:cs="Arial" w:eastAsia="Arial" w:hAnsi="Arial"/>
          <w:sz w:val="16"/>
          <w:szCs w:val="16"/>
          <w:color w:val="CB233C"/>
        </w:rPr>
      </w:pPr>
      <w:r>
        <w:rPr>
          <w:rFonts w:ascii="Arial" w:cs="Arial" w:eastAsia="Arial" w:hAnsi="Arial"/>
          <w:sz w:val="16"/>
          <w:szCs w:val="16"/>
          <w:i w:val="1"/>
          <w:iCs w:val="1"/>
          <w:color w:val="auto"/>
        </w:rPr>
        <w:t xml:space="preserve">Car/Driver. </w:t>
      </w:r>
      <w:r>
        <w:rPr>
          <w:rFonts w:ascii="Arial" w:cs="Arial" w:eastAsia="Arial" w:hAnsi="Arial"/>
          <w:sz w:val="16"/>
          <w:szCs w:val="16"/>
          <w:color w:val="auto"/>
        </w:rPr>
        <w:t>A car and part-time driver is available for Mr. Miller’s limited use as needed for security purposes and so that he can work while in transit to</w:t>
      </w:r>
      <w:r>
        <w:rPr>
          <w:rFonts w:ascii="Arial" w:cs="Arial" w:eastAsia="Arial" w:hAnsi="Arial"/>
          <w:sz w:val="16"/>
          <w:szCs w:val="16"/>
          <w:i w:val="1"/>
          <w:iCs w:val="1"/>
          <w:color w:val="auto"/>
        </w:rPr>
        <w:t xml:space="preserve"> </w:t>
      </w:r>
      <w:r>
        <w:rPr>
          <w:rFonts w:ascii="Arial" w:cs="Arial" w:eastAsia="Arial" w:hAnsi="Arial"/>
          <w:sz w:val="16"/>
          <w:szCs w:val="16"/>
          <w:color w:val="auto"/>
        </w:rPr>
        <w:t>meet customers or attend business-related functions. In 2021, the cost to us for personal use was $6,253.</w:t>
      </w:r>
    </w:p>
    <w:p>
      <w:pPr>
        <w:spacing w:after="0" w:line="14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886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Grants of Plan-Based Awards in Fiscal 2021</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amounts associated with the 2021 cycle Performance Unit Program and the 2021 Annual Performance Pay Plan.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All Other</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Grant Date</w:t>
            </w:r>
          </w:p>
        </w:tc>
      </w:tr>
      <w:tr>
        <w:trPr>
          <w:trHeight w:val="189"/>
        </w:trPr>
        <w:tc>
          <w:tcPr>
            <w:tcW w:w="1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Stock Awards:</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r>
      <w:tr>
        <w:trPr>
          <w:trHeight w:val="189"/>
        </w:trPr>
        <w:tc>
          <w:tcPr>
            <w:tcW w:w="1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34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Estimated Future Payouts Under</w:t>
            </w:r>
          </w:p>
        </w:tc>
        <w:tc>
          <w:tcPr>
            <w:tcW w:w="302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auto"/>
              </w:rPr>
              <w:t>Estimated Future Payouts Under</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of Stock and</w:t>
            </w:r>
          </w:p>
        </w:tc>
      </w:tr>
      <w:tr>
        <w:trPr>
          <w:trHeight w:val="203"/>
        </w:trPr>
        <w:tc>
          <w:tcPr>
            <w:tcW w:w="1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980" w:type="dxa"/>
            <w:vAlign w:val="bottom"/>
            <w:tcBorders>
              <w:bottom w:val="single" w:sz="8" w:color="CB233C"/>
            </w:tcBorders>
            <w:gridSpan w:val="3"/>
          </w:tcPr>
          <w:p>
            <w:pPr>
              <w:jc w:val="right"/>
              <w:ind w:right="101"/>
              <w:spacing w:after="0"/>
              <w:rPr>
                <w:sz w:val="20"/>
                <w:szCs w:val="20"/>
                <w:color w:val="auto"/>
              </w:rPr>
            </w:pPr>
            <w:r>
              <w:rPr>
                <w:rFonts w:ascii="Arial" w:cs="Arial" w:eastAsia="Arial" w:hAnsi="Arial"/>
                <w:sz w:val="16"/>
                <w:szCs w:val="16"/>
                <w:b w:val="1"/>
                <w:bCs w:val="1"/>
                <w:color w:val="auto"/>
              </w:rPr>
              <w:t>Non-Equity Incentive Plan Awards</w:t>
            </w:r>
          </w:p>
        </w:tc>
        <w:tc>
          <w:tcPr>
            <w:tcW w:w="360" w:type="dxa"/>
            <w:vAlign w:val="bottom"/>
          </w:tcPr>
          <w:p>
            <w:pPr>
              <w:spacing w:after="0"/>
              <w:rPr>
                <w:sz w:val="17"/>
                <w:szCs w:val="17"/>
                <w:color w:val="auto"/>
              </w:rPr>
            </w:pPr>
          </w:p>
        </w:tc>
        <w:tc>
          <w:tcPr>
            <w:tcW w:w="2720" w:type="dxa"/>
            <w:vAlign w:val="bottom"/>
            <w:tcBorders>
              <w:bottom w:val="single" w:sz="8" w:color="CB233C"/>
            </w:tcBorders>
            <w:gridSpan w:val="3"/>
          </w:tcPr>
          <w:p>
            <w:pPr>
              <w:jc w:val="right"/>
              <w:ind w:right="161"/>
              <w:spacing w:after="0"/>
              <w:rPr>
                <w:sz w:val="20"/>
                <w:szCs w:val="20"/>
                <w:color w:val="auto"/>
              </w:rPr>
            </w:pPr>
            <w:r>
              <w:rPr>
                <w:rFonts w:ascii="Arial" w:cs="Arial" w:eastAsia="Arial" w:hAnsi="Arial"/>
                <w:sz w:val="16"/>
                <w:szCs w:val="16"/>
                <w:b w:val="1"/>
                <w:bCs w:val="1"/>
                <w:color w:val="auto"/>
              </w:rPr>
              <w:t>Equity Incentive Plan Awards</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Shares of</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Options</w:t>
            </w:r>
          </w:p>
        </w:tc>
      </w:tr>
      <w:tr>
        <w:trPr>
          <w:trHeight w:val="169"/>
        </w:trPr>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jc w:val="right"/>
              <w:ind w:right="19"/>
              <w:spacing w:after="0" w:line="169" w:lineRule="exact"/>
              <w:rPr>
                <w:sz w:val="20"/>
                <w:szCs w:val="20"/>
                <w:color w:val="auto"/>
              </w:rPr>
            </w:pPr>
            <w:r>
              <w:rPr>
                <w:rFonts w:ascii="Arial" w:cs="Arial" w:eastAsia="Arial" w:hAnsi="Arial"/>
                <w:sz w:val="16"/>
                <w:szCs w:val="16"/>
                <w:b w:val="1"/>
                <w:bCs w:val="1"/>
                <w:color w:val="auto"/>
              </w:rPr>
              <w:t>Threshold</w:t>
            </w:r>
          </w:p>
        </w:tc>
        <w:tc>
          <w:tcPr>
            <w:tcW w:w="102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rPr>
              <w:t>Target</w:t>
            </w:r>
          </w:p>
        </w:tc>
        <w:tc>
          <w:tcPr>
            <w:tcW w:w="1360" w:type="dxa"/>
            <w:vAlign w:val="bottom"/>
            <w:gridSpan w:val="2"/>
          </w:tcPr>
          <w:p>
            <w:pPr>
              <w:jc w:val="right"/>
              <w:ind w:right="360"/>
              <w:spacing w:after="0" w:line="169" w:lineRule="exact"/>
              <w:rPr>
                <w:sz w:val="20"/>
                <w:szCs w:val="20"/>
                <w:color w:val="auto"/>
              </w:rPr>
            </w:pPr>
            <w:r>
              <w:rPr>
                <w:rFonts w:ascii="Arial" w:cs="Arial" w:eastAsia="Arial" w:hAnsi="Arial"/>
                <w:sz w:val="16"/>
                <w:szCs w:val="16"/>
                <w:b w:val="1"/>
                <w:bCs w:val="1"/>
                <w:color w:val="auto"/>
              </w:rPr>
              <w:t>Maximum</w:t>
            </w:r>
          </w:p>
        </w:tc>
        <w:tc>
          <w:tcPr>
            <w:tcW w:w="1000" w:type="dxa"/>
            <w:vAlign w:val="bottom"/>
          </w:tcPr>
          <w:p>
            <w:pPr>
              <w:jc w:val="right"/>
              <w:ind w:right="59"/>
              <w:spacing w:after="0" w:line="169" w:lineRule="exact"/>
              <w:rPr>
                <w:sz w:val="20"/>
                <w:szCs w:val="20"/>
                <w:color w:val="auto"/>
              </w:rPr>
            </w:pPr>
            <w:r>
              <w:rPr>
                <w:rFonts w:ascii="Arial" w:cs="Arial" w:eastAsia="Arial" w:hAnsi="Arial"/>
                <w:sz w:val="16"/>
                <w:szCs w:val="16"/>
                <w:b w:val="1"/>
                <w:bCs w:val="1"/>
                <w:color w:val="auto"/>
              </w:rPr>
              <w:t>Threshold</w:t>
            </w:r>
          </w:p>
        </w:tc>
        <w:tc>
          <w:tcPr>
            <w:tcW w:w="860" w:type="dxa"/>
            <w:vAlign w:val="bottom"/>
          </w:tcPr>
          <w:p>
            <w:pPr>
              <w:jc w:val="right"/>
              <w:ind w:right="39"/>
              <w:spacing w:after="0" w:line="169" w:lineRule="exact"/>
              <w:rPr>
                <w:sz w:val="20"/>
                <w:szCs w:val="20"/>
                <w:color w:val="auto"/>
              </w:rPr>
            </w:pPr>
            <w:r>
              <w:rPr>
                <w:rFonts w:ascii="Arial" w:cs="Arial" w:eastAsia="Arial" w:hAnsi="Arial"/>
                <w:sz w:val="16"/>
                <w:szCs w:val="16"/>
                <w:b w:val="1"/>
                <w:bCs w:val="1"/>
                <w:color w:val="auto"/>
              </w:rPr>
              <w:t>Target</w:t>
            </w:r>
          </w:p>
        </w:tc>
        <w:tc>
          <w:tcPr>
            <w:tcW w:w="1160" w:type="dxa"/>
            <w:vAlign w:val="bottom"/>
            <w:gridSpan w:val="2"/>
          </w:tcPr>
          <w:p>
            <w:pPr>
              <w:jc w:val="right"/>
              <w:ind w:right="300"/>
              <w:spacing w:after="0" w:line="169" w:lineRule="exact"/>
              <w:rPr>
                <w:sz w:val="20"/>
                <w:szCs w:val="20"/>
                <w:color w:val="auto"/>
              </w:rPr>
            </w:pPr>
            <w:r>
              <w:rPr>
                <w:rFonts w:ascii="Arial" w:cs="Arial" w:eastAsia="Arial" w:hAnsi="Arial"/>
                <w:sz w:val="16"/>
                <w:szCs w:val="16"/>
                <w:b w:val="1"/>
                <w:bCs w:val="1"/>
                <w:color w:val="auto"/>
              </w:rPr>
              <w:t>Maximum</w:t>
            </w:r>
          </w:p>
        </w:tc>
        <w:tc>
          <w:tcPr>
            <w:tcW w:w="13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Stock or Units</w:t>
            </w:r>
          </w:p>
        </w:tc>
        <w:tc>
          <w:tcPr>
            <w:tcW w:w="108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Awards</w:t>
            </w:r>
          </w:p>
        </w:tc>
      </w:tr>
      <w:tr>
        <w:trPr>
          <w:trHeight w:val="229"/>
        </w:trPr>
        <w:tc>
          <w:tcPr>
            <w:tcW w:w="1440" w:type="dxa"/>
            <w:vAlign w:val="bottom"/>
            <w:tcBorders>
              <w:bottom w:val="single" w:sz="8" w:color="CB233C"/>
            </w:tcBorders>
          </w:tcPr>
          <w:p>
            <w:pPr>
              <w:ind w:left="40"/>
              <w:spacing w:after="0"/>
              <w:rPr>
                <w:sz w:val="20"/>
                <w:szCs w:val="20"/>
                <w:color w:val="auto"/>
              </w:rPr>
            </w:pPr>
            <w:r>
              <w:rPr>
                <w:rFonts w:ascii="Arial" w:cs="Arial" w:eastAsia="Arial" w:hAnsi="Arial"/>
                <w:sz w:val="16"/>
                <w:szCs w:val="16"/>
                <w:b w:val="1"/>
                <w:bCs w:val="1"/>
                <w:color w:val="auto"/>
              </w:rPr>
              <w:t>Name</w:t>
            </w:r>
          </w:p>
        </w:tc>
        <w:tc>
          <w:tcPr>
            <w:tcW w:w="1020" w:type="dxa"/>
            <w:vAlign w:val="bottom"/>
            <w:tcBorders>
              <w:bottom w:val="single" w:sz="8" w:color="CB233C"/>
            </w:tcBorders>
          </w:tcPr>
          <w:p>
            <w:pPr>
              <w:jc w:val="right"/>
              <w:ind w:right="59"/>
              <w:spacing w:after="0"/>
              <w:rPr>
                <w:sz w:val="20"/>
                <w:szCs w:val="20"/>
                <w:color w:val="auto"/>
              </w:rPr>
            </w:pPr>
            <w:r>
              <w:rPr>
                <w:rFonts w:ascii="Arial" w:cs="Arial" w:eastAsia="Arial" w:hAnsi="Arial"/>
                <w:sz w:val="16"/>
                <w:szCs w:val="16"/>
                <w:b w:val="1"/>
                <w:bCs w:val="1"/>
                <w:color w:val="auto"/>
              </w:rPr>
              <w:t>Grant Date</w:t>
            </w:r>
          </w:p>
        </w:tc>
        <w:tc>
          <w:tcPr>
            <w:tcW w:w="96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B233C"/>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CB233C"/>
            </w:tcBorders>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B233C"/>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B233C"/>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B233C"/>
            </w:tcBorders>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B233C"/>
            </w:tcBorders>
          </w:tcPr>
          <w:p>
            <w:pPr>
              <w:jc w:val="right"/>
              <w:spacing w:after="0" w:line="230"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(4)</w:t>
            </w:r>
          </w:p>
        </w:tc>
      </w:tr>
      <w:tr>
        <w:trPr>
          <w:trHeight w:val="223"/>
        </w:trPr>
        <w:tc>
          <w:tcPr>
            <w:tcW w:w="1440" w:type="dxa"/>
            <w:vAlign w:val="bottom"/>
          </w:tcPr>
          <w:p>
            <w:pPr>
              <w:ind w:left="40"/>
              <w:spacing w:after="0"/>
              <w:rPr>
                <w:sz w:val="20"/>
                <w:szCs w:val="20"/>
                <w:color w:val="auto"/>
              </w:rPr>
            </w:pPr>
            <w:r>
              <w:rPr>
                <w:rFonts w:ascii="Arial" w:cs="Arial" w:eastAsia="Arial" w:hAnsi="Arial"/>
                <w:sz w:val="16"/>
                <w:szCs w:val="16"/>
                <w:b w:val="1"/>
                <w:bCs w:val="1"/>
                <w:color w:val="auto"/>
              </w:rPr>
              <w:t>Jeffrey A. Miller</w:t>
            </w:r>
          </w:p>
        </w:tc>
        <w:tc>
          <w:tcPr>
            <w:tcW w:w="1020" w:type="dxa"/>
            <w:vAlign w:val="bottom"/>
            <w:tcBorders>
              <w:bottom w:val="single" w:sz="8" w:color="A7A9AC"/>
            </w:tcBorders>
          </w:tcPr>
          <w:p>
            <w:pPr>
              <w:spacing w:after="0"/>
              <w:rPr>
                <w:sz w:val="19"/>
                <w:szCs w:val="19"/>
                <w:color w:val="auto"/>
              </w:rPr>
            </w:pPr>
          </w:p>
        </w:tc>
        <w:tc>
          <w:tcPr>
            <w:tcW w:w="96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1,076,195</w:t>
            </w:r>
          </w:p>
        </w:tc>
        <w:tc>
          <w:tcPr>
            <w:tcW w:w="10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auto"/>
              </w:rPr>
              <w:t>4,304,780</w:t>
            </w:r>
          </w:p>
        </w:tc>
        <w:tc>
          <w:tcPr>
            <w:tcW w:w="1360" w:type="dxa"/>
            <w:vAlign w:val="bottom"/>
            <w:tcBorders>
              <w:bottom w:val="single" w:sz="8" w:color="A7A9AC"/>
            </w:tcBorders>
            <w:gridSpan w:val="2"/>
          </w:tcPr>
          <w:p>
            <w:pPr>
              <w:jc w:val="right"/>
              <w:ind w:right="200"/>
              <w:spacing w:after="0" w:line="223" w:lineRule="exact"/>
              <w:rPr>
                <w:sz w:val="20"/>
                <w:szCs w:val="20"/>
                <w:color w:val="auto"/>
              </w:rPr>
            </w:pPr>
            <w:r>
              <w:rPr>
                <w:rFonts w:ascii="Arial" w:cs="Arial" w:eastAsia="Arial" w:hAnsi="Arial"/>
                <w:sz w:val="16"/>
                <w:szCs w:val="16"/>
                <w:color w:val="auto"/>
              </w:rPr>
              <w:t>10,761,950</w:t>
            </w:r>
            <w:r>
              <w:rPr>
                <w:rFonts w:ascii="Arial" w:cs="Arial" w:eastAsia="Arial" w:hAnsi="Arial"/>
                <w:sz w:val="25"/>
                <w:szCs w:val="25"/>
                <w:color w:val="auto"/>
                <w:vertAlign w:val="superscript"/>
              </w:rPr>
              <w:t>(1)</w:t>
            </w:r>
          </w:p>
        </w:tc>
        <w:tc>
          <w:tcPr>
            <w:tcW w:w="1000" w:type="dxa"/>
            <w:vAlign w:val="bottom"/>
            <w:tcBorders>
              <w:bottom w:val="single" w:sz="8" w:color="A7A9AC"/>
            </w:tcBorders>
          </w:tcPr>
          <w:p>
            <w:pPr>
              <w:spacing w:after="0"/>
              <w:rPr>
                <w:sz w:val="19"/>
                <w:szCs w:val="19"/>
                <w:color w:val="auto"/>
              </w:rPr>
            </w:pPr>
          </w:p>
        </w:tc>
        <w:tc>
          <w:tcPr>
            <w:tcW w:w="860" w:type="dxa"/>
            <w:vAlign w:val="bottom"/>
            <w:tcBorders>
              <w:bottom w:val="single" w:sz="8" w:color="A7A9AC"/>
            </w:tcBorders>
          </w:tcPr>
          <w:p>
            <w:pPr>
              <w:spacing w:after="0"/>
              <w:rPr>
                <w:sz w:val="19"/>
                <w:szCs w:val="19"/>
                <w:color w:val="auto"/>
              </w:rPr>
            </w:pPr>
          </w:p>
        </w:tc>
        <w:tc>
          <w:tcPr>
            <w:tcW w:w="860" w:type="dxa"/>
            <w:vAlign w:val="bottom"/>
            <w:tcBorders>
              <w:bottom w:val="single" w:sz="8" w:color="A7A9AC"/>
            </w:tcBorders>
          </w:tcPr>
          <w:p>
            <w:pPr>
              <w:spacing w:after="0"/>
              <w:rPr>
                <w:sz w:val="19"/>
                <w:szCs w:val="19"/>
                <w:color w:val="auto"/>
              </w:rPr>
            </w:pPr>
          </w:p>
        </w:tc>
        <w:tc>
          <w:tcPr>
            <w:tcW w:w="300" w:type="dxa"/>
            <w:vAlign w:val="bottom"/>
            <w:tcBorders>
              <w:bottom w:val="single" w:sz="8" w:color="A7A9AC"/>
            </w:tcBorders>
          </w:tcPr>
          <w:p>
            <w:pPr>
              <w:spacing w:after="0"/>
              <w:rPr>
                <w:sz w:val="19"/>
                <w:szCs w:val="19"/>
                <w:color w:val="auto"/>
              </w:rPr>
            </w:pPr>
          </w:p>
        </w:tc>
        <w:tc>
          <w:tcPr>
            <w:tcW w:w="1340" w:type="dxa"/>
            <w:vAlign w:val="bottom"/>
            <w:tcBorders>
              <w:bottom w:val="single" w:sz="8" w:color="A7A9AC"/>
            </w:tcBorders>
          </w:tcPr>
          <w:p>
            <w:pPr>
              <w:spacing w:after="0"/>
              <w:rPr>
                <w:sz w:val="19"/>
                <w:szCs w:val="19"/>
                <w:color w:val="auto"/>
              </w:rPr>
            </w:pPr>
          </w:p>
        </w:tc>
        <w:tc>
          <w:tcPr>
            <w:tcW w:w="1080" w:type="dxa"/>
            <w:vAlign w:val="bottom"/>
            <w:tcBorders>
              <w:bottom w:val="single" w:sz="8" w:color="A7A9AC"/>
            </w:tcBorders>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1020" w:type="dxa"/>
            <w:vAlign w:val="bottom"/>
            <w:tcBorders>
              <w:bottom w:val="single" w:sz="8" w:color="A7A9AC"/>
            </w:tcBorders>
          </w:tcPr>
          <w:p>
            <w:pPr>
              <w:spacing w:after="0"/>
              <w:rPr>
                <w:sz w:val="19"/>
                <w:szCs w:val="19"/>
                <w:color w:val="auto"/>
              </w:rPr>
            </w:pPr>
          </w:p>
        </w:tc>
        <w:tc>
          <w:tcPr>
            <w:tcW w:w="96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900,000</w:t>
            </w:r>
          </w:p>
        </w:tc>
        <w:tc>
          <w:tcPr>
            <w:tcW w:w="10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auto"/>
              </w:rPr>
              <w:t>2,250,000</w:t>
            </w:r>
          </w:p>
        </w:tc>
        <w:tc>
          <w:tcPr>
            <w:tcW w:w="1360" w:type="dxa"/>
            <w:vAlign w:val="bottom"/>
            <w:tcBorders>
              <w:bottom w:val="single" w:sz="8" w:color="A7A9AC"/>
            </w:tcBorders>
            <w:gridSpan w:val="2"/>
          </w:tcPr>
          <w:p>
            <w:pPr>
              <w:jc w:val="right"/>
              <w:ind w:right="200"/>
              <w:spacing w:after="0" w:line="223" w:lineRule="exact"/>
              <w:rPr>
                <w:sz w:val="20"/>
                <w:szCs w:val="20"/>
                <w:color w:val="auto"/>
              </w:rPr>
            </w:pPr>
            <w:r>
              <w:rPr>
                <w:rFonts w:ascii="Arial" w:cs="Arial" w:eastAsia="Arial" w:hAnsi="Arial"/>
                <w:sz w:val="16"/>
                <w:szCs w:val="16"/>
                <w:color w:val="auto"/>
              </w:rPr>
              <w:t>4,500,000</w:t>
            </w:r>
            <w:r>
              <w:rPr>
                <w:rFonts w:ascii="Arial" w:cs="Arial" w:eastAsia="Arial" w:hAnsi="Arial"/>
                <w:sz w:val="25"/>
                <w:szCs w:val="25"/>
                <w:color w:val="auto"/>
                <w:vertAlign w:val="superscript"/>
              </w:rPr>
              <w:t>(2)</w:t>
            </w:r>
          </w:p>
        </w:tc>
        <w:tc>
          <w:tcPr>
            <w:tcW w:w="1000" w:type="dxa"/>
            <w:vAlign w:val="bottom"/>
            <w:tcBorders>
              <w:bottom w:val="single" w:sz="8" w:color="A7A9AC"/>
            </w:tcBorders>
          </w:tcPr>
          <w:p>
            <w:pPr>
              <w:spacing w:after="0"/>
              <w:rPr>
                <w:sz w:val="19"/>
                <w:szCs w:val="19"/>
                <w:color w:val="auto"/>
              </w:rPr>
            </w:pPr>
          </w:p>
        </w:tc>
        <w:tc>
          <w:tcPr>
            <w:tcW w:w="860" w:type="dxa"/>
            <w:vAlign w:val="bottom"/>
            <w:tcBorders>
              <w:bottom w:val="single" w:sz="8" w:color="A7A9AC"/>
            </w:tcBorders>
          </w:tcPr>
          <w:p>
            <w:pPr>
              <w:spacing w:after="0"/>
              <w:rPr>
                <w:sz w:val="19"/>
                <w:szCs w:val="19"/>
                <w:color w:val="auto"/>
              </w:rPr>
            </w:pPr>
          </w:p>
        </w:tc>
        <w:tc>
          <w:tcPr>
            <w:tcW w:w="860" w:type="dxa"/>
            <w:vAlign w:val="bottom"/>
            <w:tcBorders>
              <w:bottom w:val="single" w:sz="8" w:color="A7A9AC"/>
            </w:tcBorders>
          </w:tcPr>
          <w:p>
            <w:pPr>
              <w:spacing w:after="0"/>
              <w:rPr>
                <w:sz w:val="19"/>
                <w:szCs w:val="19"/>
                <w:color w:val="auto"/>
              </w:rPr>
            </w:pPr>
          </w:p>
        </w:tc>
        <w:tc>
          <w:tcPr>
            <w:tcW w:w="300" w:type="dxa"/>
            <w:vAlign w:val="bottom"/>
            <w:tcBorders>
              <w:bottom w:val="single" w:sz="8" w:color="A7A9AC"/>
            </w:tcBorders>
          </w:tcPr>
          <w:p>
            <w:pPr>
              <w:spacing w:after="0"/>
              <w:rPr>
                <w:sz w:val="19"/>
                <w:szCs w:val="19"/>
                <w:color w:val="auto"/>
              </w:rPr>
            </w:pPr>
          </w:p>
        </w:tc>
        <w:tc>
          <w:tcPr>
            <w:tcW w:w="1340" w:type="dxa"/>
            <w:vAlign w:val="bottom"/>
            <w:tcBorders>
              <w:bottom w:val="single" w:sz="8" w:color="A7A9AC"/>
            </w:tcBorders>
          </w:tcPr>
          <w:p>
            <w:pPr>
              <w:spacing w:after="0"/>
              <w:rPr>
                <w:sz w:val="19"/>
                <w:szCs w:val="19"/>
                <w:color w:val="auto"/>
              </w:rPr>
            </w:pPr>
          </w:p>
        </w:tc>
        <w:tc>
          <w:tcPr>
            <w:tcW w:w="1080" w:type="dxa"/>
            <w:vAlign w:val="bottom"/>
            <w:tcBorders>
              <w:bottom w:val="single" w:sz="8" w:color="A7A9AC"/>
            </w:tcBorders>
          </w:tcPr>
          <w:p>
            <w:pPr>
              <w:spacing w:after="0"/>
              <w:rPr>
                <w:sz w:val="19"/>
                <w:szCs w:val="19"/>
                <w:color w:val="auto"/>
              </w:rPr>
            </w:pPr>
          </w:p>
        </w:tc>
      </w:tr>
      <w:tr>
        <w:trPr>
          <w:trHeight w:val="223"/>
        </w:trPr>
        <w:tc>
          <w:tcPr>
            <w:tcW w:w="1440" w:type="dxa"/>
            <w:vAlign w:val="bottom"/>
            <w:tcBorders>
              <w:bottom w:val="single" w:sz="8" w:color="CB233C"/>
            </w:tcBorders>
          </w:tcPr>
          <w:p>
            <w:pPr>
              <w:spacing w:after="0"/>
              <w:rPr>
                <w:sz w:val="19"/>
                <w:szCs w:val="19"/>
                <w:color w:val="auto"/>
              </w:rPr>
            </w:pPr>
          </w:p>
        </w:tc>
        <w:tc>
          <w:tcPr>
            <w:tcW w:w="1020" w:type="dxa"/>
            <w:vAlign w:val="bottom"/>
            <w:tcBorders>
              <w:bottom w:val="single" w:sz="8" w:color="CB233C"/>
            </w:tcBorders>
          </w:tcPr>
          <w:p>
            <w:pPr>
              <w:jc w:val="right"/>
              <w:ind w:right="59"/>
              <w:spacing w:after="0"/>
              <w:rPr>
                <w:sz w:val="20"/>
                <w:szCs w:val="20"/>
                <w:color w:val="auto"/>
              </w:rPr>
            </w:pPr>
            <w:r>
              <w:rPr>
                <w:rFonts w:ascii="Arial" w:cs="Arial" w:eastAsia="Arial" w:hAnsi="Arial"/>
                <w:sz w:val="16"/>
                <w:szCs w:val="16"/>
                <w:color w:val="auto"/>
              </w:rPr>
              <w:t>1/4/2021</w:t>
            </w:r>
          </w:p>
        </w:tc>
        <w:tc>
          <w:tcPr>
            <w:tcW w:w="960" w:type="dxa"/>
            <w:vAlign w:val="bottom"/>
            <w:tcBorders>
              <w:bottom w:val="single" w:sz="8" w:color="CB233C"/>
            </w:tcBorders>
          </w:tcPr>
          <w:p>
            <w:pPr>
              <w:spacing w:after="0"/>
              <w:rPr>
                <w:sz w:val="19"/>
                <w:szCs w:val="19"/>
                <w:color w:val="auto"/>
              </w:rPr>
            </w:pPr>
          </w:p>
        </w:tc>
        <w:tc>
          <w:tcPr>
            <w:tcW w:w="1020" w:type="dxa"/>
            <w:vAlign w:val="bottom"/>
            <w:tcBorders>
              <w:bottom w:val="single" w:sz="8" w:color="CB233C"/>
            </w:tcBorders>
          </w:tcPr>
          <w:p>
            <w:pPr>
              <w:spacing w:after="0"/>
              <w:rPr>
                <w:sz w:val="19"/>
                <w:szCs w:val="19"/>
                <w:color w:val="auto"/>
              </w:rPr>
            </w:pPr>
          </w:p>
        </w:tc>
        <w:tc>
          <w:tcPr>
            <w:tcW w:w="1000" w:type="dxa"/>
            <w:vAlign w:val="bottom"/>
            <w:tcBorders>
              <w:bottom w:val="single" w:sz="8" w:color="CB233C"/>
            </w:tcBorders>
          </w:tcPr>
          <w:p>
            <w:pPr>
              <w:spacing w:after="0"/>
              <w:rPr>
                <w:sz w:val="19"/>
                <w:szCs w:val="19"/>
                <w:color w:val="auto"/>
              </w:rPr>
            </w:pPr>
          </w:p>
        </w:tc>
        <w:tc>
          <w:tcPr>
            <w:tcW w:w="360" w:type="dxa"/>
            <w:vAlign w:val="bottom"/>
            <w:tcBorders>
              <w:bottom w:val="single" w:sz="8" w:color="CB233C"/>
            </w:tcBorders>
          </w:tcPr>
          <w:p>
            <w:pPr>
              <w:spacing w:after="0"/>
              <w:rPr>
                <w:sz w:val="19"/>
                <w:szCs w:val="19"/>
                <w:color w:val="auto"/>
              </w:rPr>
            </w:pPr>
          </w:p>
        </w:tc>
        <w:tc>
          <w:tcPr>
            <w:tcW w:w="1000" w:type="dxa"/>
            <w:vAlign w:val="bottom"/>
            <w:tcBorders>
              <w:bottom w:val="single" w:sz="8" w:color="CB233C"/>
            </w:tcBorders>
          </w:tcPr>
          <w:p>
            <w:pPr>
              <w:jc w:val="right"/>
              <w:ind w:right="59"/>
              <w:spacing w:after="0"/>
              <w:rPr>
                <w:sz w:val="20"/>
                <w:szCs w:val="20"/>
                <w:color w:val="auto"/>
              </w:rPr>
            </w:pPr>
            <w:r>
              <w:rPr>
                <w:rFonts w:ascii="Arial" w:cs="Arial" w:eastAsia="Arial" w:hAnsi="Arial"/>
                <w:sz w:val="16"/>
                <w:szCs w:val="16"/>
                <w:color w:val="auto"/>
              </w:rPr>
              <w:t>77,700</w:t>
            </w:r>
          </w:p>
        </w:tc>
        <w:tc>
          <w:tcPr>
            <w:tcW w:w="860" w:type="dxa"/>
            <w:vAlign w:val="bottom"/>
            <w:tcBorders>
              <w:bottom w:val="single" w:sz="8" w:color="CB233C"/>
            </w:tcBorders>
          </w:tcPr>
          <w:p>
            <w:pPr>
              <w:jc w:val="right"/>
              <w:ind w:right="39"/>
              <w:spacing w:after="0"/>
              <w:rPr>
                <w:sz w:val="20"/>
                <w:szCs w:val="20"/>
                <w:color w:val="auto"/>
              </w:rPr>
            </w:pPr>
            <w:r>
              <w:rPr>
                <w:rFonts w:ascii="Arial" w:cs="Arial" w:eastAsia="Arial" w:hAnsi="Arial"/>
                <w:sz w:val="16"/>
                <w:szCs w:val="16"/>
                <w:color w:val="auto"/>
              </w:rPr>
              <w:t>310,800</w:t>
            </w:r>
          </w:p>
        </w:tc>
        <w:tc>
          <w:tcPr>
            <w:tcW w:w="1160" w:type="dxa"/>
            <w:vAlign w:val="bottom"/>
            <w:tcBorders>
              <w:bottom w:val="single" w:sz="8" w:color="CB233C"/>
            </w:tcBorders>
            <w:gridSpan w:val="2"/>
          </w:tcPr>
          <w:p>
            <w:pPr>
              <w:jc w:val="right"/>
              <w:ind w:right="140"/>
              <w:spacing w:after="0" w:line="223" w:lineRule="exact"/>
              <w:rPr>
                <w:sz w:val="20"/>
                <w:szCs w:val="20"/>
                <w:color w:val="auto"/>
              </w:rPr>
            </w:pPr>
            <w:r>
              <w:rPr>
                <w:rFonts w:ascii="Arial" w:cs="Arial" w:eastAsia="Arial" w:hAnsi="Arial"/>
                <w:sz w:val="16"/>
                <w:szCs w:val="16"/>
                <w:color w:val="auto"/>
              </w:rPr>
              <w:t>777,000</w:t>
            </w:r>
            <w:r>
              <w:rPr>
                <w:rFonts w:ascii="Arial" w:cs="Arial" w:eastAsia="Arial" w:hAnsi="Arial"/>
                <w:sz w:val="25"/>
                <w:szCs w:val="25"/>
                <w:color w:val="auto"/>
                <w:vertAlign w:val="superscript"/>
              </w:rPr>
              <w:t>(3)</w:t>
            </w:r>
          </w:p>
        </w:tc>
        <w:tc>
          <w:tcPr>
            <w:tcW w:w="1340" w:type="dxa"/>
            <w:vAlign w:val="bottom"/>
            <w:tcBorders>
              <w:bottom w:val="single" w:sz="8" w:color="CB233C"/>
            </w:tcBorders>
          </w:tcPr>
          <w:p>
            <w:pPr>
              <w:spacing w:after="0"/>
              <w:rPr>
                <w:sz w:val="19"/>
                <w:szCs w:val="19"/>
                <w:color w:val="auto"/>
              </w:rPr>
            </w:pPr>
          </w:p>
        </w:tc>
        <w:tc>
          <w:tcPr>
            <w:tcW w:w="108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6,300,070</w:t>
            </w:r>
          </w:p>
        </w:tc>
      </w:tr>
      <w:tr>
        <w:trPr>
          <w:trHeight w:val="223"/>
        </w:trPr>
        <w:tc>
          <w:tcPr>
            <w:tcW w:w="1440" w:type="dxa"/>
            <w:vAlign w:val="bottom"/>
          </w:tcPr>
          <w:p>
            <w:pPr>
              <w:ind w:left="40"/>
              <w:spacing w:after="0"/>
              <w:rPr>
                <w:sz w:val="20"/>
                <w:szCs w:val="20"/>
                <w:color w:val="auto"/>
              </w:rPr>
            </w:pPr>
            <w:r>
              <w:rPr>
                <w:rFonts w:ascii="Arial" w:cs="Arial" w:eastAsia="Arial" w:hAnsi="Arial"/>
                <w:sz w:val="16"/>
                <w:szCs w:val="16"/>
                <w:b w:val="1"/>
                <w:bCs w:val="1"/>
                <w:color w:val="auto"/>
              </w:rPr>
              <w:t>Lance Loeffler</w:t>
            </w:r>
          </w:p>
        </w:tc>
        <w:tc>
          <w:tcPr>
            <w:tcW w:w="1020" w:type="dxa"/>
            <w:vAlign w:val="bottom"/>
            <w:tcBorders>
              <w:bottom w:val="single" w:sz="8" w:color="A7A9AC"/>
            </w:tcBorders>
          </w:tcPr>
          <w:p>
            <w:pPr>
              <w:spacing w:after="0"/>
              <w:rPr>
                <w:sz w:val="19"/>
                <w:szCs w:val="19"/>
                <w:color w:val="auto"/>
              </w:rPr>
            </w:pPr>
          </w:p>
        </w:tc>
        <w:tc>
          <w:tcPr>
            <w:tcW w:w="96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301,768</w:t>
            </w:r>
          </w:p>
        </w:tc>
        <w:tc>
          <w:tcPr>
            <w:tcW w:w="10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auto"/>
              </w:rPr>
              <w:t>1,207,070</w:t>
            </w:r>
          </w:p>
        </w:tc>
        <w:tc>
          <w:tcPr>
            <w:tcW w:w="1360" w:type="dxa"/>
            <w:vAlign w:val="bottom"/>
            <w:tcBorders>
              <w:bottom w:val="single" w:sz="8" w:color="A7A9AC"/>
            </w:tcBorders>
            <w:gridSpan w:val="2"/>
          </w:tcPr>
          <w:p>
            <w:pPr>
              <w:jc w:val="right"/>
              <w:ind w:right="200"/>
              <w:spacing w:after="0" w:line="223" w:lineRule="exact"/>
              <w:rPr>
                <w:sz w:val="20"/>
                <w:szCs w:val="20"/>
                <w:color w:val="auto"/>
              </w:rPr>
            </w:pPr>
            <w:r>
              <w:rPr>
                <w:rFonts w:ascii="Arial" w:cs="Arial" w:eastAsia="Arial" w:hAnsi="Arial"/>
                <w:sz w:val="16"/>
                <w:szCs w:val="16"/>
                <w:color w:val="auto"/>
              </w:rPr>
              <w:t>3,017,675</w:t>
            </w:r>
            <w:r>
              <w:rPr>
                <w:rFonts w:ascii="Arial" w:cs="Arial" w:eastAsia="Arial" w:hAnsi="Arial"/>
                <w:sz w:val="25"/>
                <w:szCs w:val="25"/>
                <w:color w:val="auto"/>
                <w:vertAlign w:val="superscript"/>
              </w:rPr>
              <w:t>(1)</w:t>
            </w:r>
          </w:p>
        </w:tc>
        <w:tc>
          <w:tcPr>
            <w:tcW w:w="1000" w:type="dxa"/>
            <w:vAlign w:val="bottom"/>
            <w:tcBorders>
              <w:bottom w:val="single" w:sz="8" w:color="A7A9AC"/>
            </w:tcBorders>
          </w:tcPr>
          <w:p>
            <w:pPr>
              <w:spacing w:after="0"/>
              <w:rPr>
                <w:sz w:val="19"/>
                <w:szCs w:val="19"/>
                <w:color w:val="auto"/>
              </w:rPr>
            </w:pPr>
          </w:p>
        </w:tc>
        <w:tc>
          <w:tcPr>
            <w:tcW w:w="860" w:type="dxa"/>
            <w:vAlign w:val="bottom"/>
            <w:tcBorders>
              <w:bottom w:val="single" w:sz="8" w:color="A7A9AC"/>
            </w:tcBorders>
          </w:tcPr>
          <w:p>
            <w:pPr>
              <w:spacing w:after="0"/>
              <w:rPr>
                <w:sz w:val="19"/>
                <w:szCs w:val="19"/>
                <w:color w:val="auto"/>
              </w:rPr>
            </w:pPr>
          </w:p>
        </w:tc>
        <w:tc>
          <w:tcPr>
            <w:tcW w:w="860" w:type="dxa"/>
            <w:vAlign w:val="bottom"/>
            <w:tcBorders>
              <w:bottom w:val="single" w:sz="8" w:color="A7A9AC"/>
            </w:tcBorders>
          </w:tcPr>
          <w:p>
            <w:pPr>
              <w:spacing w:after="0"/>
              <w:rPr>
                <w:sz w:val="19"/>
                <w:szCs w:val="19"/>
                <w:color w:val="auto"/>
              </w:rPr>
            </w:pPr>
          </w:p>
        </w:tc>
        <w:tc>
          <w:tcPr>
            <w:tcW w:w="300" w:type="dxa"/>
            <w:vAlign w:val="bottom"/>
            <w:tcBorders>
              <w:bottom w:val="single" w:sz="8" w:color="A7A9AC"/>
            </w:tcBorders>
          </w:tcPr>
          <w:p>
            <w:pPr>
              <w:spacing w:after="0"/>
              <w:rPr>
                <w:sz w:val="19"/>
                <w:szCs w:val="19"/>
                <w:color w:val="auto"/>
              </w:rPr>
            </w:pPr>
          </w:p>
        </w:tc>
        <w:tc>
          <w:tcPr>
            <w:tcW w:w="1340" w:type="dxa"/>
            <w:vAlign w:val="bottom"/>
            <w:tcBorders>
              <w:bottom w:val="single" w:sz="8" w:color="A7A9AC"/>
            </w:tcBorders>
          </w:tcPr>
          <w:p>
            <w:pPr>
              <w:spacing w:after="0"/>
              <w:rPr>
                <w:sz w:val="19"/>
                <w:szCs w:val="19"/>
                <w:color w:val="auto"/>
              </w:rPr>
            </w:pPr>
          </w:p>
        </w:tc>
        <w:tc>
          <w:tcPr>
            <w:tcW w:w="1080" w:type="dxa"/>
            <w:vAlign w:val="bottom"/>
            <w:tcBorders>
              <w:bottom w:val="single" w:sz="8" w:color="A7A9AC"/>
            </w:tcBorders>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1020" w:type="dxa"/>
            <w:vAlign w:val="bottom"/>
            <w:tcBorders>
              <w:bottom w:val="single" w:sz="8" w:color="A7A9AC"/>
            </w:tcBorders>
          </w:tcPr>
          <w:p>
            <w:pPr>
              <w:spacing w:after="0"/>
              <w:rPr>
                <w:sz w:val="19"/>
                <w:szCs w:val="19"/>
                <w:color w:val="auto"/>
              </w:rPr>
            </w:pPr>
          </w:p>
        </w:tc>
        <w:tc>
          <w:tcPr>
            <w:tcW w:w="96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304,000</w:t>
            </w:r>
          </w:p>
        </w:tc>
        <w:tc>
          <w:tcPr>
            <w:tcW w:w="10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auto"/>
              </w:rPr>
              <w:t>760,000</w:t>
            </w:r>
          </w:p>
        </w:tc>
        <w:tc>
          <w:tcPr>
            <w:tcW w:w="1360" w:type="dxa"/>
            <w:vAlign w:val="bottom"/>
            <w:tcBorders>
              <w:bottom w:val="single" w:sz="8" w:color="A7A9AC"/>
            </w:tcBorders>
            <w:gridSpan w:val="2"/>
          </w:tcPr>
          <w:p>
            <w:pPr>
              <w:jc w:val="right"/>
              <w:ind w:right="200"/>
              <w:spacing w:after="0" w:line="223" w:lineRule="exact"/>
              <w:rPr>
                <w:sz w:val="20"/>
                <w:szCs w:val="20"/>
                <w:color w:val="auto"/>
              </w:rPr>
            </w:pPr>
            <w:r>
              <w:rPr>
                <w:rFonts w:ascii="Arial" w:cs="Arial" w:eastAsia="Arial" w:hAnsi="Arial"/>
                <w:sz w:val="16"/>
                <w:szCs w:val="16"/>
                <w:color w:val="auto"/>
              </w:rPr>
              <w:t>1,520,000</w:t>
            </w:r>
            <w:r>
              <w:rPr>
                <w:rFonts w:ascii="Arial" w:cs="Arial" w:eastAsia="Arial" w:hAnsi="Arial"/>
                <w:sz w:val="25"/>
                <w:szCs w:val="25"/>
                <w:color w:val="auto"/>
                <w:vertAlign w:val="superscript"/>
              </w:rPr>
              <w:t>(2)</w:t>
            </w:r>
          </w:p>
        </w:tc>
        <w:tc>
          <w:tcPr>
            <w:tcW w:w="1000" w:type="dxa"/>
            <w:vAlign w:val="bottom"/>
            <w:tcBorders>
              <w:bottom w:val="single" w:sz="8" w:color="A7A9AC"/>
            </w:tcBorders>
          </w:tcPr>
          <w:p>
            <w:pPr>
              <w:spacing w:after="0"/>
              <w:rPr>
                <w:sz w:val="19"/>
                <w:szCs w:val="19"/>
                <w:color w:val="auto"/>
              </w:rPr>
            </w:pPr>
          </w:p>
        </w:tc>
        <w:tc>
          <w:tcPr>
            <w:tcW w:w="860" w:type="dxa"/>
            <w:vAlign w:val="bottom"/>
            <w:tcBorders>
              <w:bottom w:val="single" w:sz="8" w:color="A7A9AC"/>
            </w:tcBorders>
          </w:tcPr>
          <w:p>
            <w:pPr>
              <w:spacing w:after="0"/>
              <w:rPr>
                <w:sz w:val="19"/>
                <w:szCs w:val="19"/>
                <w:color w:val="auto"/>
              </w:rPr>
            </w:pPr>
          </w:p>
        </w:tc>
        <w:tc>
          <w:tcPr>
            <w:tcW w:w="860" w:type="dxa"/>
            <w:vAlign w:val="bottom"/>
            <w:tcBorders>
              <w:bottom w:val="single" w:sz="8" w:color="A7A9AC"/>
            </w:tcBorders>
          </w:tcPr>
          <w:p>
            <w:pPr>
              <w:spacing w:after="0"/>
              <w:rPr>
                <w:sz w:val="19"/>
                <w:szCs w:val="19"/>
                <w:color w:val="auto"/>
              </w:rPr>
            </w:pPr>
          </w:p>
        </w:tc>
        <w:tc>
          <w:tcPr>
            <w:tcW w:w="300" w:type="dxa"/>
            <w:vAlign w:val="bottom"/>
            <w:tcBorders>
              <w:bottom w:val="single" w:sz="8" w:color="A7A9AC"/>
            </w:tcBorders>
          </w:tcPr>
          <w:p>
            <w:pPr>
              <w:spacing w:after="0"/>
              <w:rPr>
                <w:sz w:val="19"/>
                <w:szCs w:val="19"/>
                <w:color w:val="auto"/>
              </w:rPr>
            </w:pPr>
          </w:p>
        </w:tc>
        <w:tc>
          <w:tcPr>
            <w:tcW w:w="1340" w:type="dxa"/>
            <w:vAlign w:val="bottom"/>
            <w:tcBorders>
              <w:bottom w:val="single" w:sz="8" w:color="A7A9AC"/>
            </w:tcBorders>
          </w:tcPr>
          <w:p>
            <w:pPr>
              <w:spacing w:after="0"/>
              <w:rPr>
                <w:sz w:val="19"/>
                <w:szCs w:val="19"/>
                <w:color w:val="auto"/>
              </w:rPr>
            </w:pPr>
          </w:p>
        </w:tc>
        <w:tc>
          <w:tcPr>
            <w:tcW w:w="1080" w:type="dxa"/>
            <w:vAlign w:val="bottom"/>
            <w:tcBorders>
              <w:bottom w:val="single" w:sz="8" w:color="A7A9AC"/>
            </w:tcBorders>
          </w:tcPr>
          <w:p>
            <w:pPr>
              <w:spacing w:after="0"/>
              <w:rPr>
                <w:sz w:val="19"/>
                <w:szCs w:val="19"/>
                <w:color w:val="auto"/>
              </w:rPr>
            </w:pPr>
          </w:p>
        </w:tc>
      </w:tr>
      <w:tr>
        <w:trPr>
          <w:trHeight w:val="223"/>
        </w:trPr>
        <w:tc>
          <w:tcPr>
            <w:tcW w:w="1440" w:type="dxa"/>
            <w:vAlign w:val="bottom"/>
            <w:tcBorders>
              <w:bottom w:val="single" w:sz="8" w:color="CB233C"/>
            </w:tcBorders>
          </w:tcPr>
          <w:p>
            <w:pPr>
              <w:spacing w:after="0"/>
              <w:rPr>
                <w:sz w:val="19"/>
                <w:szCs w:val="19"/>
                <w:color w:val="auto"/>
              </w:rPr>
            </w:pPr>
          </w:p>
        </w:tc>
        <w:tc>
          <w:tcPr>
            <w:tcW w:w="1020" w:type="dxa"/>
            <w:vAlign w:val="bottom"/>
            <w:tcBorders>
              <w:bottom w:val="single" w:sz="8" w:color="CB233C"/>
            </w:tcBorders>
          </w:tcPr>
          <w:p>
            <w:pPr>
              <w:jc w:val="right"/>
              <w:ind w:right="59"/>
              <w:spacing w:after="0"/>
              <w:rPr>
                <w:sz w:val="20"/>
                <w:szCs w:val="20"/>
                <w:color w:val="auto"/>
              </w:rPr>
            </w:pPr>
            <w:r>
              <w:rPr>
                <w:rFonts w:ascii="Arial" w:cs="Arial" w:eastAsia="Arial" w:hAnsi="Arial"/>
                <w:sz w:val="16"/>
                <w:szCs w:val="16"/>
                <w:color w:val="auto"/>
              </w:rPr>
              <w:t>1/4/2021</w:t>
            </w:r>
          </w:p>
        </w:tc>
        <w:tc>
          <w:tcPr>
            <w:tcW w:w="960" w:type="dxa"/>
            <w:vAlign w:val="bottom"/>
            <w:tcBorders>
              <w:bottom w:val="single" w:sz="8" w:color="CB233C"/>
            </w:tcBorders>
          </w:tcPr>
          <w:p>
            <w:pPr>
              <w:spacing w:after="0"/>
              <w:rPr>
                <w:sz w:val="19"/>
                <w:szCs w:val="19"/>
                <w:color w:val="auto"/>
              </w:rPr>
            </w:pPr>
          </w:p>
        </w:tc>
        <w:tc>
          <w:tcPr>
            <w:tcW w:w="1020" w:type="dxa"/>
            <w:vAlign w:val="bottom"/>
            <w:tcBorders>
              <w:bottom w:val="single" w:sz="8" w:color="CB233C"/>
            </w:tcBorders>
          </w:tcPr>
          <w:p>
            <w:pPr>
              <w:spacing w:after="0"/>
              <w:rPr>
                <w:sz w:val="19"/>
                <w:szCs w:val="19"/>
                <w:color w:val="auto"/>
              </w:rPr>
            </w:pPr>
          </w:p>
        </w:tc>
        <w:tc>
          <w:tcPr>
            <w:tcW w:w="1000" w:type="dxa"/>
            <w:vAlign w:val="bottom"/>
            <w:tcBorders>
              <w:bottom w:val="single" w:sz="8" w:color="CB233C"/>
            </w:tcBorders>
          </w:tcPr>
          <w:p>
            <w:pPr>
              <w:spacing w:after="0"/>
              <w:rPr>
                <w:sz w:val="19"/>
                <w:szCs w:val="19"/>
                <w:color w:val="auto"/>
              </w:rPr>
            </w:pPr>
          </w:p>
        </w:tc>
        <w:tc>
          <w:tcPr>
            <w:tcW w:w="360" w:type="dxa"/>
            <w:vAlign w:val="bottom"/>
            <w:tcBorders>
              <w:bottom w:val="single" w:sz="8" w:color="CB233C"/>
            </w:tcBorders>
          </w:tcPr>
          <w:p>
            <w:pPr>
              <w:spacing w:after="0"/>
              <w:rPr>
                <w:sz w:val="19"/>
                <w:szCs w:val="19"/>
                <w:color w:val="auto"/>
              </w:rPr>
            </w:pPr>
          </w:p>
        </w:tc>
        <w:tc>
          <w:tcPr>
            <w:tcW w:w="1000" w:type="dxa"/>
            <w:vAlign w:val="bottom"/>
            <w:tcBorders>
              <w:bottom w:val="single" w:sz="8" w:color="CB233C"/>
            </w:tcBorders>
          </w:tcPr>
          <w:p>
            <w:pPr>
              <w:jc w:val="right"/>
              <w:ind w:right="59"/>
              <w:spacing w:after="0"/>
              <w:rPr>
                <w:sz w:val="20"/>
                <w:szCs w:val="20"/>
                <w:color w:val="auto"/>
              </w:rPr>
            </w:pPr>
            <w:r>
              <w:rPr>
                <w:rFonts w:ascii="Arial" w:cs="Arial" w:eastAsia="Arial" w:hAnsi="Arial"/>
                <w:sz w:val="16"/>
                <w:szCs w:val="16"/>
                <w:color w:val="auto"/>
              </w:rPr>
              <w:t>21,775</w:t>
            </w:r>
          </w:p>
        </w:tc>
        <w:tc>
          <w:tcPr>
            <w:tcW w:w="860" w:type="dxa"/>
            <w:vAlign w:val="bottom"/>
            <w:tcBorders>
              <w:bottom w:val="single" w:sz="8" w:color="CB233C"/>
            </w:tcBorders>
          </w:tcPr>
          <w:p>
            <w:pPr>
              <w:jc w:val="right"/>
              <w:ind w:right="39"/>
              <w:spacing w:after="0"/>
              <w:rPr>
                <w:sz w:val="20"/>
                <w:szCs w:val="20"/>
                <w:color w:val="auto"/>
              </w:rPr>
            </w:pPr>
            <w:r>
              <w:rPr>
                <w:rFonts w:ascii="Arial" w:cs="Arial" w:eastAsia="Arial" w:hAnsi="Arial"/>
                <w:sz w:val="16"/>
                <w:szCs w:val="16"/>
                <w:color w:val="auto"/>
              </w:rPr>
              <w:t>87,100</w:t>
            </w:r>
          </w:p>
        </w:tc>
        <w:tc>
          <w:tcPr>
            <w:tcW w:w="1160" w:type="dxa"/>
            <w:vAlign w:val="bottom"/>
            <w:tcBorders>
              <w:bottom w:val="single" w:sz="8" w:color="CB233C"/>
            </w:tcBorders>
            <w:gridSpan w:val="2"/>
          </w:tcPr>
          <w:p>
            <w:pPr>
              <w:jc w:val="right"/>
              <w:ind w:right="140"/>
              <w:spacing w:after="0" w:line="223" w:lineRule="exact"/>
              <w:rPr>
                <w:sz w:val="20"/>
                <w:szCs w:val="20"/>
                <w:color w:val="auto"/>
              </w:rPr>
            </w:pPr>
            <w:r>
              <w:rPr>
                <w:rFonts w:ascii="Arial" w:cs="Arial" w:eastAsia="Arial" w:hAnsi="Arial"/>
                <w:sz w:val="16"/>
                <w:szCs w:val="16"/>
                <w:color w:val="auto"/>
              </w:rPr>
              <w:t>217,750</w:t>
            </w:r>
            <w:r>
              <w:rPr>
                <w:rFonts w:ascii="Arial" w:cs="Arial" w:eastAsia="Arial" w:hAnsi="Arial"/>
                <w:sz w:val="25"/>
                <w:szCs w:val="25"/>
                <w:color w:val="auto"/>
                <w:vertAlign w:val="superscript"/>
              </w:rPr>
              <w:t>(3)</w:t>
            </w:r>
          </w:p>
        </w:tc>
        <w:tc>
          <w:tcPr>
            <w:tcW w:w="1340" w:type="dxa"/>
            <w:vAlign w:val="bottom"/>
            <w:tcBorders>
              <w:bottom w:val="single" w:sz="8" w:color="CB233C"/>
            </w:tcBorders>
          </w:tcPr>
          <w:p>
            <w:pPr>
              <w:spacing w:after="0"/>
              <w:rPr>
                <w:sz w:val="19"/>
                <w:szCs w:val="19"/>
                <w:color w:val="auto"/>
              </w:rPr>
            </w:pPr>
          </w:p>
        </w:tc>
        <w:tc>
          <w:tcPr>
            <w:tcW w:w="108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1,765,560</w:t>
            </w:r>
          </w:p>
        </w:tc>
      </w:tr>
      <w:tr>
        <w:trPr>
          <w:trHeight w:val="223"/>
        </w:trPr>
        <w:tc>
          <w:tcPr>
            <w:tcW w:w="1440" w:type="dxa"/>
            <w:vAlign w:val="bottom"/>
          </w:tcPr>
          <w:p>
            <w:pPr>
              <w:ind w:left="40"/>
              <w:spacing w:after="0"/>
              <w:rPr>
                <w:sz w:val="20"/>
                <w:szCs w:val="20"/>
                <w:color w:val="auto"/>
              </w:rPr>
            </w:pPr>
            <w:r>
              <w:rPr>
                <w:rFonts w:ascii="Arial" w:cs="Arial" w:eastAsia="Arial" w:hAnsi="Arial"/>
                <w:sz w:val="16"/>
                <w:szCs w:val="16"/>
                <w:b w:val="1"/>
                <w:bCs w:val="1"/>
                <w:color w:val="auto"/>
              </w:rPr>
              <w:t>Eric J. Carre</w:t>
            </w:r>
          </w:p>
        </w:tc>
        <w:tc>
          <w:tcPr>
            <w:tcW w:w="1020" w:type="dxa"/>
            <w:vAlign w:val="bottom"/>
            <w:tcBorders>
              <w:bottom w:val="single" w:sz="8" w:color="A7A9AC"/>
            </w:tcBorders>
          </w:tcPr>
          <w:p>
            <w:pPr>
              <w:spacing w:after="0"/>
              <w:rPr>
                <w:sz w:val="19"/>
                <w:szCs w:val="19"/>
                <w:color w:val="auto"/>
              </w:rPr>
            </w:pPr>
          </w:p>
        </w:tc>
        <w:tc>
          <w:tcPr>
            <w:tcW w:w="96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292,426</w:t>
            </w:r>
          </w:p>
        </w:tc>
        <w:tc>
          <w:tcPr>
            <w:tcW w:w="10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auto"/>
              </w:rPr>
              <w:t>1,169,705</w:t>
            </w:r>
          </w:p>
        </w:tc>
        <w:tc>
          <w:tcPr>
            <w:tcW w:w="1360" w:type="dxa"/>
            <w:vAlign w:val="bottom"/>
            <w:tcBorders>
              <w:bottom w:val="single" w:sz="8" w:color="A7A9AC"/>
            </w:tcBorders>
            <w:gridSpan w:val="2"/>
          </w:tcPr>
          <w:p>
            <w:pPr>
              <w:jc w:val="right"/>
              <w:ind w:right="200"/>
              <w:spacing w:after="0" w:line="223" w:lineRule="exact"/>
              <w:rPr>
                <w:sz w:val="20"/>
                <w:szCs w:val="20"/>
                <w:color w:val="auto"/>
              </w:rPr>
            </w:pPr>
            <w:r>
              <w:rPr>
                <w:rFonts w:ascii="Arial" w:cs="Arial" w:eastAsia="Arial" w:hAnsi="Arial"/>
                <w:sz w:val="16"/>
                <w:szCs w:val="16"/>
                <w:color w:val="auto"/>
              </w:rPr>
              <w:t>2,924,263</w:t>
            </w:r>
            <w:r>
              <w:rPr>
                <w:rFonts w:ascii="Arial" w:cs="Arial" w:eastAsia="Arial" w:hAnsi="Arial"/>
                <w:sz w:val="25"/>
                <w:szCs w:val="25"/>
                <w:color w:val="auto"/>
                <w:vertAlign w:val="superscript"/>
              </w:rPr>
              <w:t>(1)</w:t>
            </w:r>
          </w:p>
        </w:tc>
        <w:tc>
          <w:tcPr>
            <w:tcW w:w="1000" w:type="dxa"/>
            <w:vAlign w:val="bottom"/>
            <w:tcBorders>
              <w:bottom w:val="single" w:sz="8" w:color="A7A9AC"/>
            </w:tcBorders>
          </w:tcPr>
          <w:p>
            <w:pPr>
              <w:spacing w:after="0"/>
              <w:rPr>
                <w:sz w:val="19"/>
                <w:szCs w:val="19"/>
                <w:color w:val="auto"/>
              </w:rPr>
            </w:pPr>
          </w:p>
        </w:tc>
        <w:tc>
          <w:tcPr>
            <w:tcW w:w="860" w:type="dxa"/>
            <w:vAlign w:val="bottom"/>
            <w:tcBorders>
              <w:bottom w:val="single" w:sz="8" w:color="A7A9AC"/>
            </w:tcBorders>
          </w:tcPr>
          <w:p>
            <w:pPr>
              <w:spacing w:after="0"/>
              <w:rPr>
                <w:sz w:val="19"/>
                <w:szCs w:val="19"/>
                <w:color w:val="auto"/>
              </w:rPr>
            </w:pPr>
          </w:p>
        </w:tc>
        <w:tc>
          <w:tcPr>
            <w:tcW w:w="860" w:type="dxa"/>
            <w:vAlign w:val="bottom"/>
            <w:tcBorders>
              <w:bottom w:val="single" w:sz="8" w:color="A7A9AC"/>
            </w:tcBorders>
          </w:tcPr>
          <w:p>
            <w:pPr>
              <w:spacing w:after="0"/>
              <w:rPr>
                <w:sz w:val="19"/>
                <w:szCs w:val="19"/>
                <w:color w:val="auto"/>
              </w:rPr>
            </w:pPr>
          </w:p>
        </w:tc>
        <w:tc>
          <w:tcPr>
            <w:tcW w:w="300" w:type="dxa"/>
            <w:vAlign w:val="bottom"/>
            <w:tcBorders>
              <w:bottom w:val="single" w:sz="8" w:color="A7A9AC"/>
            </w:tcBorders>
          </w:tcPr>
          <w:p>
            <w:pPr>
              <w:spacing w:after="0"/>
              <w:rPr>
                <w:sz w:val="19"/>
                <w:szCs w:val="19"/>
                <w:color w:val="auto"/>
              </w:rPr>
            </w:pPr>
          </w:p>
        </w:tc>
        <w:tc>
          <w:tcPr>
            <w:tcW w:w="1340" w:type="dxa"/>
            <w:vAlign w:val="bottom"/>
            <w:tcBorders>
              <w:bottom w:val="single" w:sz="8" w:color="A7A9AC"/>
            </w:tcBorders>
          </w:tcPr>
          <w:p>
            <w:pPr>
              <w:spacing w:after="0"/>
              <w:rPr>
                <w:sz w:val="19"/>
                <w:szCs w:val="19"/>
                <w:color w:val="auto"/>
              </w:rPr>
            </w:pPr>
          </w:p>
        </w:tc>
        <w:tc>
          <w:tcPr>
            <w:tcW w:w="1080" w:type="dxa"/>
            <w:vAlign w:val="bottom"/>
            <w:tcBorders>
              <w:bottom w:val="single" w:sz="8" w:color="A7A9AC"/>
            </w:tcBorders>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1020" w:type="dxa"/>
            <w:vAlign w:val="bottom"/>
            <w:tcBorders>
              <w:bottom w:val="single" w:sz="8" w:color="A7A9AC"/>
            </w:tcBorders>
          </w:tcPr>
          <w:p>
            <w:pPr>
              <w:spacing w:after="0"/>
              <w:rPr>
                <w:sz w:val="19"/>
                <w:szCs w:val="19"/>
                <w:color w:val="auto"/>
              </w:rPr>
            </w:pPr>
          </w:p>
        </w:tc>
        <w:tc>
          <w:tcPr>
            <w:tcW w:w="96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320,000</w:t>
            </w:r>
          </w:p>
        </w:tc>
        <w:tc>
          <w:tcPr>
            <w:tcW w:w="10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auto"/>
              </w:rPr>
              <w:t>800,000</w:t>
            </w:r>
          </w:p>
        </w:tc>
        <w:tc>
          <w:tcPr>
            <w:tcW w:w="1360" w:type="dxa"/>
            <w:vAlign w:val="bottom"/>
            <w:tcBorders>
              <w:bottom w:val="single" w:sz="8" w:color="A7A9AC"/>
            </w:tcBorders>
            <w:gridSpan w:val="2"/>
          </w:tcPr>
          <w:p>
            <w:pPr>
              <w:jc w:val="right"/>
              <w:ind w:right="200"/>
              <w:spacing w:after="0" w:line="223" w:lineRule="exact"/>
              <w:rPr>
                <w:sz w:val="20"/>
                <w:szCs w:val="20"/>
                <w:color w:val="auto"/>
              </w:rPr>
            </w:pPr>
            <w:r>
              <w:rPr>
                <w:rFonts w:ascii="Arial" w:cs="Arial" w:eastAsia="Arial" w:hAnsi="Arial"/>
                <w:sz w:val="16"/>
                <w:szCs w:val="16"/>
                <w:color w:val="auto"/>
              </w:rPr>
              <w:t>1,600,000</w:t>
            </w:r>
            <w:r>
              <w:rPr>
                <w:rFonts w:ascii="Arial" w:cs="Arial" w:eastAsia="Arial" w:hAnsi="Arial"/>
                <w:sz w:val="25"/>
                <w:szCs w:val="25"/>
                <w:color w:val="auto"/>
                <w:vertAlign w:val="superscript"/>
              </w:rPr>
              <w:t>(2)</w:t>
            </w:r>
          </w:p>
        </w:tc>
        <w:tc>
          <w:tcPr>
            <w:tcW w:w="1000" w:type="dxa"/>
            <w:vAlign w:val="bottom"/>
            <w:tcBorders>
              <w:bottom w:val="single" w:sz="8" w:color="A7A9AC"/>
            </w:tcBorders>
          </w:tcPr>
          <w:p>
            <w:pPr>
              <w:spacing w:after="0"/>
              <w:rPr>
                <w:sz w:val="19"/>
                <w:szCs w:val="19"/>
                <w:color w:val="auto"/>
              </w:rPr>
            </w:pPr>
          </w:p>
        </w:tc>
        <w:tc>
          <w:tcPr>
            <w:tcW w:w="860" w:type="dxa"/>
            <w:vAlign w:val="bottom"/>
            <w:tcBorders>
              <w:bottom w:val="single" w:sz="8" w:color="A7A9AC"/>
            </w:tcBorders>
          </w:tcPr>
          <w:p>
            <w:pPr>
              <w:spacing w:after="0"/>
              <w:rPr>
                <w:sz w:val="19"/>
                <w:szCs w:val="19"/>
                <w:color w:val="auto"/>
              </w:rPr>
            </w:pPr>
          </w:p>
        </w:tc>
        <w:tc>
          <w:tcPr>
            <w:tcW w:w="860" w:type="dxa"/>
            <w:vAlign w:val="bottom"/>
            <w:tcBorders>
              <w:bottom w:val="single" w:sz="8" w:color="A7A9AC"/>
            </w:tcBorders>
          </w:tcPr>
          <w:p>
            <w:pPr>
              <w:spacing w:after="0"/>
              <w:rPr>
                <w:sz w:val="19"/>
                <w:szCs w:val="19"/>
                <w:color w:val="auto"/>
              </w:rPr>
            </w:pPr>
          </w:p>
        </w:tc>
        <w:tc>
          <w:tcPr>
            <w:tcW w:w="300" w:type="dxa"/>
            <w:vAlign w:val="bottom"/>
            <w:tcBorders>
              <w:bottom w:val="single" w:sz="8" w:color="A7A9AC"/>
            </w:tcBorders>
          </w:tcPr>
          <w:p>
            <w:pPr>
              <w:spacing w:after="0"/>
              <w:rPr>
                <w:sz w:val="19"/>
                <w:szCs w:val="19"/>
                <w:color w:val="auto"/>
              </w:rPr>
            </w:pPr>
          </w:p>
        </w:tc>
        <w:tc>
          <w:tcPr>
            <w:tcW w:w="1340" w:type="dxa"/>
            <w:vAlign w:val="bottom"/>
            <w:tcBorders>
              <w:bottom w:val="single" w:sz="8" w:color="A7A9AC"/>
            </w:tcBorders>
          </w:tcPr>
          <w:p>
            <w:pPr>
              <w:spacing w:after="0"/>
              <w:rPr>
                <w:sz w:val="19"/>
                <w:szCs w:val="19"/>
                <w:color w:val="auto"/>
              </w:rPr>
            </w:pPr>
          </w:p>
        </w:tc>
        <w:tc>
          <w:tcPr>
            <w:tcW w:w="1080" w:type="dxa"/>
            <w:vAlign w:val="bottom"/>
            <w:tcBorders>
              <w:bottom w:val="single" w:sz="8" w:color="A7A9AC"/>
            </w:tcBorders>
          </w:tcPr>
          <w:p>
            <w:pPr>
              <w:spacing w:after="0"/>
              <w:rPr>
                <w:sz w:val="19"/>
                <w:szCs w:val="19"/>
                <w:color w:val="auto"/>
              </w:rPr>
            </w:pPr>
          </w:p>
        </w:tc>
      </w:tr>
      <w:tr>
        <w:trPr>
          <w:trHeight w:val="223"/>
        </w:trPr>
        <w:tc>
          <w:tcPr>
            <w:tcW w:w="1440" w:type="dxa"/>
            <w:vAlign w:val="bottom"/>
            <w:tcBorders>
              <w:bottom w:val="single" w:sz="8" w:color="CB233C"/>
            </w:tcBorders>
          </w:tcPr>
          <w:p>
            <w:pPr>
              <w:spacing w:after="0"/>
              <w:rPr>
                <w:sz w:val="19"/>
                <w:szCs w:val="19"/>
                <w:color w:val="auto"/>
              </w:rPr>
            </w:pPr>
          </w:p>
        </w:tc>
        <w:tc>
          <w:tcPr>
            <w:tcW w:w="1020" w:type="dxa"/>
            <w:vAlign w:val="bottom"/>
            <w:tcBorders>
              <w:bottom w:val="single" w:sz="8" w:color="CB233C"/>
            </w:tcBorders>
          </w:tcPr>
          <w:p>
            <w:pPr>
              <w:jc w:val="right"/>
              <w:ind w:right="59"/>
              <w:spacing w:after="0"/>
              <w:rPr>
                <w:sz w:val="20"/>
                <w:szCs w:val="20"/>
                <w:color w:val="auto"/>
              </w:rPr>
            </w:pPr>
            <w:r>
              <w:rPr>
                <w:rFonts w:ascii="Arial" w:cs="Arial" w:eastAsia="Arial" w:hAnsi="Arial"/>
                <w:sz w:val="16"/>
                <w:szCs w:val="16"/>
                <w:color w:val="auto"/>
              </w:rPr>
              <w:t>1/4/2021</w:t>
            </w:r>
          </w:p>
        </w:tc>
        <w:tc>
          <w:tcPr>
            <w:tcW w:w="960" w:type="dxa"/>
            <w:vAlign w:val="bottom"/>
            <w:tcBorders>
              <w:bottom w:val="single" w:sz="8" w:color="CB233C"/>
            </w:tcBorders>
          </w:tcPr>
          <w:p>
            <w:pPr>
              <w:spacing w:after="0"/>
              <w:rPr>
                <w:sz w:val="19"/>
                <w:szCs w:val="19"/>
                <w:color w:val="auto"/>
              </w:rPr>
            </w:pPr>
          </w:p>
        </w:tc>
        <w:tc>
          <w:tcPr>
            <w:tcW w:w="1020" w:type="dxa"/>
            <w:vAlign w:val="bottom"/>
            <w:tcBorders>
              <w:bottom w:val="single" w:sz="8" w:color="CB233C"/>
            </w:tcBorders>
          </w:tcPr>
          <w:p>
            <w:pPr>
              <w:spacing w:after="0"/>
              <w:rPr>
                <w:sz w:val="19"/>
                <w:szCs w:val="19"/>
                <w:color w:val="auto"/>
              </w:rPr>
            </w:pPr>
          </w:p>
        </w:tc>
        <w:tc>
          <w:tcPr>
            <w:tcW w:w="1000" w:type="dxa"/>
            <w:vAlign w:val="bottom"/>
            <w:tcBorders>
              <w:bottom w:val="single" w:sz="8" w:color="CB233C"/>
            </w:tcBorders>
          </w:tcPr>
          <w:p>
            <w:pPr>
              <w:spacing w:after="0"/>
              <w:rPr>
                <w:sz w:val="19"/>
                <w:szCs w:val="19"/>
                <w:color w:val="auto"/>
              </w:rPr>
            </w:pPr>
          </w:p>
        </w:tc>
        <w:tc>
          <w:tcPr>
            <w:tcW w:w="360" w:type="dxa"/>
            <w:vAlign w:val="bottom"/>
            <w:tcBorders>
              <w:bottom w:val="single" w:sz="8" w:color="CB233C"/>
            </w:tcBorders>
          </w:tcPr>
          <w:p>
            <w:pPr>
              <w:spacing w:after="0"/>
              <w:rPr>
                <w:sz w:val="19"/>
                <w:szCs w:val="19"/>
                <w:color w:val="auto"/>
              </w:rPr>
            </w:pPr>
          </w:p>
        </w:tc>
        <w:tc>
          <w:tcPr>
            <w:tcW w:w="1000" w:type="dxa"/>
            <w:vAlign w:val="bottom"/>
            <w:tcBorders>
              <w:bottom w:val="single" w:sz="8" w:color="CB233C"/>
            </w:tcBorders>
          </w:tcPr>
          <w:p>
            <w:pPr>
              <w:jc w:val="right"/>
              <w:ind w:right="59"/>
              <w:spacing w:after="0"/>
              <w:rPr>
                <w:sz w:val="20"/>
                <w:szCs w:val="20"/>
                <w:color w:val="auto"/>
              </w:rPr>
            </w:pPr>
            <w:r>
              <w:rPr>
                <w:rFonts w:ascii="Arial" w:cs="Arial" w:eastAsia="Arial" w:hAnsi="Arial"/>
                <w:sz w:val="16"/>
                <w:szCs w:val="16"/>
                <w:color w:val="auto"/>
              </w:rPr>
              <w:t>21,100</w:t>
            </w:r>
          </w:p>
        </w:tc>
        <w:tc>
          <w:tcPr>
            <w:tcW w:w="860" w:type="dxa"/>
            <w:vAlign w:val="bottom"/>
            <w:tcBorders>
              <w:bottom w:val="single" w:sz="8" w:color="CB233C"/>
            </w:tcBorders>
          </w:tcPr>
          <w:p>
            <w:pPr>
              <w:jc w:val="right"/>
              <w:ind w:right="39"/>
              <w:spacing w:after="0"/>
              <w:rPr>
                <w:sz w:val="20"/>
                <w:szCs w:val="20"/>
                <w:color w:val="auto"/>
              </w:rPr>
            </w:pPr>
            <w:r>
              <w:rPr>
                <w:rFonts w:ascii="Arial" w:cs="Arial" w:eastAsia="Arial" w:hAnsi="Arial"/>
                <w:sz w:val="16"/>
                <w:szCs w:val="16"/>
                <w:color w:val="auto"/>
              </w:rPr>
              <w:t>84,400</w:t>
            </w:r>
          </w:p>
        </w:tc>
        <w:tc>
          <w:tcPr>
            <w:tcW w:w="1160" w:type="dxa"/>
            <w:vAlign w:val="bottom"/>
            <w:tcBorders>
              <w:bottom w:val="single" w:sz="8" w:color="CB233C"/>
            </w:tcBorders>
            <w:gridSpan w:val="2"/>
          </w:tcPr>
          <w:p>
            <w:pPr>
              <w:jc w:val="right"/>
              <w:ind w:right="140"/>
              <w:spacing w:after="0" w:line="223" w:lineRule="exact"/>
              <w:rPr>
                <w:sz w:val="20"/>
                <w:szCs w:val="20"/>
                <w:color w:val="auto"/>
              </w:rPr>
            </w:pPr>
            <w:r>
              <w:rPr>
                <w:rFonts w:ascii="Arial" w:cs="Arial" w:eastAsia="Arial" w:hAnsi="Arial"/>
                <w:sz w:val="16"/>
                <w:szCs w:val="16"/>
                <w:color w:val="auto"/>
              </w:rPr>
              <w:t>211,000</w:t>
            </w:r>
            <w:r>
              <w:rPr>
                <w:rFonts w:ascii="Arial" w:cs="Arial" w:eastAsia="Arial" w:hAnsi="Arial"/>
                <w:sz w:val="25"/>
                <w:szCs w:val="25"/>
                <w:color w:val="auto"/>
                <w:vertAlign w:val="superscript"/>
              </w:rPr>
              <w:t>(3)</w:t>
            </w:r>
          </w:p>
        </w:tc>
        <w:tc>
          <w:tcPr>
            <w:tcW w:w="1340" w:type="dxa"/>
            <w:vAlign w:val="bottom"/>
            <w:tcBorders>
              <w:bottom w:val="single" w:sz="8" w:color="CB233C"/>
            </w:tcBorders>
          </w:tcPr>
          <w:p>
            <w:pPr>
              <w:spacing w:after="0"/>
              <w:rPr>
                <w:sz w:val="19"/>
                <w:szCs w:val="19"/>
                <w:color w:val="auto"/>
              </w:rPr>
            </w:pPr>
          </w:p>
        </w:tc>
        <w:tc>
          <w:tcPr>
            <w:tcW w:w="108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1,710,830</w:t>
            </w:r>
          </w:p>
        </w:tc>
      </w:tr>
      <w:tr>
        <w:trPr>
          <w:trHeight w:val="223"/>
        </w:trPr>
        <w:tc>
          <w:tcPr>
            <w:tcW w:w="1440" w:type="dxa"/>
            <w:vAlign w:val="bottom"/>
          </w:tcPr>
          <w:p>
            <w:pPr>
              <w:ind w:left="40"/>
              <w:spacing w:after="0"/>
              <w:rPr>
                <w:sz w:val="20"/>
                <w:szCs w:val="20"/>
                <w:color w:val="auto"/>
              </w:rPr>
            </w:pPr>
            <w:r>
              <w:rPr>
                <w:rFonts w:ascii="Arial" w:cs="Arial" w:eastAsia="Arial" w:hAnsi="Arial"/>
                <w:sz w:val="16"/>
                <w:szCs w:val="16"/>
                <w:b w:val="1"/>
                <w:bCs w:val="1"/>
                <w:color w:val="auto"/>
              </w:rPr>
              <w:t>Joe D. Rainey</w:t>
            </w:r>
          </w:p>
        </w:tc>
        <w:tc>
          <w:tcPr>
            <w:tcW w:w="1020" w:type="dxa"/>
            <w:vAlign w:val="bottom"/>
            <w:tcBorders>
              <w:bottom w:val="single" w:sz="8" w:color="A7A9AC"/>
            </w:tcBorders>
          </w:tcPr>
          <w:p>
            <w:pPr>
              <w:spacing w:after="0"/>
              <w:rPr>
                <w:sz w:val="19"/>
                <w:szCs w:val="19"/>
                <w:color w:val="auto"/>
              </w:rPr>
            </w:pPr>
          </w:p>
        </w:tc>
        <w:tc>
          <w:tcPr>
            <w:tcW w:w="96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385,284</w:t>
            </w:r>
          </w:p>
        </w:tc>
        <w:tc>
          <w:tcPr>
            <w:tcW w:w="10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auto"/>
              </w:rPr>
              <w:t>1,541,135</w:t>
            </w:r>
          </w:p>
        </w:tc>
        <w:tc>
          <w:tcPr>
            <w:tcW w:w="1360" w:type="dxa"/>
            <w:vAlign w:val="bottom"/>
            <w:tcBorders>
              <w:bottom w:val="single" w:sz="8" w:color="A7A9AC"/>
            </w:tcBorders>
            <w:gridSpan w:val="2"/>
          </w:tcPr>
          <w:p>
            <w:pPr>
              <w:jc w:val="right"/>
              <w:ind w:right="200"/>
              <w:spacing w:after="0" w:line="223" w:lineRule="exact"/>
              <w:rPr>
                <w:sz w:val="20"/>
                <w:szCs w:val="20"/>
                <w:color w:val="auto"/>
              </w:rPr>
            </w:pPr>
            <w:r>
              <w:rPr>
                <w:rFonts w:ascii="Arial" w:cs="Arial" w:eastAsia="Arial" w:hAnsi="Arial"/>
                <w:sz w:val="16"/>
                <w:szCs w:val="16"/>
                <w:color w:val="auto"/>
              </w:rPr>
              <w:t>3,852,838</w:t>
            </w:r>
            <w:r>
              <w:rPr>
                <w:rFonts w:ascii="Arial" w:cs="Arial" w:eastAsia="Arial" w:hAnsi="Arial"/>
                <w:sz w:val="25"/>
                <w:szCs w:val="25"/>
                <w:color w:val="auto"/>
                <w:vertAlign w:val="superscript"/>
              </w:rPr>
              <w:t>(1)</w:t>
            </w:r>
          </w:p>
        </w:tc>
        <w:tc>
          <w:tcPr>
            <w:tcW w:w="1000" w:type="dxa"/>
            <w:vAlign w:val="bottom"/>
            <w:tcBorders>
              <w:bottom w:val="single" w:sz="8" w:color="A7A9AC"/>
            </w:tcBorders>
          </w:tcPr>
          <w:p>
            <w:pPr>
              <w:spacing w:after="0"/>
              <w:rPr>
                <w:sz w:val="19"/>
                <w:szCs w:val="19"/>
                <w:color w:val="auto"/>
              </w:rPr>
            </w:pPr>
          </w:p>
        </w:tc>
        <w:tc>
          <w:tcPr>
            <w:tcW w:w="860" w:type="dxa"/>
            <w:vAlign w:val="bottom"/>
            <w:tcBorders>
              <w:bottom w:val="single" w:sz="8" w:color="A7A9AC"/>
            </w:tcBorders>
          </w:tcPr>
          <w:p>
            <w:pPr>
              <w:spacing w:after="0"/>
              <w:rPr>
                <w:sz w:val="19"/>
                <w:szCs w:val="19"/>
                <w:color w:val="auto"/>
              </w:rPr>
            </w:pPr>
          </w:p>
        </w:tc>
        <w:tc>
          <w:tcPr>
            <w:tcW w:w="860" w:type="dxa"/>
            <w:vAlign w:val="bottom"/>
            <w:tcBorders>
              <w:bottom w:val="single" w:sz="8" w:color="A7A9AC"/>
            </w:tcBorders>
          </w:tcPr>
          <w:p>
            <w:pPr>
              <w:spacing w:after="0"/>
              <w:rPr>
                <w:sz w:val="19"/>
                <w:szCs w:val="19"/>
                <w:color w:val="auto"/>
              </w:rPr>
            </w:pPr>
          </w:p>
        </w:tc>
        <w:tc>
          <w:tcPr>
            <w:tcW w:w="300" w:type="dxa"/>
            <w:vAlign w:val="bottom"/>
            <w:tcBorders>
              <w:bottom w:val="single" w:sz="8" w:color="A7A9AC"/>
            </w:tcBorders>
          </w:tcPr>
          <w:p>
            <w:pPr>
              <w:spacing w:after="0"/>
              <w:rPr>
                <w:sz w:val="19"/>
                <w:szCs w:val="19"/>
                <w:color w:val="auto"/>
              </w:rPr>
            </w:pPr>
          </w:p>
        </w:tc>
        <w:tc>
          <w:tcPr>
            <w:tcW w:w="1340" w:type="dxa"/>
            <w:vAlign w:val="bottom"/>
            <w:tcBorders>
              <w:bottom w:val="single" w:sz="8" w:color="A7A9AC"/>
            </w:tcBorders>
          </w:tcPr>
          <w:p>
            <w:pPr>
              <w:spacing w:after="0"/>
              <w:rPr>
                <w:sz w:val="19"/>
                <w:szCs w:val="19"/>
                <w:color w:val="auto"/>
              </w:rPr>
            </w:pPr>
          </w:p>
        </w:tc>
        <w:tc>
          <w:tcPr>
            <w:tcW w:w="1080" w:type="dxa"/>
            <w:vAlign w:val="bottom"/>
            <w:tcBorders>
              <w:bottom w:val="single" w:sz="8" w:color="A7A9AC"/>
            </w:tcBorders>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1020" w:type="dxa"/>
            <w:vAlign w:val="bottom"/>
            <w:tcBorders>
              <w:bottom w:val="single" w:sz="8" w:color="A7A9AC"/>
            </w:tcBorders>
          </w:tcPr>
          <w:p>
            <w:pPr>
              <w:spacing w:after="0"/>
              <w:rPr>
                <w:sz w:val="19"/>
                <w:szCs w:val="19"/>
                <w:color w:val="auto"/>
              </w:rPr>
            </w:pPr>
          </w:p>
        </w:tc>
        <w:tc>
          <w:tcPr>
            <w:tcW w:w="96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400,400</w:t>
            </w:r>
          </w:p>
        </w:tc>
        <w:tc>
          <w:tcPr>
            <w:tcW w:w="10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auto"/>
              </w:rPr>
              <w:t>1,001,000</w:t>
            </w:r>
          </w:p>
        </w:tc>
        <w:tc>
          <w:tcPr>
            <w:tcW w:w="1360" w:type="dxa"/>
            <w:vAlign w:val="bottom"/>
            <w:tcBorders>
              <w:bottom w:val="single" w:sz="8" w:color="A7A9AC"/>
            </w:tcBorders>
            <w:gridSpan w:val="2"/>
          </w:tcPr>
          <w:p>
            <w:pPr>
              <w:jc w:val="right"/>
              <w:ind w:right="200"/>
              <w:spacing w:after="0" w:line="223" w:lineRule="exact"/>
              <w:rPr>
                <w:sz w:val="20"/>
                <w:szCs w:val="20"/>
                <w:color w:val="auto"/>
              </w:rPr>
            </w:pPr>
            <w:r>
              <w:rPr>
                <w:rFonts w:ascii="Arial" w:cs="Arial" w:eastAsia="Arial" w:hAnsi="Arial"/>
                <w:sz w:val="16"/>
                <w:szCs w:val="16"/>
                <w:color w:val="auto"/>
              </w:rPr>
              <w:t>2,002,000</w:t>
            </w:r>
            <w:r>
              <w:rPr>
                <w:rFonts w:ascii="Arial" w:cs="Arial" w:eastAsia="Arial" w:hAnsi="Arial"/>
                <w:sz w:val="25"/>
                <w:szCs w:val="25"/>
                <w:color w:val="auto"/>
                <w:vertAlign w:val="superscript"/>
              </w:rPr>
              <w:t>(2)</w:t>
            </w:r>
          </w:p>
        </w:tc>
        <w:tc>
          <w:tcPr>
            <w:tcW w:w="1000" w:type="dxa"/>
            <w:vAlign w:val="bottom"/>
            <w:tcBorders>
              <w:bottom w:val="single" w:sz="8" w:color="A7A9AC"/>
            </w:tcBorders>
          </w:tcPr>
          <w:p>
            <w:pPr>
              <w:spacing w:after="0"/>
              <w:rPr>
                <w:sz w:val="19"/>
                <w:szCs w:val="19"/>
                <w:color w:val="auto"/>
              </w:rPr>
            </w:pPr>
          </w:p>
        </w:tc>
        <w:tc>
          <w:tcPr>
            <w:tcW w:w="860" w:type="dxa"/>
            <w:vAlign w:val="bottom"/>
            <w:tcBorders>
              <w:bottom w:val="single" w:sz="8" w:color="A7A9AC"/>
            </w:tcBorders>
          </w:tcPr>
          <w:p>
            <w:pPr>
              <w:spacing w:after="0"/>
              <w:rPr>
                <w:sz w:val="19"/>
                <w:szCs w:val="19"/>
                <w:color w:val="auto"/>
              </w:rPr>
            </w:pPr>
          </w:p>
        </w:tc>
        <w:tc>
          <w:tcPr>
            <w:tcW w:w="860" w:type="dxa"/>
            <w:vAlign w:val="bottom"/>
            <w:tcBorders>
              <w:bottom w:val="single" w:sz="8" w:color="A7A9AC"/>
            </w:tcBorders>
          </w:tcPr>
          <w:p>
            <w:pPr>
              <w:spacing w:after="0"/>
              <w:rPr>
                <w:sz w:val="19"/>
                <w:szCs w:val="19"/>
                <w:color w:val="auto"/>
              </w:rPr>
            </w:pPr>
          </w:p>
        </w:tc>
        <w:tc>
          <w:tcPr>
            <w:tcW w:w="300" w:type="dxa"/>
            <w:vAlign w:val="bottom"/>
            <w:tcBorders>
              <w:bottom w:val="single" w:sz="8" w:color="A7A9AC"/>
            </w:tcBorders>
          </w:tcPr>
          <w:p>
            <w:pPr>
              <w:spacing w:after="0"/>
              <w:rPr>
                <w:sz w:val="19"/>
                <w:szCs w:val="19"/>
                <w:color w:val="auto"/>
              </w:rPr>
            </w:pPr>
          </w:p>
        </w:tc>
        <w:tc>
          <w:tcPr>
            <w:tcW w:w="1340" w:type="dxa"/>
            <w:vAlign w:val="bottom"/>
            <w:tcBorders>
              <w:bottom w:val="single" w:sz="8" w:color="A7A9AC"/>
            </w:tcBorders>
          </w:tcPr>
          <w:p>
            <w:pPr>
              <w:spacing w:after="0"/>
              <w:rPr>
                <w:sz w:val="19"/>
                <w:szCs w:val="19"/>
                <w:color w:val="auto"/>
              </w:rPr>
            </w:pPr>
          </w:p>
        </w:tc>
        <w:tc>
          <w:tcPr>
            <w:tcW w:w="1080" w:type="dxa"/>
            <w:vAlign w:val="bottom"/>
            <w:tcBorders>
              <w:bottom w:val="single" w:sz="8" w:color="A7A9AC"/>
            </w:tcBorders>
          </w:tcPr>
          <w:p>
            <w:pPr>
              <w:spacing w:after="0"/>
              <w:rPr>
                <w:sz w:val="19"/>
                <w:szCs w:val="19"/>
                <w:color w:val="auto"/>
              </w:rPr>
            </w:pPr>
          </w:p>
        </w:tc>
      </w:tr>
      <w:tr>
        <w:trPr>
          <w:trHeight w:val="223"/>
        </w:trPr>
        <w:tc>
          <w:tcPr>
            <w:tcW w:w="1440" w:type="dxa"/>
            <w:vAlign w:val="bottom"/>
            <w:tcBorders>
              <w:bottom w:val="single" w:sz="8" w:color="CB233C"/>
            </w:tcBorders>
          </w:tcPr>
          <w:p>
            <w:pPr>
              <w:spacing w:after="0"/>
              <w:rPr>
                <w:sz w:val="19"/>
                <w:szCs w:val="19"/>
                <w:color w:val="auto"/>
              </w:rPr>
            </w:pPr>
          </w:p>
        </w:tc>
        <w:tc>
          <w:tcPr>
            <w:tcW w:w="1020" w:type="dxa"/>
            <w:vAlign w:val="bottom"/>
            <w:tcBorders>
              <w:bottom w:val="single" w:sz="8" w:color="CB233C"/>
            </w:tcBorders>
          </w:tcPr>
          <w:p>
            <w:pPr>
              <w:jc w:val="right"/>
              <w:ind w:right="59"/>
              <w:spacing w:after="0"/>
              <w:rPr>
                <w:sz w:val="20"/>
                <w:szCs w:val="20"/>
                <w:color w:val="auto"/>
              </w:rPr>
            </w:pPr>
            <w:r>
              <w:rPr>
                <w:rFonts w:ascii="Arial" w:cs="Arial" w:eastAsia="Arial" w:hAnsi="Arial"/>
                <w:sz w:val="16"/>
                <w:szCs w:val="16"/>
                <w:color w:val="auto"/>
              </w:rPr>
              <w:t>1/4/2021</w:t>
            </w:r>
          </w:p>
        </w:tc>
        <w:tc>
          <w:tcPr>
            <w:tcW w:w="960" w:type="dxa"/>
            <w:vAlign w:val="bottom"/>
            <w:tcBorders>
              <w:bottom w:val="single" w:sz="8" w:color="CB233C"/>
            </w:tcBorders>
          </w:tcPr>
          <w:p>
            <w:pPr>
              <w:spacing w:after="0"/>
              <w:rPr>
                <w:sz w:val="19"/>
                <w:szCs w:val="19"/>
                <w:color w:val="auto"/>
              </w:rPr>
            </w:pPr>
          </w:p>
        </w:tc>
        <w:tc>
          <w:tcPr>
            <w:tcW w:w="1020" w:type="dxa"/>
            <w:vAlign w:val="bottom"/>
            <w:tcBorders>
              <w:bottom w:val="single" w:sz="8" w:color="CB233C"/>
            </w:tcBorders>
          </w:tcPr>
          <w:p>
            <w:pPr>
              <w:spacing w:after="0"/>
              <w:rPr>
                <w:sz w:val="19"/>
                <w:szCs w:val="19"/>
                <w:color w:val="auto"/>
              </w:rPr>
            </w:pPr>
          </w:p>
        </w:tc>
        <w:tc>
          <w:tcPr>
            <w:tcW w:w="1000" w:type="dxa"/>
            <w:vAlign w:val="bottom"/>
            <w:tcBorders>
              <w:bottom w:val="single" w:sz="8" w:color="CB233C"/>
            </w:tcBorders>
          </w:tcPr>
          <w:p>
            <w:pPr>
              <w:spacing w:after="0"/>
              <w:rPr>
                <w:sz w:val="19"/>
                <w:szCs w:val="19"/>
                <w:color w:val="auto"/>
              </w:rPr>
            </w:pPr>
          </w:p>
        </w:tc>
        <w:tc>
          <w:tcPr>
            <w:tcW w:w="360" w:type="dxa"/>
            <w:vAlign w:val="bottom"/>
            <w:tcBorders>
              <w:bottom w:val="single" w:sz="8" w:color="CB233C"/>
            </w:tcBorders>
          </w:tcPr>
          <w:p>
            <w:pPr>
              <w:spacing w:after="0"/>
              <w:rPr>
                <w:sz w:val="19"/>
                <w:szCs w:val="19"/>
                <w:color w:val="auto"/>
              </w:rPr>
            </w:pPr>
          </w:p>
        </w:tc>
        <w:tc>
          <w:tcPr>
            <w:tcW w:w="1000" w:type="dxa"/>
            <w:vAlign w:val="bottom"/>
            <w:tcBorders>
              <w:bottom w:val="single" w:sz="8" w:color="CB233C"/>
            </w:tcBorders>
          </w:tcPr>
          <w:p>
            <w:pPr>
              <w:jc w:val="right"/>
              <w:ind w:right="59"/>
              <w:spacing w:after="0"/>
              <w:rPr>
                <w:sz w:val="20"/>
                <w:szCs w:val="20"/>
                <w:color w:val="auto"/>
              </w:rPr>
            </w:pPr>
            <w:r>
              <w:rPr>
                <w:rFonts w:ascii="Arial" w:cs="Arial" w:eastAsia="Arial" w:hAnsi="Arial"/>
                <w:sz w:val="16"/>
                <w:szCs w:val="16"/>
                <w:color w:val="auto"/>
              </w:rPr>
              <w:t>27,850</w:t>
            </w:r>
          </w:p>
        </w:tc>
        <w:tc>
          <w:tcPr>
            <w:tcW w:w="860" w:type="dxa"/>
            <w:vAlign w:val="bottom"/>
            <w:tcBorders>
              <w:bottom w:val="single" w:sz="8" w:color="CB233C"/>
            </w:tcBorders>
          </w:tcPr>
          <w:p>
            <w:pPr>
              <w:jc w:val="right"/>
              <w:ind w:right="39"/>
              <w:spacing w:after="0"/>
              <w:rPr>
                <w:sz w:val="20"/>
                <w:szCs w:val="20"/>
                <w:color w:val="auto"/>
              </w:rPr>
            </w:pPr>
            <w:r>
              <w:rPr>
                <w:rFonts w:ascii="Arial" w:cs="Arial" w:eastAsia="Arial" w:hAnsi="Arial"/>
                <w:sz w:val="16"/>
                <w:szCs w:val="16"/>
                <w:color w:val="auto"/>
              </w:rPr>
              <w:t>111,400</w:t>
            </w:r>
          </w:p>
        </w:tc>
        <w:tc>
          <w:tcPr>
            <w:tcW w:w="1160" w:type="dxa"/>
            <w:vAlign w:val="bottom"/>
            <w:tcBorders>
              <w:bottom w:val="single" w:sz="8" w:color="CB233C"/>
            </w:tcBorders>
            <w:gridSpan w:val="2"/>
          </w:tcPr>
          <w:p>
            <w:pPr>
              <w:jc w:val="right"/>
              <w:ind w:right="140"/>
              <w:spacing w:after="0" w:line="223" w:lineRule="exact"/>
              <w:rPr>
                <w:sz w:val="20"/>
                <w:szCs w:val="20"/>
                <w:color w:val="auto"/>
              </w:rPr>
            </w:pPr>
            <w:r>
              <w:rPr>
                <w:rFonts w:ascii="Arial" w:cs="Arial" w:eastAsia="Arial" w:hAnsi="Arial"/>
                <w:sz w:val="16"/>
                <w:szCs w:val="16"/>
                <w:color w:val="auto"/>
              </w:rPr>
              <w:t>278,500</w:t>
            </w:r>
            <w:r>
              <w:rPr>
                <w:rFonts w:ascii="Arial" w:cs="Arial" w:eastAsia="Arial" w:hAnsi="Arial"/>
                <w:sz w:val="25"/>
                <w:szCs w:val="25"/>
                <w:color w:val="auto"/>
                <w:vertAlign w:val="superscript"/>
              </w:rPr>
              <w:t>(3)</w:t>
            </w:r>
          </w:p>
        </w:tc>
        <w:tc>
          <w:tcPr>
            <w:tcW w:w="1340" w:type="dxa"/>
            <w:vAlign w:val="bottom"/>
            <w:tcBorders>
              <w:bottom w:val="single" w:sz="8" w:color="CB233C"/>
            </w:tcBorders>
          </w:tcPr>
          <w:p>
            <w:pPr>
              <w:spacing w:after="0"/>
              <w:rPr>
                <w:sz w:val="19"/>
                <w:szCs w:val="19"/>
                <w:color w:val="auto"/>
              </w:rPr>
            </w:pPr>
          </w:p>
        </w:tc>
        <w:tc>
          <w:tcPr>
            <w:tcW w:w="108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2,258,133</w:t>
            </w:r>
          </w:p>
        </w:tc>
      </w:tr>
      <w:tr>
        <w:trPr>
          <w:trHeight w:val="223"/>
        </w:trPr>
        <w:tc>
          <w:tcPr>
            <w:tcW w:w="1440" w:type="dxa"/>
            <w:vAlign w:val="bottom"/>
          </w:tcPr>
          <w:p>
            <w:pPr>
              <w:ind w:left="40"/>
              <w:spacing w:after="0"/>
              <w:rPr>
                <w:sz w:val="20"/>
                <w:szCs w:val="20"/>
                <w:color w:val="auto"/>
              </w:rPr>
            </w:pPr>
            <w:r>
              <w:rPr>
                <w:rFonts w:ascii="Arial" w:cs="Arial" w:eastAsia="Arial" w:hAnsi="Arial"/>
                <w:sz w:val="16"/>
                <w:szCs w:val="16"/>
                <w:b w:val="1"/>
                <w:bCs w:val="1"/>
                <w:color w:val="auto"/>
              </w:rPr>
              <w:t>Mark J. Richard</w:t>
            </w:r>
          </w:p>
        </w:tc>
        <w:tc>
          <w:tcPr>
            <w:tcW w:w="1020" w:type="dxa"/>
            <w:vAlign w:val="bottom"/>
            <w:tcBorders>
              <w:bottom w:val="single" w:sz="8" w:color="A7A9AC"/>
            </w:tcBorders>
          </w:tcPr>
          <w:p>
            <w:pPr>
              <w:spacing w:after="0"/>
              <w:rPr>
                <w:sz w:val="19"/>
                <w:szCs w:val="19"/>
                <w:color w:val="auto"/>
              </w:rPr>
            </w:pPr>
          </w:p>
        </w:tc>
        <w:tc>
          <w:tcPr>
            <w:tcW w:w="96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378,845</w:t>
            </w:r>
          </w:p>
        </w:tc>
        <w:tc>
          <w:tcPr>
            <w:tcW w:w="10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auto"/>
              </w:rPr>
              <w:t>1,515,380</w:t>
            </w:r>
          </w:p>
        </w:tc>
        <w:tc>
          <w:tcPr>
            <w:tcW w:w="1360" w:type="dxa"/>
            <w:vAlign w:val="bottom"/>
            <w:tcBorders>
              <w:bottom w:val="single" w:sz="8" w:color="A7A9AC"/>
            </w:tcBorders>
            <w:gridSpan w:val="2"/>
          </w:tcPr>
          <w:p>
            <w:pPr>
              <w:jc w:val="right"/>
              <w:ind w:right="200"/>
              <w:spacing w:after="0" w:line="223" w:lineRule="exact"/>
              <w:rPr>
                <w:sz w:val="20"/>
                <w:szCs w:val="20"/>
                <w:color w:val="auto"/>
              </w:rPr>
            </w:pPr>
            <w:r>
              <w:rPr>
                <w:rFonts w:ascii="Arial" w:cs="Arial" w:eastAsia="Arial" w:hAnsi="Arial"/>
                <w:sz w:val="16"/>
                <w:szCs w:val="16"/>
                <w:color w:val="auto"/>
              </w:rPr>
              <w:t>3,788,450</w:t>
            </w:r>
            <w:r>
              <w:rPr>
                <w:rFonts w:ascii="Arial" w:cs="Arial" w:eastAsia="Arial" w:hAnsi="Arial"/>
                <w:sz w:val="25"/>
                <w:szCs w:val="25"/>
                <w:color w:val="auto"/>
                <w:vertAlign w:val="superscript"/>
              </w:rPr>
              <w:t>(1)</w:t>
            </w:r>
          </w:p>
        </w:tc>
        <w:tc>
          <w:tcPr>
            <w:tcW w:w="1000" w:type="dxa"/>
            <w:vAlign w:val="bottom"/>
            <w:tcBorders>
              <w:bottom w:val="single" w:sz="8" w:color="A7A9AC"/>
            </w:tcBorders>
          </w:tcPr>
          <w:p>
            <w:pPr>
              <w:spacing w:after="0"/>
              <w:rPr>
                <w:sz w:val="19"/>
                <w:szCs w:val="19"/>
                <w:color w:val="auto"/>
              </w:rPr>
            </w:pPr>
          </w:p>
        </w:tc>
        <w:tc>
          <w:tcPr>
            <w:tcW w:w="860" w:type="dxa"/>
            <w:vAlign w:val="bottom"/>
            <w:tcBorders>
              <w:bottom w:val="single" w:sz="8" w:color="A7A9AC"/>
            </w:tcBorders>
          </w:tcPr>
          <w:p>
            <w:pPr>
              <w:spacing w:after="0"/>
              <w:rPr>
                <w:sz w:val="19"/>
                <w:szCs w:val="19"/>
                <w:color w:val="auto"/>
              </w:rPr>
            </w:pPr>
          </w:p>
        </w:tc>
        <w:tc>
          <w:tcPr>
            <w:tcW w:w="860" w:type="dxa"/>
            <w:vAlign w:val="bottom"/>
            <w:tcBorders>
              <w:bottom w:val="single" w:sz="8" w:color="A7A9AC"/>
            </w:tcBorders>
          </w:tcPr>
          <w:p>
            <w:pPr>
              <w:spacing w:after="0"/>
              <w:rPr>
                <w:sz w:val="19"/>
                <w:szCs w:val="19"/>
                <w:color w:val="auto"/>
              </w:rPr>
            </w:pPr>
          </w:p>
        </w:tc>
        <w:tc>
          <w:tcPr>
            <w:tcW w:w="300" w:type="dxa"/>
            <w:vAlign w:val="bottom"/>
            <w:tcBorders>
              <w:bottom w:val="single" w:sz="8" w:color="A7A9AC"/>
            </w:tcBorders>
          </w:tcPr>
          <w:p>
            <w:pPr>
              <w:spacing w:after="0"/>
              <w:rPr>
                <w:sz w:val="19"/>
                <w:szCs w:val="19"/>
                <w:color w:val="auto"/>
              </w:rPr>
            </w:pPr>
          </w:p>
        </w:tc>
        <w:tc>
          <w:tcPr>
            <w:tcW w:w="1340" w:type="dxa"/>
            <w:vAlign w:val="bottom"/>
            <w:tcBorders>
              <w:bottom w:val="single" w:sz="8" w:color="A7A9AC"/>
            </w:tcBorders>
          </w:tcPr>
          <w:p>
            <w:pPr>
              <w:spacing w:after="0"/>
              <w:rPr>
                <w:sz w:val="19"/>
                <w:szCs w:val="19"/>
                <w:color w:val="auto"/>
              </w:rPr>
            </w:pPr>
          </w:p>
        </w:tc>
        <w:tc>
          <w:tcPr>
            <w:tcW w:w="1080" w:type="dxa"/>
            <w:vAlign w:val="bottom"/>
            <w:tcBorders>
              <w:bottom w:val="single" w:sz="8" w:color="A7A9AC"/>
            </w:tcBorders>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1020" w:type="dxa"/>
            <w:vAlign w:val="bottom"/>
            <w:tcBorders>
              <w:bottom w:val="single" w:sz="8" w:color="A7A9AC"/>
            </w:tcBorders>
          </w:tcPr>
          <w:p>
            <w:pPr>
              <w:spacing w:after="0"/>
              <w:rPr>
                <w:sz w:val="19"/>
                <w:szCs w:val="19"/>
                <w:color w:val="auto"/>
              </w:rPr>
            </w:pPr>
          </w:p>
        </w:tc>
        <w:tc>
          <w:tcPr>
            <w:tcW w:w="96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356,400</w:t>
            </w:r>
          </w:p>
        </w:tc>
        <w:tc>
          <w:tcPr>
            <w:tcW w:w="10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auto"/>
              </w:rPr>
              <w:t>891,000</w:t>
            </w:r>
          </w:p>
        </w:tc>
        <w:tc>
          <w:tcPr>
            <w:tcW w:w="1360" w:type="dxa"/>
            <w:vAlign w:val="bottom"/>
            <w:tcBorders>
              <w:bottom w:val="single" w:sz="8" w:color="A7A9AC"/>
            </w:tcBorders>
            <w:gridSpan w:val="2"/>
          </w:tcPr>
          <w:p>
            <w:pPr>
              <w:jc w:val="right"/>
              <w:ind w:right="200"/>
              <w:spacing w:after="0" w:line="223" w:lineRule="exact"/>
              <w:rPr>
                <w:sz w:val="20"/>
                <w:szCs w:val="20"/>
                <w:color w:val="auto"/>
              </w:rPr>
            </w:pPr>
            <w:r>
              <w:rPr>
                <w:rFonts w:ascii="Arial" w:cs="Arial" w:eastAsia="Arial" w:hAnsi="Arial"/>
                <w:sz w:val="16"/>
                <w:szCs w:val="16"/>
                <w:color w:val="auto"/>
              </w:rPr>
              <w:t>1,782,000</w:t>
            </w:r>
            <w:r>
              <w:rPr>
                <w:rFonts w:ascii="Arial" w:cs="Arial" w:eastAsia="Arial" w:hAnsi="Arial"/>
                <w:sz w:val="25"/>
                <w:szCs w:val="25"/>
                <w:color w:val="auto"/>
                <w:vertAlign w:val="superscript"/>
              </w:rPr>
              <w:t>(2)</w:t>
            </w:r>
          </w:p>
        </w:tc>
        <w:tc>
          <w:tcPr>
            <w:tcW w:w="1000" w:type="dxa"/>
            <w:vAlign w:val="bottom"/>
            <w:tcBorders>
              <w:bottom w:val="single" w:sz="8" w:color="A7A9AC"/>
            </w:tcBorders>
          </w:tcPr>
          <w:p>
            <w:pPr>
              <w:spacing w:after="0"/>
              <w:rPr>
                <w:sz w:val="19"/>
                <w:szCs w:val="19"/>
                <w:color w:val="auto"/>
              </w:rPr>
            </w:pPr>
          </w:p>
        </w:tc>
        <w:tc>
          <w:tcPr>
            <w:tcW w:w="860" w:type="dxa"/>
            <w:vAlign w:val="bottom"/>
            <w:tcBorders>
              <w:bottom w:val="single" w:sz="8" w:color="A7A9AC"/>
            </w:tcBorders>
          </w:tcPr>
          <w:p>
            <w:pPr>
              <w:spacing w:after="0"/>
              <w:rPr>
                <w:sz w:val="19"/>
                <w:szCs w:val="19"/>
                <w:color w:val="auto"/>
              </w:rPr>
            </w:pPr>
          </w:p>
        </w:tc>
        <w:tc>
          <w:tcPr>
            <w:tcW w:w="860" w:type="dxa"/>
            <w:vAlign w:val="bottom"/>
            <w:tcBorders>
              <w:bottom w:val="single" w:sz="8" w:color="A7A9AC"/>
            </w:tcBorders>
          </w:tcPr>
          <w:p>
            <w:pPr>
              <w:spacing w:after="0"/>
              <w:rPr>
                <w:sz w:val="19"/>
                <w:szCs w:val="19"/>
                <w:color w:val="auto"/>
              </w:rPr>
            </w:pPr>
          </w:p>
        </w:tc>
        <w:tc>
          <w:tcPr>
            <w:tcW w:w="300" w:type="dxa"/>
            <w:vAlign w:val="bottom"/>
            <w:tcBorders>
              <w:bottom w:val="single" w:sz="8" w:color="A7A9AC"/>
            </w:tcBorders>
          </w:tcPr>
          <w:p>
            <w:pPr>
              <w:spacing w:after="0"/>
              <w:rPr>
                <w:sz w:val="19"/>
                <w:szCs w:val="19"/>
                <w:color w:val="auto"/>
              </w:rPr>
            </w:pPr>
          </w:p>
        </w:tc>
        <w:tc>
          <w:tcPr>
            <w:tcW w:w="1340" w:type="dxa"/>
            <w:vAlign w:val="bottom"/>
            <w:tcBorders>
              <w:bottom w:val="single" w:sz="8" w:color="A7A9AC"/>
            </w:tcBorders>
          </w:tcPr>
          <w:p>
            <w:pPr>
              <w:spacing w:after="0"/>
              <w:rPr>
                <w:sz w:val="19"/>
                <w:szCs w:val="19"/>
                <w:color w:val="auto"/>
              </w:rPr>
            </w:pPr>
          </w:p>
        </w:tc>
        <w:tc>
          <w:tcPr>
            <w:tcW w:w="1080" w:type="dxa"/>
            <w:vAlign w:val="bottom"/>
            <w:tcBorders>
              <w:bottom w:val="single" w:sz="8" w:color="A7A9AC"/>
            </w:tcBorders>
          </w:tcPr>
          <w:p>
            <w:pPr>
              <w:spacing w:after="0"/>
              <w:rPr>
                <w:sz w:val="19"/>
                <w:szCs w:val="19"/>
                <w:color w:val="auto"/>
              </w:rPr>
            </w:pPr>
          </w:p>
        </w:tc>
      </w:tr>
      <w:tr>
        <w:trPr>
          <w:trHeight w:val="223"/>
        </w:trPr>
        <w:tc>
          <w:tcPr>
            <w:tcW w:w="1440" w:type="dxa"/>
            <w:vAlign w:val="bottom"/>
            <w:tcBorders>
              <w:bottom w:val="single" w:sz="8" w:color="CB233C"/>
            </w:tcBorders>
          </w:tcPr>
          <w:p>
            <w:pPr>
              <w:spacing w:after="0"/>
              <w:rPr>
                <w:sz w:val="19"/>
                <w:szCs w:val="19"/>
                <w:color w:val="auto"/>
              </w:rPr>
            </w:pPr>
          </w:p>
        </w:tc>
        <w:tc>
          <w:tcPr>
            <w:tcW w:w="1020" w:type="dxa"/>
            <w:vAlign w:val="bottom"/>
            <w:tcBorders>
              <w:bottom w:val="single" w:sz="8" w:color="CB233C"/>
            </w:tcBorders>
          </w:tcPr>
          <w:p>
            <w:pPr>
              <w:jc w:val="right"/>
              <w:ind w:right="59"/>
              <w:spacing w:after="0"/>
              <w:rPr>
                <w:sz w:val="20"/>
                <w:szCs w:val="20"/>
                <w:color w:val="auto"/>
              </w:rPr>
            </w:pPr>
            <w:r>
              <w:rPr>
                <w:rFonts w:ascii="Arial" w:cs="Arial" w:eastAsia="Arial" w:hAnsi="Arial"/>
                <w:sz w:val="16"/>
                <w:szCs w:val="16"/>
                <w:color w:val="auto"/>
              </w:rPr>
              <w:t>1/4/2021</w:t>
            </w:r>
          </w:p>
        </w:tc>
        <w:tc>
          <w:tcPr>
            <w:tcW w:w="960" w:type="dxa"/>
            <w:vAlign w:val="bottom"/>
            <w:tcBorders>
              <w:bottom w:val="single" w:sz="8" w:color="CB233C"/>
            </w:tcBorders>
          </w:tcPr>
          <w:p>
            <w:pPr>
              <w:spacing w:after="0"/>
              <w:rPr>
                <w:sz w:val="19"/>
                <w:szCs w:val="19"/>
                <w:color w:val="auto"/>
              </w:rPr>
            </w:pPr>
          </w:p>
        </w:tc>
        <w:tc>
          <w:tcPr>
            <w:tcW w:w="1020" w:type="dxa"/>
            <w:vAlign w:val="bottom"/>
            <w:tcBorders>
              <w:bottom w:val="single" w:sz="8" w:color="CB233C"/>
            </w:tcBorders>
          </w:tcPr>
          <w:p>
            <w:pPr>
              <w:spacing w:after="0"/>
              <w:rPr>
                <w:sz w:val="19"/>
                <w:szCs w:val="19"/>
                <w:color w:val="auto"/>
              </w:rPr>
            </w:pPr>
          </w:p>
        </w:tc>
        <w:tc>
          <w:tcPr>
            <w:tcW w:w="1000" w:type="dxa"/>
            <w:vAlign w:val="bottom"/>
            <w:tcBorders>
              <w:bottom w:val="single" w:sz="8" w:color="CB233C"/>
            </w:tcBorders>
          </w:tcPr>
          <w:p>
            <w:pPr>
              <w:spacing w:after="0"/>
              <w:rPr>
                <w:sz w:val="19"/>
                <w:szCs w:val="19"/>
                <w:color w:val="auto"/>
              </w:rPr>
            </w:pPr>
          </w:p>
        </w:tc>
        <w:tc>
          <w:tcPr>
            <w:tcW w:w="360" w:type="dxa"/>
            <w:vAlign w:val="bottom"/>
            <w:tcBorders>
              <w:bottom w:val="single" w:sz="8" w:color="CB233C"/>
            </w:tcBorders>
          </w:tcPr>
          <w:p>
            <w:pPr>
              <w:spacing w:after="0"/>
              <w:rPr>
                <w:sz w:val="19"/>
                <w:szCs w:val="19"/>
                <w:color w:val="auto"/>
              </w:rPr>
            </w:pPr>
          </w:p>
        </w:tc>
        <w:tc>
          <w:tcPr>
            <w:tcW w:w="1000" w:type="dxa"/>
            <w:vAlign w:val="bottom"/>
            <w:tcBorders>
              <w:bottom w:val="single" w:sz="8" w:color="CB233C"/>
            </w:tcBorders>
          </w:tcPr>
          <w:p>
            <w:pPr>
              <w:jc w:val="right"/>
              <w:ind w:right="59"/>
              <w:spacing w:after="0"/>
              <w:rPr>
                <w:sz w:val="20"/>
                <w:szCs w:val="20"/>
                <w:color w:val="auto"/>
              </w:rPr>
            </w:pPr>
            <w:r>
              <w:rPr>
                <w:rFonts w:ascii="Arial" w:cs="Arial" w:eastAsia="Arial" w:hAnsi="Arial"/>
                <w:sz w:val="16"/>
                <w:szCs w:val="16"/>
                <w:color w:val="auto"/>
              </w:rPr>
              <w:t>27,350</w:t>
            </w:r>
          </w:p>
        </w:tc>
        <w:tc>
          <w:tcPr>
            <w:tcW w:w="860" w:type="dxa"/>
            <w:vAlign w:val="bottom"/>
            <w:tcBorders>
              <w:bottom w:val="single" w:sz="8" w:color="CB233C"/>
            </w:tcBorders>
          </w:tcPr>
          <w:p>
            <w:pPr>
              <w:jc w:val="right"/>
              <w:ind w:right="39"/>
              <w:spacing w:after="0"/>
              <w:rPr>
                <w:sz w:val="20"/>
                <w:szCs w:val="20"/>
                <w:color w:val="auto"/>
              </w:rPr>
            </w:pPr>
            <w:r>
              <w:rPr>
                <w:rFonts w:ascii="Arial" w:cs="Arial" w:eastAsia="Arial" w:hAnsi="Arial"/>
                <w:sz w:val="16"/>
                <w:szCs w:val="16"/>
                <w:color w:val="auto"/>
              </w:rPr>
              <w:t>109,400</w:t>
            </w:r>
          </w:p>
        </w:tc>
        <w:tc>
          <w:tcPr>
            <w:tcW w:w="1160" w:type="dxa"/>
            <w:vAlign w:val="bottom"/>
            <w:tcBorders>
              <w:bottom w:val="single" w:sz="8" w:color="CB233C"/>
            </w:tcBorders>
            <w:gridSpan w:val="2"/>
          </w:tcPr>
          <w:p>
            <w:pPr>
              <w:jc w:val="right"/>
              <w:ind w:right="140"/>
              <w:spacing w:after="0" w:line="223" w:lineRule="exact"/>
              <w:rPr>
                <w:sz w:val="20"/>
                <w:szCs w:val="20"/>
                <w:color w:val="auto"/>
              </w:rPr>
            </w:pPr>
            <w:r>
              <w:rPr>
                <w:rFonts w:ascii="Arial" w:cs="Arial" w:eastAsia="Arial" w:hAnsi="Arial"/>
                <w:sz w:val="16"/>
                <w:szCs w:val="16"/>
                <w:color w:val="auto"/>
              </w:rPr>
              <w:t>273,500</w:t>
            </w:r>
            <w:r>
              <w:rPr>
                <w:rFonts w:ascii="Arial" w:cs="Arial" w:eastAsia="Arial" w:hAnsi="Arial"/>
                <w:sz w:val="25"/>
                <w:szCs w:val="25"/>
                <w:color w:val="auto"/>
                <w:vertAlign w:val="superscript"/>
              </w:rPr>
              <w:t>(3)</w:t>
            </w:r>
          </w:p>
        </w:tc>
        <w:tc>
          <w:tcPr>
            <w:tcW w:w="1340" w:type="dxa"/>
            <w:vAlign w:val="bottom"/>
            <w:tcBorders>
              <w:bottom w:val="single" w:sz="8" w:color="CB233C"/>
            </w:tcBorders>
          </w:tcPr>
          <w:p>
            <w:pPr>
              <w:spacing w:after="0"/>
              <w:rPr>
                <w:sz w:val="19"/>
                <w:szCs w:val="19"/>
                <w:color w:val="auto"/>
              </w:rPr>
            </w:pPr>
          </w:p>
        </w:tc>
        <w:tc>
          <w:tcPr>
            <w:tcW w:w="108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2,217,592</w:t>
            </w:r>
          </w:p>
        </w:tc>
      </w:tr>
    </w:tbl>
    <w:p>
      <w:pPr>
        <w:spacing w:after="0" w:line="60"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4"/>
          <w:szCs w:val="14"/>
          <w:i w:val="1"/>
          <w:iCs w:val="1"/>
          <w:color w:val="auto"/>
        </w:rPr>
      </w:pPr>
      <w:r>
        <w:rPr>
          <w:rFonts w:ascii="Arial" w:cs="Arial" w:eastAsia="Arial" w:hAnsi="Arial"/>
          <w:sz w:val="14"/>
          <w:szCs w:val="14"/>
          <w:i w:val="1"/>
          <w:iCs w:val="1"/>
          <w:color w:val="auto"/>
        </w:rPr>
        <w:t>Cash opportunity levels under the 2021 cycle of the Performance Unit Program.</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77"/>
        </w:numPr>
        <w:rPr>
          <w:rFonts w:ascii="Arial" w:cs="Arial" w:eastAsia="Arial" w:hAnsi="Arial"/>
          <w:sz w:val="14"/>
          <w:szCs w:val="14"/>
          <w:i w:val="1"/>
          <w:iCs w:val="1"/>
          <w:color w:val="auto"/>
        </w:rPr>
      </w:pPr>
      <w:r>
        <w:rPr>
          <w:rFonts w:ascii="Arial" w:cs="Arial" w:eastAsia="Arial" w:hAnsi="Arial"/>
          <w:sz w:val="14"/>
          <w:szCs w:val="14"/>
          <w:i w:val="1"/>
          <w:iCs w:val="1"/>
          <w:color w:val="auto"/>
        </w:rPr>
        <w:t>Cash opportunity levels under the 2021 Halliburton Annual Performance Pay Plan.</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77"/>
        </w:numPr>
        <w:rPr>
          <w:rFonts w:ascii="Arial" w:cs="Arial" w:eastAsia="Arial" w:hAnsi="Arial"/>
          <w:sz w:val="14"/>
          <w:szCs w:val="14"/>
          <w:i w:val="1"/>
          <w:iCs w:val="1"/>
          <w:color w:val="auto"/>
        </w:rPr>
      </w:pPr>
      <w:r>
        <w:rPr>
          <w:rFonts w:ascii="Arial" w:cs="Arial" w:eastAsia="Arial" w:hAnsi="Arial"/>
          <w:sz w:val="14"/>
          <w:szCs w:val="14"/>
          <w:i w:val="1"/>
          <w:iCs w:val="1"/>
          <w:color w:val="auto"/>
        </w:rPr>
        <w:t>Share opportunity levels under the 2021 cycle of the Performance Unit Program.</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77"/>
        </w:numPr>
        <w:rPr>
          <w:rFonts w:ascii="Arial" w:cs="Arial" w:eastAsia="Arial" w:hAnsi="Arial"/>
          <w:sz w:val="14"/>
          <w:szCs w:val="14"/>
          <w:i w:val="1"/>
          <w:iCs w:val="1"/>
          <w:color w:val="auto"/>
        </w:rPr>
      </w:pPr>
      <w:r>
        <w:rPr>
          <w:rFonts w:ascii="Arial" w:cs="Arial" w:eastAsia="Arial" w:hAnsi="Arial"/>
          <w:sz w:val="14"/>
          <w:szCs w:val="14"/>
          <w:i w:val="1"/>
          <w:iCs w:val="1"/>
          <w:color w:val="auto"/>
        </w:rPr>
        <w:t>This column reflects the grant date fair value at target of the equity based incentive awards under the PUP.</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indicated by footnotes (1) and (3), the cash opportunities for each NEO under the 2021 cycle Performance Unit Program if the Threshold, Target, or Maximum levels are achieved are reflected under Estimated Future Payouts Under Non-Equity Incentive Plan Awards and the share opportunities are reflected under Estimated Future Payouts Under Equity Incentive Plan Awards. The potential payouts are performance driven and completely at risk. For more information on the 2021 cycle Performance Unit Program, refer to Long-term Incentives in Compensation Discussion and Analysis.</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indicated by footnote (2), the opportunities for each NEO under the 2021 Halliburton Annual Performance Pay Plan are also reflected under Estimated Future Payouts Under Non-Equity Incentive Plan Awards. The potential payouts are performance driven and completely at risk. For more information on the 2021 Halliburton Annual Performance Pay Program, refer to Short-term (Annual) Incentive in Compensation Discussion and Analysis.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performance share grants awarded to the NEOs during 2021 are subject to a three-year performance period. All performance shares are priced at fair market value on the date of grant. Quarterly dividends will not be paid during the performance period but shall be accrued and paid in cash at the time, and to the extent, the underlying shares of Company common stock are delivered.</w:t>
      </w:r>
    </w:p>
    <w:p>
      <w:pPr>
        <w:spacing w:after="0" w:line="252" w:lineRule="exact"/>
        <w:rPr>
          <w:sz w:val="20"/>
          <w:szCs w:val="20"/>
          <w:color w:val="auto"/>
        </w:r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342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Outstanding Equity Awards at Fiscal Year End 2021</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table represents outstanding stock option and restricted stock awards for our NEOs as of December 31, 2021. The market value of shares or units of stock not vested was determined by multiplying the number of unvested restricted shares at year end by the closing price of our common stock on the NYSE of $22.87 on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Borders>
              <w:bottom w:val="single" w:sz="8" w:color="CB233C"/>
            </w:tcBorders>
          </w:tcPr>
          <w:p>
            <w:pPr>
              <w:spacing w:after="0"/>
              <w:rPr>
                <w:sz w:val="17"/>
                <w:szCs w:val="17"/>
                <w:color w:val="auto"/>
              </w:rPr>
            </w:pPr>
          </w:p>
        </w:tc>
        <w:tc>
          <w:tcPr>
            <w:tcW w:w="2120" w:type="dxa"/>
            <w:vAlign w:val="bottom"/>
            <w:tcBorders>
              <w:bottom w:val="single" w:sz="8" w:color="CB233C"/>
            </w:tcBorders>
            <w:gridSpan w:val="2"/>
          </w:tcPr>
          <w:p>
            <w:pPr>
              <w:jc w:val="right"/>
              <w:ind w:right="539"/>
              <w:spacing w:after="0"/>
              <w:rPr>
                <w:sz w:val="20"/>
                <w:szCs w:val="20"/>
                <w:color w:val="auto"/>
              </w:rPr>
            </w:pPr>
            <w:r>
              <w:rPr>
                <w:rFonts w:ascii="Arial" w:cs="Arial" w:eastAsia="Arial" w:hAnsi="Arial"/>
                <w:sz w:val="16"/>
                <w:szCs w:val="16"/>
                <w:b w:val="1"/>
                <w:bCs w:val="1"/>
                <w:color w:val="auto"/>
              </w:rPr>
              <w:t>Option Awards</w:t>
            </w:r>
          </w:p>
        </w:tc>
        <w:tc>
          <w:tcPr>
            <w:tcW w:w="880" w:type="dxa"/>
            <w:vAlign w:val="bottom"/>
            <w:tcBorders>
              <w:bottom w:val="single" w:sz="8" w:color="CB233C"/>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CB233C"/>
            </w:tcBorders>
          </w:tcPr>
          <w:p>
            <w:pPr>
              <w:spacing w:after="0"/>
              <w:rPr>
                <w:sz w:val="17"/>
                <w:szCs w:val="17"/>
                <w:color w:val="auto"/>
              </w:rPr>
            </w:pPr>
          </w:p>
        </w:tc>
        <w:tc>
          <w:tcPr>
            <w:tcW w:w="2240" w:type="dxa"/>
            <w:vAlign w:val="bottom"/>
            <w:tcBorders>
              <w:bottom w:val="single" w:sz="8" w:color="CB233C"/>
            </w:tcBorders>
            <w:gridSpan w:val="2"/>
          </w:tcPr>
          <w:p>
            <w:pPr>
              <w:jc w:val="right"/>
              <w:ind w:right="459"/>
              <w:spacing w:after="0"/>
              <w:rPr>
                <w:sz w:val="20"/>
                <w:szCs w:val="20"/>
                <w:color w:val="auto"/>
              </w:rPr>
            </w:pPr>
            <w:r>
              <w:rPr>
                <w:rFonts w:ascii="Arial" w:cs="Arial" w:eastAsia="Arial" w:hAnsi="Arial"/>
                <w:sz w:val="16"/>
                <w:szCs w:val="16"/>
                <w:b w:val="1"/>
                <w:bCs w:val="1"/>
                <w:color w:val="auto"/>
              </w:rPr>
              <w:t>Stock Awards</w:t>
            </w:r>
          </w:p>
        </w:tc>
        <w:tc>
          <w:tcPr>
            <w:tcW w:w="1140" w:type="dxa"/>
            <w:vAlign w:val="bottom"/>
            <w:tcBorders>
              <w:bottom w:val="single" w:sz="8" w:color="CB233C"/>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Equity</w:t>
            </w:r>
          </w:p>
        </w:tc>
        <w:tc>
          <w:tcPr>
            <w:tcW w:w="114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Incentive</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Incentive</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Plan</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Plan Awards:</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Awards:</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Market or</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30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 Unearned</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Payout Value</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Securities</w:t>
            </w:r>
          </w:p>
        </w:tc>
        <w:tc>
          <w:tcPr>
            <w:tcW w:w="1300" w:type="dxa"/>
            <w:vAlign w:val="bottom"/>
          </w:tcPr>
          <w:p>
            <w:pPr>
              <w:jc w:val="right"/>
              <w:ind w:right="39"/>
              <w:spacing w:after="0"/>
              <w:rPr>
                <w:sz w:val="20"/>
                <w:szCs w:val="20"/>
                <w:color w:val="auto"/>
              </w:rPr>
            </w:pPr>
            <w:r>
              <w:rPr>
                <w:rFonts w:ascii="Arial" w:cs="Arial" w:eastAsia="Arial" w:hAnsi="Arial"/>
                <w:sz w:val="16"/>
                <w:szCs w:val="16"/>
                <w:b w:val="1"/>
                <w:bCs w:val="1"/>
                <w:color w:val="auto"/>
              </w:rPr>
              <w:t>Securities</w:t>
            </w: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Market Value</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Shares</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of Unearned</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Underlying</w:t>
            </w:r>
          </w:p>
        </w:tc>
        <w:tc>
          <w:tcPr>
            <w:tcW w:w="1300" w:type="dxa"/>
            <w:vAlign w:val="bottom"/>
          </w:tcPr>
          <w:p>
            <w:pPr>
              <w:jc w:val="right"/>
              <w:ind w:right="39"/>
              <w:spacing w:after="0"/>
              <w:rPr>
                <w:sz w:val="20"/>
                <w:szCs w:val="20"/>
                <w:color w:val="auto"/>
              </w:rPr>
            </w:pPr>
            <w:r>
              <w:rPr>
                <w:rFonts w:ascii="Arial" w:cs="Arial" w:eastAsia="Arial" w:hAnsi="Arial"/>
                <w:sz w:val="16"/>
                <w:szCs w:val="16"/>
                <w:b w:val="1"/>
                <w:bCs w:val="1"/>
                <w:color w:val="auto"/>
              </w:rPr>
              <w:t>Underlying</w:t>
            </w: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Shares</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of Shares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Units or</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Unexercised</w:t>
            </w:r>
          </w:p>
        </w:tc>
        <w:tc>
          <w:tcPr>
            <w:tcW w:w="1300" w:type="dxa"/>
            <w:vAlign w:val="bottom"/>
          </w:tcPr>
          <w:p>
            <w:pPr>
              <w:jc w:val="right"/>
              <w:ind w:right="39"/>
              <w:spacing w:after="0"/>
              <w:rPr>
                <w:sz w:val="20"/>
                <w:szCs w:val="20"/>
                <w:color w:val="auto"/>
              </w:rPr>
            </w:pPr>
            <w:r>
              <w:rPr>
                <w:rFonts w:ascii="Arial" w:cs="Arial" w:eastAsia="Arial" w:hAnsi="Arial"/>
                <w:sz w:val="16"/>
                <w:szCs w:val="16"/>
                <w:b w:val="1"/>
                <w:bCs w:val="1"/>
                <w:color w:val="auto"/>
              </w:rPr>
              <w:t>Unexercised</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Option</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or Units</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or Units of</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Units or</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Options</w:t>
            </w:r>
          </w:p>
        </w:tc>
        <w:tc>
          <w:tcPr>
            <w:tcW w:w="1300" w:type="dxa"/>
            <w:vAlign w:val="bottom"/>
          </w:tcPr>
          <w:p>
            <w:pPr>
              <w:jc w:val="right"/>
              <w:ind w:right="39"/>
              <w:spacing w:after="0"/>
              <w:rPr>
                <w:sz w:val="20"/>
                <w:szCs w:val="20"/>
                <w:color w:val="auto"/>
              </w:rPr>
            </w:pPr>
            <w:r>
              <w:rPr>
                <w:rFonts w:ascii="Arial" w:cs="Arial" w:eastAsia="Arial" w:hAnsi="Arial"/>
                <w:sz w:val="16"/>
                <w:szCs w:val="16"/>
                <w:b w:val="1"/>
                <w:bCs w:val="1"/>
                <w:color w:val="auto"/>
              </w:rPr>
              <w:t>Options</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Exercise</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Option</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of Stock</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Stock</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Rights</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Other Rights</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Price</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Expiration</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Not Vested</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Not Vested</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Not Vested</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Not Vested</w:t>
            </w:r>
          </w:p>
        </w:tc>
        <w:tc>
          <w:tcPr>
            <w:tcW w:w="0" w:type="dxa"/>
            <w:vAlign w:val="bottom"/>
          </w:tcPr>
          <w:p>
            <w:pPr>
              <w:spacing w:after="0"/>
              <w:rPr>
                <w:sz w:val="1"/>
                <w:szCs w:val="1"/>
                <w:color w:val="auto"/>
              </w:rPr>
            </w:pPr>
          </w:p>
        </w:tc>
      </w:tr>
      <w:tr>
        <w:trPr>
          <w:trHeight w:val="203"/>
        </w:trPr>
        <w:tc>
          <w:tcPr>
            <w:tcW w:w="1620" w:type="dxa"/>
            <w:vAlign w:val="bottom"/>
            <w:tcBorders>
              <w:bottom w:val="single" w:sz="8" w:color="CB233C"/>
            </w:tcBorders>
          </w:tcPr>
          <w:p>
            <w:pPr>
              <w:ind w:left="60"/>
              <w:spacing w:after="0"/>
              <w:rPr>
                <w:sz w:val="20"/>
                <w:szCs w:val="20"/>
                <w:color w:val="auto"/>
              </w:rPr>
            </w:pPr>
            <w:r>
              <w:rPr>
                <w:rFonts w:ascii="Arial" w:cs="Arial" w:eastAsia="Arial" w:hAnsi="Arial"/>
                <w:sz w:val="16"/>
                <w:szCs w:val="16"/>
                <w:b w:val="1"/>
                <w:bCs w:val="1"/>
                <w:color w:val="auto"/>
              </w:rPr>
              <w:t>Name</w:t>
            </w:r>
          </w:p>
        </w:tc>
        <w:tc>
          <w:tcPr>
            <w:tcW w:w="960" w:type="dxa"/>
            <w:vAlign w:val="bottom"/>
            <w:tcBorders>
              <w:bottom w:val="single" w:sz="8" w:color="CB233C"/>
            </w:tcBorders>
          </w:tcPr>
          <w:p>
            <w:pPr>
              <w:jc w:val="right"/>
              <w:ind w:right="39"/>
              <w:spacing w:after="0"/>
              <w:rPr>
                <w:sz w:val="20"/>
                <w:szCs w:val="20"/>
                <w:color w:val="auto"/>
              </w:rPr>
            </w:pPr>
            <w:r>
              <w:rPr>
                <w:rFonts w:ascii="Arial" w:cs="Arial" w:eastAsia="Arial" w:hAnsi="Arial"/>
                <w:sz w:val="16"/>
                <w:szCs w:val="16"/>
                <w:b w:val="1"/>
                <w:bCs w:val="1"/>
                <w:color w:val="auto"/>
              </w:rPr>
              <w:t>Grant Date</w:t>
            </w:r>
          </w:p>
        </w:tc>
        <w:tc>
          <w:tcPr>
            <w:tcW w:w="114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auto"/>
              </w:rPr>
              <w:t>Exercisable</w:t>
            </w:r>
          </w:p>
        </w:tc>
        <w:tc>
          <w:tcPr>
            <w:tcW w:w="1300" w:type="dxa"/>
            <w:vAlign w:val="bottom"/>
            <w:tcBorders>
              <w:bottom w:val="single" w:sz="8" w:color="CB233C"/>
            </w:tcBorders>
          </w:tcPr>
          <w:p>
            <w:pPr>
              <w:jc w:val="right"/>
              <w:ind w:right="39"/>
              <w:spacing w:after="0"/>
              <w:rPr>
                <w:sz w:val="20"/>
                <w:szCs w:val="20"/>
                <w:color w:val="auto"/>
              </w:rPr>
            </w:pPr>
            <w:r>
              <w:rPr>
                <w:rFonts w:ascii="Arial" w:cs="Arial" w:eastAsia="Arial" w:hAnsi="Arial"/>
                <w:sz w:val="16"/>
                <w:szCs w:val="16"/>
                <w:b w:val="1"/>
                <w:bCs w:val="1"/>
                <w:color w:val="auto"/>
              </w:rPr>
              <w:t>Unexercisable</w:t>
            </w:r>
          </w:p>
        </w:tc>
        <w:tc>
          <w:tcPr>
            <w:tcW w:w="82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B233C"/>
            </w:tcBorders>
            <w:gridSpan w:val="2"/>
          </w:tcPr>
          <w:p>
            <w:pPr>
              <w:jc w:val="right"/>
              <w:ind w:right="100"/>
              <w:spacing w:after="0"/>
              <w:rPr>
                <w:sz w:val="20"/>
                <w:szCs w:val="20"/>
                <w:color w:val="auto"/>
              </w:rPr>
            </w:pPr>
            <w:r>
              <w:rPr>
                <w:rFonts w:ascii="Arial" w:cs="Arial" w:eastAsia="Arial" w:hAnsi="Arial"/>
                <w:sz w:val="16"/>
                <w:szCs w:val="16"/>
                <w:b w:val="1"/>
                <w:bCs w:val="1"/>
                <w:color w:val="auto"/>
              </w:rPr>
              <w:t>Date</w:t>
            </w:r>
          </w:p>
        </w:tc>
        <w:tc>
          <w:tcPr>
            <w:tcW w:w="104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6"/>
        </w:trPr>
        <w:tc>
          <w:tcPr>
            <w:tcW w:w="1620" w:type="dxa"/>
            <w:vAlign w:val="bottom"/>
          </w:tcPr>
          <w:p>
            <w:pPr>
              <w:ind w:left="60"/>
              <w:spacing w:after="0" w:line="195" w:lineRule="exact"/>
              <w:rPr>
                <w:sz w:val="20"/>
                <w:szCs w:val="20"/>
                <w:color w:val="auto"/>
              </w:rPr>
            </w:pPr>
            <w:r>
              <w:rPr>
                <w:rFonts w:ascii="Arial" w:cs="Arial" w:eastAsia="Arial" w:hAnsi="Arial"/>
                <w:sz w:val="14"/>
                <w:szCs w:val="14"/>
                <w:b w:val="1"/>
                <w:bCs w:val="1"/>
                <w:color w:val="auto"/>
              </w:rPr>
              <w:t>Jeffrey A. Miller</w:t>
            </w:r>
            <w:r>
              <w:rPr>
                <w:rFonts w:ascii="Arial" w:cs="Arial" w:eastAsia="Arial" w:hAnsi="Arial"/>
                <w:sz w:val="22"/>
                <w:szCs w:val="22"/>
                <w:b w:val="1"/>
                <w:bCs w:val="1"/>
                <w:color w:val="auto"/>
                <w:vertAlign w:val="superscript"/>
              </w:rPr>
              <w:t>(1)</w:t>
            </w:r>
          </w:p>
        </w:tc>
        <w:tc>
          <w:tcPr>
            <w:tcW w:w="960" w:type="dxa"/>
            <w:vAlign w:val="bottom"/>
            <w:tcBorders>
              <w:bottom w:val="single" w:sz="8" w:color="A7A9AC"/>
            </w:tcBorders>
          </w:tcPr>
          <w:p>
            <w:pPr>
              <w:jc w:val="right"/>
              <w:ind w:right="39"/>
              <w:spacing w:after="0"/>
              <w:rPr>
                <w:sz w:val="20"/>
                <w:szCs w:val="20"/>
                <w:color w:val="auto"/>
              </w:rPr>
            </w:pPr>
            <w:r>
              <w:rPr>
                <w:rFonts w:ascii="Arial" w:cs="Arial" w:eastAsia="Arial" w:hAnsi="Arial"/>
                <w:sz w:val="16"/>
                <w:szCs w:val="16"/>
                <w:color w:val="auto"/>
              </w:rPr>
              <w:t>12/4/2013</w:t>
            </w:r>
          </w:p>
        </w:tc>
        <w:tc>
          <w:tcPr>
            <w:tcW w:w="11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55,700</w:t>
            </w:r>
          </w:p>
        </w:tc>
        <w:tc>
          <w:tcPr>
            <w:tcW w:w="1300" w:type="dxa"/>
            <w:vAlign w:val="bottom"/>
            <w:tcBorders>
              <w:bottom w:val="single" w:sz="8" w:color="A7A9AC"/>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50.62</w:t>
            </w:r>
          </w:p>
        </w:tc>
        <w:tc>
          <w:tcPr>
            <w:tcW w:w="980" w:type="dxa"/>
            <w:vAlign w:val="bottom"/>
            <w:tcBorders>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12/4/2023</w:t>
            </w:r>
          </w:p>
        </w:tc>
        <w:tc>
          <w:tcPr>
            <w:tcW w:w="104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96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12/3/2014</w:t>
            </w:r>
          </w:p>
        </w:tc>
        <w:tc>
          <w:tcPr>
            <w:tcW w:w="11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115,100</w:t>
            </w:r>
          </w:p>
        </w:tc>
        <w:tc>
          <w:tcPr>
            <w:tcW w:w="130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40.75</w:t>
            </w:r>
          </w:p>
        </w:tc>
        <w:tc>
          <w:tcPr>
            <w:tcW w:w="98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12/3/2024</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96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12/2/2015</w:t>
            </w:r>
          </w:p>
        </w:tc>
        <w:tc>
          <w:tcPr>
            <w:tcW w:w="11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99,200</w:t>
            </w:r>
          </w:p>
        </w:tc>
        <w:tc>
          <w:tcPr>
            <w:tcW w:w="130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38.95</w:t>
            </w:r>
          </w:p>
        </w:tc>
        <w:tc>
          <w:tcPr>
            <w:tcW w:w="98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12/2/2025</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96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12/7/2016</w:t>
            </w:r>
          </w:p>
        </w:tc>
        <w:tc>
          <w:tcPr>
            <w:tcW w:w="11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69,500</w:t>
            </w:r>
          </w:p>
        </w:tc>
        <w:tc>
          <w:tcPr>
            <w:tcW w:w="130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53.54</w:t>
            </w:r>
          </w:p>
        </w:tc>
        <w:tc>
          <w:tcPr>
            <w:tcW w:w="98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12/7/2026</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96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6/1/2017</w:t>
            </w:r>
          </w:p>
        </w:tc>
        <w:tc>
          <w:tcPr>
            <w:tcW w:w="11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7A9AC"/>
            </w:tcBorders>
          </w:tcPr>
          <w:p>
            <w:pPr>
              <w:spacing w:after="0"/>
              <w:rPr>
                <w:sz w:val="15"/>
                <w:szCs w:val="15"/>
                <w:color w:val="auto"/>
              </w:rPr>
            </w:pPr>
          </w:p>
        </w:tc>
        <w:tc>
          <w:tcPr>
            <w:tcW w:w="880" w:type="dxa"/>
            <w:vAlign w:val="bottom"/>
            <w:tcBorders>
              <w:bottom w:val="single" w:sz="8" w:color="A7A9AC"/>
            </w:tcBorders>
          </w:tcPr>
          <w:p>
            <w:pPr>
              <w:spacing w:after="0"/>
              <w:rPr>
                <w:sz w:val="15"/>
                <w:szCs w:val="15"/>
                <w:color w:val="auto"/>
              </w:rPr>
            </w:pPr>
          </w:p>
        </w:tc>
        <w:tc>
          <w:tcPr>
            <w:tcW w:w="100" w:type="dxa"/>
            <w:vAlign w:val="bottom"/>
            <w:tcBorders>
              <w:bottom w:val="single" w:sz="8" w:color="A7A9AC"/>
            </w:tcBorders>
          </w:tcPr>
          <w:p>
            <w:pPr>
              <w:spacing w:after="0"/>
              <w:rPr>
                <w:sz w:val="15"/>
                <w:szCs w:val="15"/>
                <w:color w:val="auto"/>
              </w:rPr>
            </w:pP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150,000</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3,430,500</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96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12/6/2017</w:t>
            </w:r>
          </w:p>
        </w:tc>
        <w:tc>
          <w:tcPr>
            <w:tcW w:w="11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128,500</w:t>
            </w:r>
          </w:p>
        </w:tc>
        <w:tc>
          <w:tcPr>
            <w:tcW w:w="130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43.38</w:t>
            </w:r>
          </w:p>
        </w:tc>
        <w:tc>
          <w:tcPr>
            <w:tcW w:w="98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12/6/2027</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15,420</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352,655</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96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12/5/2018</w:t>
            </w:r>
          </w:p>
        </w:tc>
        <w:tc>
          <w:tcPr>
            <w:tcW w:w="11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171,200</w:t>
            </w:r>
          </w:p>
        </w:tc>
        <w:tc>
          <w:tcPr>
            <w:tcW w:w="130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31.44</w:t>
            </w:r>
          </w:p>
        </w:tc>
        <w:tc>
          <w:tcPr>
            <w:tcW w:w="98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12/5/2028</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39,920</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912,970</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96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12/4/2019</w:t>
            </w:r>
          </w:p>
        </w:tc>
        <w:tc>
          <w:tcPr>
            <w:tcW w:w="11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7A9AC"/>
            </w:tcBorders>
          </w:tcPr>
          <w:p>
            <w:pPr>
              <w:spacing w:after="0"/>
              <w:rPr>
                <w:sz w:val="15"/>
                <w:szCs w:val="15"/>
                <w:color w:val="auto"/>
              </w:rPr>
            </w:pPr>
          </w:p>
        </w:tc>
        <w:tc>
          <w:tcPr>
            <w:tcW w:w="880" w:type="dxa"/>
            <w:vAlign w:val="bottom"/>
            <w:tcBorders>
              <w:bottom w:val="single" w:sz="8" w:color="A7A9AC"/>
            </w:tcBorders>
          </w:tcPr>
          <w:p>
            <w:pPr>
              <w:spacing w:after="0"/>
              <w:rPr>
                <w:sz w:val="15"/>
                <w:szCs w:val="15"/>
                <w:color w:val="auto"/>
              </w:rPr>
            </w:pPr>
          </w:p>
        </w:tc>
        <w:tc>
          <w:tcPr>
            <w:tcW w:w="100" w:type="dxa"/>
            <w:vAlign w:val="bottom"/>
            <w:tcBorders>
              <w:bottom w:val="single" w:sz="8" w:color="A7A9AC"/>
            </w:tcBorders>
          </w:tcPr>
          <w:p>
            <w:pPr>
              <w:spacing w:after="0"/>
              <w:rPr>
                <w:sz w:val="15"/>
                <w:szCs w:val="15"/>
                <w:color w:val="auto"/>
              </w:rPr>
            </w:pP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100,160</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2,290,659</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96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1/2/2020</w:t>
            </w:r>
          </w:p>
        </w:tc>
        <w:tc>
          <w:tcPr>
            <w:tcW w:w="11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7A9AC"/>
            </w:tcBorders>
          </w:tcPr>
          <w:p>
            <w:pPr>
              <w:spacing w:after="0"/>
              <w:rPr>
                <w:sz w:val="15"/>
                <w:szCs w:val="15"/>
                <w:color w:val="auto"/>
              </w:rPr>
            </w:pPr>
          </w:p>
        </w:tc>
        <w:tc>
          <w:tcPr>
            <w:tcW w:w="880" w:type="dxa"/>
            <w:vAlign w:val="bottom"/>
            <w:tcBorders>
              <w:bottom w:val="single" w:sz="8" w:color="A7A9AC"/>
            </w:tcBorders>
          </w:tcPr>
          <w:p>
            <w:pPr>
              <w:spacing w:after="0"/>
              <w:rPr>
                <w:sz w:val="15"/>
                <w:szCs w:val="15"/>
                <w:color w:val="auto"/>
              </w:rPr>
            </w:pPr>
          </w:p>
        </w:tc>
        <w:tc>
          <w:tcPr>
            <w:tcW w:w="100" w:type="dxa"/>
            <w:vAlign w:val="bottom"/>
            <w:tcBorders>
              <w:bottom w:val="single" w:sz="8" w:color="A7A9AC"/>
            </w:tcBorders>
          </w:tcPr>
          <w:p>
            <w:pPr>
              <w:spacing w:after="0"/>
              <w:rPr>
                <w:sz w:val="15"/>
                <w:szCs w:val="15"/>
                <w:color w:val="auto"/>
              </w:rPr>
            </w:pP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194,773</w:t>
            </w:r>
          </w:p>
        </w:tc>
        <w:tc>
          <w:tcPr>
            <w:tcW w:w="11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4,454,459</w:t>
            </w: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96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12/2/2020</w:t>
            </w:r>
          </w:p>
        </w:tc>
        <w:tc>
          <w:tcPr>
            <w:tcW w:w="11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7A9AC"/>
            </w:tcBorders>
          </w:tcPr>
          <w:p>
            <w:pPr>
              <w:spacing w:after="0"/>
              <w:rPr>
                <w:sz w:val="15"/>
                <w:szCs w:val="15"/>
                <w:color w:val="auto"/>
              </w:rPr>
            </w:pPr>
          </w:p>
        </w:tc>
        <w:tc>
          <w:tcPr>
            <w:tcW w:w="880" w:type="dxa"/>
            <w:vAlign w:val="bottom"/>
            <w:tcBorders>
              <w:bottom w:val="single" w:sz="8" w:color="A7A9AC"/>
            </w:tcBorders>
          </w:tcPr>
          <w:p>
            <w:pPr>
              <w:spacing w:after="0"/>
              <w:rPr>
                <w:sz w:val="15"/>
                <w:szCs w:val="15"/>
                <w:color w:val="auto"/>
              </w:rPr>
            </w:pPr>
          </w:p>
        </w:tc>
        <w:tc>
          <w:tcPr>
            <w:tcW w:w="100" w:type="dxa"/>
            <w:vAlign w:val="bottom"/>
            <w:tcBorders>
              <w:bottom w:val="single" w:sz="8" w:color="A7A9AC"/>
            </w:tcBorders>
          </w:tcPr>
          <w:p>
            <w:pPr>
              <w:spacing w:after="0"/>
              <w:rPr>
                <w:sz w:val="15"/>
                <w:szCs w:val="15"/>
                <w:color w:val="auto"/>
              </w:rPr>
            </w:pP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213,120</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4,874,054</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620" w:type="dxa"/>
            <w:vAlign w:val="bottom"/>
            <w:vMerge w:val="restart"/>
          </w:tcPr>
          <w:p>
            <w:pPr>
              <w:ind w:left="60"/>
              <w:spacing w:after="0"/>
              <w:rPr>
                <w:sz w:val="20"/>
                <w:szCs w:val="20"/>
                <w:color w:val="auto"/>
              </w:rPr>
            </w:pPr>
            <w:r>
              <w:rPr>
                <w:rFonts w:ascii="Arial" w:cs="Arial" w:eastAsia="Arial" w:hAnsi="Arial"/>
                <w:sz w:val="16"/>
                <w:szCs w:val="16"/>
                <w:b w:val="1"/>
                <w:bCs w:val="1"/>
                <w:color w:val="CB233C"/>
              </w:rPr>
              <w:t>TOTAL</w:t>
            </w:r>
          </w:p>
        </w:tc>
        <w:tc>
          <w:tcPr>
            <w:tcW w:w="960" w:type="dxa"/>
            <w:vAlign w:val="bottom"/>
            <w:tcBorders>
              <w:bottom w:val="single" w:sz="8" w:color="CB233C"/>
            </w:tcBorders>
          </w:tcPr>
          <w:p>
            <w:pPr>
              <w:jc w:val="right"/>
              <w:ind w:right="39"/>
              <w:spacing w:after="0"/>
              <w:rPr>
                <w:sz w:val="20"/>
                <w:szCs w:val="20"/>
                <w:color w:val="auto"/>
              </w:rPr>
            </w:pPr>
            <w:r>
              <w:rPr>
                <w:rFonts w:ascii="Arial" w:cs="Arial" w:eastAsia="Arial" w:hAnsi="Arial"/>
                <w:sz w:val="16"/>
                <w:szCs w:val="16"/>
                <w:color w:val="auto"/>
              </w:rPr>
              <w:t>1/4/2021</w:t>
            </w:r>
          </w:p>
        </w:tc>
        <w:tc>
          <w:tcPr>
            <w:tcW w:w="114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B233C"/>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Borders>
              <w:bottom w:val="single" w:sz="8" w:color="CB233C"/>
            </w:tcBorders>
          </w:tcPr>
          <w:p>
            <w:pPr>
              <w:spacing w:after="0"/>
              <w:rPr>
                <w:sz w:val="17"/>
                <w:szCs w:val="17"/>
                <w:color w:val="auto"/>
              </w:rPr>
            </w:pPr>
          </w:p>
        </w:tc>
        <w:tc>
          <w:tcPr>
            <w:tcW w:w="104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310,800</w:t>
            </w:r>
          </w:p>
        </w:tc>
        <w:tc>
          <w:tcPr>
            <w:tcW w:w="114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7,107,996</w:t>
            </w:r>
          </w:p>
        </w:tc>
        <w:tc>
          <w:tcPr>
            <w:tcW w:w="0" w:type="dxa"/>
            <w:vAlign w:val="bottom"/>
          </w:tcPr>
          <w:p>
            <w:pPr>
              <w:spacing w:after="0"/>
              <w:rPr>
                <w:sz w:val="1"/>
                <w:szCs w:val="1"/>
                <w:color w:val="auto"/>
              </w:rPr>
            </w:pPr>
          </w:p>
        </w:tc>
      </w:tr>
      <w:tr>
        <w:trPr>
          <w:trHeight w:val="183"/>
        </w:trPr>
        <w:tc>
          <w:tcPr>
            <w:tcW w:w="1620" w:type="dxa"/>
            <w:vAlign w:val="bottom"/>
            <w:tcBorders>
              <w:bottom w:val="single" w:sz="8" w:color="CB233C"/>
            </w:tcBorders>
            <w:vMerge w:val="continue"/>
          </w:tcPr>
          <w:p>
            <w:pPr>
              <w:spacing w:after="0"/>
              <w:rPr>
                <w:sz w:val="15"/>
                <w:szCs w:val="15"/>
                <w:color w:val="auto"/>
              </w:rPr>
            </w:pPr>
          </w:p>
        </w:tc>
        <w:tc>
          <w:tcPr>
            <w:tcW w:w="960" w:type="dxa"/>
            <w:vAlign w:val="bottom"/>
            <w:tcBorders>
              <w:bottom w:val="single" w:sz="8" w:color="CB233C"/>
            </w:tcBorders>
          </w:tcPr>
          <w:p>
            <w:pPr>
              <w:spacing w:after="0"/>
              <w:rPr>
                <w:sz w:val="15"/>
                <w:szCs w:val="15"/>
                <w:color w:val="auto"/>
              </w:rPr>
            </w:pPr>
          </w:p>
        </w:tc>
        <w:tc>
          <w:tcPr>
            <w:tcW w:w="114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639,200</w:t>
            </w:r>
          </w:p>
        </w:tc>
        <w:tc>
          <w:tcPr>
            <w:tcW w:w="1300" w:type="dxa"/>
            <w:vAlign w:val="bottom"/>
            <w:tcBorders>
              <w:bottom w:val="single" w:sz="8" w:color="CB233C"/>
            </w:tcBorders>
          </w:tcPr>
          <w:p>
            <w:pPr>
              <w:jc w:val="right"/>
              <w:ind w:right="39"/>
              <w:spacing w:after="0" w:line="183" w:lineRule="exact"/>
              <w:rPr>
                <w:sz w:val="20"/>
                <w:szCs w:val="20"/>
                <w:color w:val="auto"/>
              </w:rPr>
            </w:pPr>
            <w:r>
              <w:rPr>
                <w:rFonts w:ascii="Arial" w:cs="Arial" w:eastAsia="Arial" w:hAnsi="Arial"/>
                <w:sz w:val="16"/>
                <w:szCs w:val="16"/>
                <w:b w:val="1"/>
                <w:bCs w:val="1"/>
                <w:color w:val="CB233C"/>
              </w:rPr>
              <w:t>–</w:t>
            </w:r>
          </w:p>
        </w:tc>
        <w:tc>
          <w:tcPr>
            <w:tcW w:w="820" w:type="dxa"/>
            <w:vAlign w:val="bottom"/>
            <w:tcBorders>
              <w:bottom w:val="single" w:sz="8" w:color="CB233C"/>
            </w:tcBorders>
          </w:tcPr>
          <w:p>
            <w:pPr>
              <w:spacing w:after="0"/>
              <w:rPr>
                <w:sz w:val="15"/>
                <w:szCs w:val="15"/>
                <w:color w:val="auto"/>
              </w:rPr>
            </w:pPr>
          </w:p>
        </w:tc>
        <w:tc>
          <w:tcPr>
            <w:tcW w:w="880" w:type="dxa"/>
            <w:vAlign w:val="bottom"/>
            <w:tcBorders>
              <w:bottom w:val="single" w:sz="8" w:color="CB233C"/>
            </w:tcBorders>
          </w:tcPr>
          <w:p>
            <w:pPr>
              <w:spacing w:after="0"/>
              <w:rPr>
                <w:sz w:val="15"/>
                <w:szCs w:val="15"/>
                <w:color w:val="auto"/>
              </w:rPr>
            </w:pPr>
          </w:p>
        </w:tc>
        <w:tc>
          <w:tcPr>
            <w:tcW w:w="100" w:type="dxa"/>
            <w:vAlign w:val="bottom"/>
            <w:tcBorders>
              <w:bottom w:val="single" w:sz="8" w:color="CB233C"/>
            </w:tcBorders>
          </w:tcPr>
          <w:p>
            <w:pPr>
              <w:spacing w:after="0"/>
              <w:rPr>
                <w:sz w:val="15"/>
                <w:szCs w:val="15"/>
                <w:color w:val="auto"/>
              </w:rPr>
            </w:pPr>
          </w:p>
        </w:tc>
        <w:tc>
          <w:tcPr>
            <w:tcW w:w="104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b w:val="1"/>
                <w:bCs w:val="1"/>
                <w:color w:val="CB233C"/>
              </w:rPr>
              <w:t>518,620</w:t>
            </w:r>
          </w:p>
        </w:tc>
        <w:tc>
          <w:tcPr>
            <w:tcW w:w="120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11,860,838</w:t>
            </w:r>
          </w:p>
        </w:tc>
        <w:tc>
          <w:tcPr>
            <w:tcW w:w="104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b w:val="1"/>
                <w:bCs w:val="1"/>
                <w:color w:val="CB233C"/>
              </w:rPr>
              <w:t>505,573</w:t>
            </w:r>
          </w:p>
        </w:tc>
        <w:tc>
          <w:tcPr>
            <w:tcW w:w="114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b w:val="1"/>
                <w:bCs w:val="1"/>
                <w:color w:val="CB233C"/>
              </w:rPr>
              <w:t>11,562,455</w:t>
            </w:r>
          </w:p>
        </w:tc>
        <w:tc>
          <w:tcPr>
            <w:tcW w:w="0" w:type="dxa"/>
            <w:vAlign w:val="bottom"/>
          </w:tcPr>
          <w:p>
            <w:pPr>
              <w:spacing w:after="0"/>
              <w:rPr>
                <w:sz w:val="1"/>
                <w:szCs w:val="1"/>
                <w:color w:val="auto"/>
              </w:rPr>
            </w:pPr>
          </w:p>
        </w:tc>
      </w:tr>
      <w:tr>
        <w:trPr>
          <w:trHeight w:val="196"/>
        </w:trPr>
        <w:tc>
          <w:tcPr>
            <w:tcW w:w="1620" w:type="dxa"/>
            <w:vAlign w:val="bottom"/>
          </w:tcPr>
          <w:p>
            <w:pPr>
              <w:ind w:left="60"/>
              <w:spacing w:after="0" w:line="195" w:lineRule="exact"/>
              <w:rPr>
                <w:sz w:val="20"/>
                <w:szCs w:val="20"/>
                <w:color w:val="auto"/>
              </w:rPr>
            </w:pPr>
            <w:r>
              <w:rPr>
                <w:rFonts w:ascii="Arial" w:cs="Arial" w:eastAsia="Arial" w:hAnsi="Arial"/>
                <w:sz w:val="14"/>
                <w:szCs w:val="14"/>
                <w:b w:val="1"/>
                <w:bCs w:val="1"/>
                <w:color w:val="auto"/>
              </w:rPr>
              <w:t>Lance Loeffler</w:t>
            </w:r>
            <w:r>
              <w:rPr>
                <w:rFonts w:ascii="Arial" w:cs="Arial" w:eastAsia="Arial" w:hAnsi="Arial"/>
                <w:sz w:val="22"/>
                <w:szCs w:val="22"/>
                <w:b w:val="1"/>
                <w:bCs w:val="1"/>
                <w:color w:val="auto"/>
                <w:vertAlign w:val="superscript"/>
              </w:rPr>
              <w:t>(2)</w:t>
            </w:r>
          </w:p>
        </w:tc>
        <w:tc>
          <w:tcPr>
            <w:tcW w:w="960" w:type="dxa"/>
            <w:vAlign w:val="bottom"/>
            <w:tcBorders>
              <w:bottom w:val="single" w:sz="8" w:color="A7A9AC"/>
            </w:tcBorders>
          </w:tcPr>
          <w:p>
            <w:pPr>
              <w:jc w:val="right"/>
              <w:ind w:right="39"/>
              <w:spacing w:after="0"/>
              <w:rPr>
                <w:sz w:val="20"/>
                <w:szCs w:val="20"/>
                <w:color w:val="auto"/>
              </w:rPr>
            </w:pPr>
            <w:r>
              <w:rPr>
                <w:rFonts w:ascii="Arial" w:cs="Arial" w:eastAsia="Arial" w:hAnsi="Arial"/>
                <w:sz w:val="16"/>
                <w:szCs w:val="16"/>
                <w:color w:val="auto"/>
              </w:rPr>
              <w:t>1/2/2015</w:t>
            </w:r>
          </w:p>
        </w:tc>
        <w:tc>
          <w:tcPr>
            <w:tcW w:w="11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15,594</w:t>
            </w:r>
          </w:p>
        </w:tc>
        <w:tc>
          <w:tcPr>
            <w:tcW w:w="1300" w:type="dxa"/>
            <w:vAlign w:val="bottom"/>
            <w:tcBorders>
              <w:bottom w:val="single" w:sz="8" w:color="A7A9AC"/>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39.49</w:t>
            </w:r>
          </w:p>
        </w:tc>
        <w:tc>
          <w:tcPr>
            <w:tcW w:w="980" w:type="dxa"/>
            <w:vAlign w:val="bottom"/>
            <w:tcBorders>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1/2/2025</w:t>
            </w:r>
          </w:p>
        </w:tc>
        <w:tc>
          <w:tcPr>
            <w:tcW w:w="104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1620" w:type="dxa"/>
            <w:vAlign w:val="bottom"/>
          </w:tcPr>
          <w:p>
            <w:pPr>
              <w:spacing w:after="0"/>
              <w:rPr>
                <w:sz w:val="15"/>
                <w:szCs w:val="15"/>
                <w:color w:val="auto"/>
              </w:rPr>
            </w:pPr>
          </w:p>
        </w:tc>
        <w:tc>
          <w:tcPr>
            <w:tcW w:w="96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1/4/2016</w:t>
            </w:r>
          </w:p>
        </w:tc>
        <w:tc>
          <w:tcPr>
            <w:tcW w:w="11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27,912</w:t>
            </w:r>
          </w:p>
        </w:tc>
        <w:tc>
          <w:tcPr>
            <w:tcW w:w="130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34.48</w:t>
            </w:r>
          </w:p>
        </w:tc>
        <w:tc>
          <w:tcPr>
            <w:tcW w:w="98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1/4/2026</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96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1/3/2017</w:t>
            </w:r>
          </w:p>
        </w:tc>
        <w:tc>
          <w:tcPr>
            <w:tcW w:w="11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16,678</w:t>
            </w:r>
          </w:p>
        </w:tc>
        <w:tc>
          <w:tcPr>
            <w:tcW w:w="130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55.68</w:t>
            </w:r>
          </w:p>
        </w:tc>
        <w:tc>
          <w:tcPr>
            <w:tcW w:w="98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1/3/2027</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1,296</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29,640</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96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1/2/2018</w:t>
            </w:r>
          </w:p>
        </w:tc>
        <w:tc>
          <w:tcPr>
            <w:tcW w:w="11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20,416</w:t>
            </w:r>
          </w:p>
        </w:tc>
        <w:tc>
          <w:tcPr>
            <w:tcW w:w="130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49.61</w:t>
            </w:r>
          </w:p>
        </w:tc>
        <w:tc>
          <w:tcPr>
            <w:tcW w:w="98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1/2/2028</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3,064</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70,074</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96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12/5/2018</w:t>
            </w:r>
          </w:p>
        </w:tc>
        <w:tc>
          <w:tcPr>
            <w:tcW w:w="11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51,100</w:t>
            </w:r>
          </w:p>
        </w:tc>
        <w:tc>
          <w:tcPr>
            <w:tcW w:w="130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31.44</w:t>
            </w:r>
          </w:p>
        </w:tc>
        <w:tc>
          <w:tcPr>
            <w:tcW w:w="98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12/5/2028</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11,920</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272,610</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96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12/4/2019</w:t>
            </w:r>
          </w:p>
        </w:tc>
        <w:tc>
          <w:tcPr>
            <w:tcW w:w="11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7A9AC"/>
            </w:tcBorders>
          </w:tcPr>
          <w:p>
            <w:pPr>
              <w:spacing w:after="0"/>
              <w:rPr>
                <w:sz w:val="15"/>
                <w:szCs w:val="15"/>
                <w:color w:val="auto"/>
              </w:rPr>
            </w:pPr>
          </w:p>
        </w:tc>
        <w:tc>
          <w:tcPr>
            <w:tcW w:w="880" w:type="dxa"/>
            <w:vAlign w:val="bottom"/>
            <w:tcBorders>
              <w:bottom w:val="single" w:sz="8" w:color="A7A9AC"/>
            </w:tcBorders>
          </w:tcPr>
          <w:p>
            <w:pPr>
              <w:spacing w:after="0"/>
              <w:rPr>
                <w:sz w:val="15"/>
                <w:szCs w:val="15"/>
                <w:color w:val="auto"/>
              </w:rPr>
            </w:pPr>
          </w:p>
        </w:tc>
        <w:tc>
          <w:tcPr>
            <w:tcW w:w="100" w:type="dxa"/>
            <w:vAlign w:val="bottom"/>
            <w:tcBorders>
              <w:bottom w:val="single" w:sz="8" w:color="A7A9AC"/>
            </w:tcBorders>
          </w:tcPr>
          <w:p>
            <w:pPr>
              <w:spacing w:after="0"/>
              <w:rPr>
                <w:sz w:val="15"/>
                <w:szCs w:val="15"/>
                <w:color w:val="auto"/>
              </w:rPr>
            </w:pP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24,840</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568,091</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96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1/2/2020</w:t>
            </w:r>
          </w:p>
        </w:tc>
        <w:tc>
          <w:tcPr>
            <w:tcW w:w="11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7A9AC"/>
            </w:tcBorders>
          </w:tcPr>
          <w:p>
            <w:pPr>
              <w:spacing w:after="0"/>
              <w:rPr>
                <w:sz w:val="15"/>
                <w:szCs w:val="15"/>
                <w:color w:val="auto"/>
              </w:rPr>
            </w:pPr>
          </w:p>
        </w:tc>
        <w:tc>
          <w:tcPr>
            <w:tcW w:w="880" w:type="dxa"/>
            <w:vAlign w:val="bottom"/>
            <w:tcBorders>
              <w:bottom w:val="single" w:sz="8" w:color="A7A9AC"/>
            </w:tcBorders>
          </w:tcPr>
          <w:p>
            <w:pPr>
              <w:spacing w:after="0"/>
              <w:rPr>
                <w:sz w:val="15"/>
                <w:szCs w:val="15"/>
                <w:color w:val="auto"/>
              </w:rPr>
            </w:pPr>
          </w:p>
        </w:tc>
        <w:tc>
          <w:tcPr>
            <w:tcW w:w="100" w:type="dxa"/>
            <w:vAlign w:val="bottom"/>
            <w:tcBorders>
              <w:bottom w:val="single" w:sz="8" w:color="A7A9AC"/>
            </w:tcBorders>
          </w:tcPr>
          <w:p>
            <w:pPr>
              <w:spacing w:after="0"/>
              <w:rPr>
                <w:sz w:val="15"/>
                <w:szCs w:val="15"/>
                <w:color w:val="auto"/>
              </w:rPr>
            </w:pP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48,300</w:t>
            </w:r>
          </w:p>
        </w:tc>
        <w:tc>
          <w:tcPr>
            <w:tcW w:w="11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1,104,621</w:t>
            </w: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96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12/2/2020</w:t>
            </w:r>
          </w:p>
        </w:tc>
        <w:tc>
          <w:tcPr>
            <w:tcW w:w="11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7A9AC"/>
            </w:tcBorders>
          </w:tcPr>
          <w:p>
            <w:pPr>
              <w:spacing w:after="0"/>
              <w:rPr>
                <w:sz w:val="15"/>
                <w:szCs w:val="15"/>
                <w:color w:val="auto"/>
              </w:rPr>
            </w:pPr>
          </w:p>
        </w:tc>
        <w:tc>
          <w:tcPr>
            <w:tcW w:w="880" w:type="dxa"/>
            <w:vAlign w:val="bottom"/>
            <w:tcBorders>
              <w:bottom w:val="single" w:sz="8" w:color="A7A9AC"/>
            </w:tcBorders>
          </w:tcPr>
          <w:p>
            <w:pPr>
              <w:spacing w:after="0"/>
              <w:rPr>
                <w:sz w:val="15"/>
                <w:szCs w:val="15"/>
                <w:color w:val="auto"/>
              </w:rPr>
            </w:pPr>
          </w:p>
        </w:tc>
        <w:tc>
          <w:tcPr>
            <w:tcW w:w="100" w:type="dxa"/>
            <w:vAlign w:val="bottom"/>
            <w:tcBorders>
              <w:bottom w:val="single" w:sz="8" w:color="A7A9AC"/>
            </w:tcBorders>
          </w:tcPr>
          <w:p>
            <w:pPr>
              <w:spacing w:after="0"/>
              <w:rPr>
                <w:sz w:val="15"/>
                <w:szCs w:val="15"/>
                <w:color w:val="auto"/>
              </w:rPr>
            </w:pP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59,760</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1,366,711</w:t>
            </w:r>
          </w:p>
        </w:tc>
        <w:tc>
          <w:tcPr>
            <w:tcW w:w="10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620" w:type="dxa"/>
            <w:vAlign w:val="bottom"/>
            <w:vMerge w:val="restart"/>
          </w:tcPr>
          <w:p>
            <w:pPr>
              <w:ind w:left="60"/>
              <w:spacing w:after="0"/>
              <w:rPr>
                <w:sz w:val="20"/>
                <w:szCs w:val="20"/>
                <w:color w:val="auto"/>
              </w:rPr>
            </w:pPr>
            <w:r>
              <w:rPr>
                <w:rFonts w:ascii="Arial" w:cs="Arial" w:eastAsia="Arial" w:hAnsi="Arial"/>
                <w:sz w:val="16"/>
                <w:szCs w:val="16"/>
                <w:b w:val="1"/>
                <w:bCs w:val="1"/>
                <w:color w:val="CB233C"/>
              </w:rPr>
              <w:t>TOTAL</w:t>
            </w:r>
          </w:p>
        </w:tc>
        <w:tc>
          <w:tcPr>
            <w:tcW w:w="960" w:type="dxa"/>
            <w:vAlign w:val="bottom"/>
            <w:tcBorders>
              <w:bottom w:val="single" w:sz="8" w:color="CB233C"/>
            </w:tcBorders>
          </w:tcPr>
          <w:p>
            <w:pPr>
              <w:jc w:val="right"/>
              <w:ind w:right="39"/>
              <w:spacing w:after="0"/>
              <w:rPr>
                <w:sz w:val="20"/>
                <w:szCs w:val="20"/>
                <w:color w:val="auto"/>
              </w:rPr>
            </w:pPr>
            <w:r>
              <w:rPr>
                <w:rFonts w:ascii="Arial" w:cs="Arial" w:eastAsia="Arial" w:hAnsi="Arial"/>
                <w:sz w:val="16"/>
                <w:szCs w:val="16"/>
                <w:color w:val="auto"/>
              </w:rPr>
              <w:t>1/4/2021</w:t>
            </w:r>
          </w:p>
        </w:tc>
        <w:tc>
          <w:tcPr>
            <w:tcW w:w="114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B233C"/>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Borders>
              <w:bottom w:val="single" w:sz="8" w:color="CB233C"/>
            </w:tcBorders>
          </w:tcPr>
          <w:p>
            <w:pPr>
              <w:spacing w:after="0"/>
              <w:rPr>
                <w:sz w:val="17"/>
                <w:szCs w:val="17"/>
                <w:color w:val="auto"/>
              </w:rPr>
            </w:pPr>
          </w:p>
        </w:tc>
        <w:tc>
          <w:tcPr>
            <w:tcW w:w="104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87,100</w:t>
            </w:r>
          </w:p>
        </w:tc>
        <w:tc>
          <w:tcPr>
            <w:tcW w:w="114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1,991,977</w:t>
            </w:r>
          </w:p>
        </w:tc>
        <w:tc>
          <w:tcPr>
            <w:tcW w:w="0" w:type="dxa"/>
            <w:vAlign w:val="bottom"/>
          </w:tcPr>
          <w:p>
            <w:pPr>
              <w:spacing w:after="0"/>
              <w:rPr>
                <w:sz w:val="1"/>
                <w:szCs w:val="1"/>
                <w:color w:val="auto"/>
              </w:rPr>
            </w:pPr>
          </w:p>
        </w:tc>
      </w:tr>
      <w:tr>
        <w:trPr>
          <w:trHeight w:val="183"/>
        </w:trPr>
        <w:tc>
          <w:tcPr>
            <w:tcW w:w="1620" w:type="dxa"/>
            <w:vAlign w:val="bottom"/>
            <w:tcBorders>
              <w:bottom w:val="single" w:sz="8" w:color="CB233C"/>
            </w:tcBorders>
            <w:vMerge w:val="continue"/>
          </w:tcPr>
          <w:p>
            <w:pPr>
              <w:spacing w:after="0"/>
              <w:rPr>
                <w:sz w:val="15"/>
                <w:szCs w:val="15"/>
                <w:color w:val="auto"/>
              </w:rPr>
            </w:pPr>
          </w:p>
        </w:tc>
        <w:tc>
          <w:tcPr>
            <w:tcW w:w="960" w:type="dxa"/>
            <w:vAlign w:val="bottom"/>
            <w:tcBorders>
              <w:bottom w:val="single" w:sz="8" w:color="CB233C"/>
            </w:tcBorders>
          </w:tcPr>
          <w:p>
            <w:pPr>
              <w:spacing w:after="0"/>
              <w:rPr>
                <w:sz w:val="15"/>
                <w:szCs w:val="15"/>
                <w:color w:val="auto"/>
              </w:rPr>
            </w:pPr>
          </w:p>
        </w:tc>
        <w:tc>
          <w:tcPr>
            <w:tcW w:w="114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131,700</w:t>
            </w:r>
          </w:p>
        </w:tc>
        <w:tc>
          <w:tcPr>
            <w:tcW w:w="1300" w:type="dxa"/>
            <w:vAlign w:val="bottom"/>
            <w:tcBorders>
              <w:bottom w:val="single" w:sz="8" w:color="CB233C"/>
            </w:tcBorders>
          </w:tcPr>
          <w:p>
            <w:pPr>
              <w:jc w:val="right"/>
              <w:ind w:right="39"/>
              <w:spacing w:after="0" w:line="183" w:lineRule="exact"/>
              <w:rPr>
                <w:sz w:val="20"/>
                <w:szCs w:val="20"/>
                <w:color w:val="auto"/>
              </w:rPr>
            </w:pPr>
            <w:r>
              <w:rPr>
                <w:rFonts w:ascii="Arial" w:cs="Arial" w:eastAsia="Arial" w:hAnsi="Arial"/>
                <w:sz w:val="16"/>
                <w:szCs w:val="16"/>
                <w:b w:val="1"/>
                <w:bCs w:val="1"/>
                <w:color w:val="CB233C"/>
              </w:rPr>
              <w:t>–</w:t>
            </w:r>
          </w:p>
        </w:tc>
        <w:tc>
          <w:tcPr>
            <w:tcW w:w="820" w:type="dxa"/>
            <w:vAlign w:val="bottom"/>
            <w:tcBorders>
              <w:bottom w:val="single" w:sz="8" w:color="CB233C"/>
            </w:tcBorders>
          </w:tcPr>
          <w:p>
            <w:pPr>
              <w:spacing w:after="0"/>
              <w:rPr>
                <w:sz w:val="15"/>
                <w:szCs w:val="15"/>
                <w:color w:val="auto"/>
              </w:rPr>
            </w:pPr>
          </w:p>
        </w:tc>
        <w:tc>
          <w:tcPr>
            <w:tcW w:w="880" w:type="dxa"/>
            <w:vAlign w:val="bottom"/>
            <w:tcBorders>
              <w:bottom w:val="single" w:sz="8" w:color="CB233C"/>
            </w:tcBorders>
          </w:tcPr>
          <w:p>
            <w:pPr>
              <w:spacing w:after="0"/>
              <w:rPr>
                <w:sz w:val="15"/>
                <w:szCs w:val="15"/>
                <w:color w:val="auto"/>
              </w:rPr>
            </w:pPr>
          </w:p>
        </w:tc>
        <w:tc>
          <w:tcPr>
            <w:tcW w:w="100" w:type="dxa"/>
            <w:vAlign w:val="bottom"/>
            <w:tcBorders>
              <w:bottom w:val="single" w:sz="8" w:color="CB233C"/>
            </w:tcBorders>
          </w:tcPr>
          <w:p>
            <w:pPr>
              <w:spacing w:after="0"/>
              <w:rPr>
                <w:sz w:val="15"/>
                <w:szCs w:val="15"/>
                <w:color w:val="auto"/>
              </w:rPr>
            </w:pPr>
          </w:p>
        </w:tc>
        <w:tc>
          <w:tcPr>
            <w:tcW w:w="104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b w:val="1"/>
                <w:bCs w:val="1"/>
                <w:color w:val="CB233C"/>
              </w:rPr>
              <w:t>100,880</w:t>
            </w:r>
          </w:p>
        </w:tc>
        <w:tc>
          <w:tcPr>
            <w:tcW w:w="120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2,307,126</w:t>
            </w:r>
          </w:p>
        </w:tc>
        <w:tc>
          <w:tcPr>
            <w:tcW w:w="104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b w:val="1"/>
                <w:bCs w:val="1"/>
                <w:color w:val="CB233C"/>
              </w:rPr>
              <w:t>135,400</w:t>
            </w:r>
          </w:p>
        </w:tc>
        <w:tc>
          <w:tcPr>
            <w:tcW w:w="114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b w:val="1"/>
                <w:bCs w:val="1"/>
                <w:color w:val="CB233C"/>
              </w:rPr>
              <w:t>3,096,598</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886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1540" w:type="dxa"/>
            <w:vAlign w:val="bottom"/>
            <w:gridSpan w:val="2"/>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Back to Contents</w:t>
              </w:r>
            </w:hyperlink>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2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Borders>
              <w:bottom w:val="single" w:sz="8" w:color="CB233C"/>
            </w:tcBorders>
          </w:tcPr>
          <w:p>
            <w:pPr>
              <w:spacing w:after="0"/>
              <w:rPr>
                <w:sz w:val="24"/>
                <w:szCs w:val="24"/>
                <w:color w:val="auto"/>
              </w:rPr>
            </w:pPr>
          </w:p>
        </w:tc>
        <w:tc>
          <w:tcPr>
            <w:tcW w:w="2140" w:type="dxa"/>
            <w:vAlign w:val="bottom"/>
            <w:tcBorders>
              <w:bottom w:val="single" w:sz="8" w:color="CB233C"/>
            </w:tcBorders>
            <w:gridSpan w:val="2"/>
          </w:tcPr>
          <w:p>
            <w:pPr>
              <w:jc w:val="right"/>
              <w:ind w:right="539"/>
              <w:spacing w:after="0"/>
              <w:rPr>
                <w:sz w:val="20"/>
                <w:szCs w:val="20"/>
                <w:color w:val="auto"/>
              </w:rPr>
            </w:pPr>
            <w:r>
              <w:rPr>
                <w:rFonts w:ascii="Arial" w:cs="Arial" w:eastAsia="Arial" w:hAnsi="Arial"/>
                <w:sz w:val="16"/>
                <w:szCs w:val="16"/>
                <w:b w:val="1"/>
                <w:bCs w:val="1"/>
                <w:color w:val="auto"/>
              </w:rPr>
              <w:t>Option Awards</w:t>
            </w:r>
          </w:p>
        </w:tc>
        <w:tc>
          <w:tcPr>
            <w:tcW w:w="900" w:type="dxa"/>
            <w:vAlign w:val="bottom"/>
            <w:tcBorders>
              <w:bottom w:val="single" w:sz="8" w:color="CB233C"/>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CB233C"/>
            </w:tcBorders>
          </w:tcPr>
          <w:p>
            <w:pPr>
              <w:spacing w:after="0"/>
              <w:rPr>
                <w:sz w:val="24"/>
                <w:szCs w:val="24"/>
                <w:color w:val="auto"/>
              </w:rPr>
            </w:pPr>
          </w:p>
        </w:tc>
        <w:tc>
          <w:tcPr>
            <w:tcW w:w="220" w:type="dxa"/>
            <w:vAlign w:val="bottom"/>
            <w:tcBorders>
              <w:bottom w:val="single" w:sz="8" w:color="CB233C"/>
            </w:tcBorders>
          </w:tcPr>
          <w:p>
            <w:pPr>
              <w:spacing w:after="0"/>
              <w:rPr>
                <w:sz w:val="24"/>
                <w:szCs w:val="24"/>
                <w:color w:val="auto"/>
              </w:rPr>
            </w:pPr>
          </w:p>
        </w:tc>
        <w:tc>
          <w:tcPr>
            <w:tcW w:w="2260" w:type="dxa"/>
            <w:vAlign w:val="bottom"/>
            <w:tcBorders>
              <w:bottom w:val="single" w:sz="8" w:color="CB233C"/>
            </w:tcBorders>
            <w:gridSpan w:val="2"/>
          </w:tcPr>
          <w:p>
            <w:pPr>
              <w:jc w:val="right"/>
              <w:ind w:right="479"/>
              <w:spacing w:after="0"/>
              <w:rPr>
                <w:sz w:val="20"/>
                <w:szCs w:val="20"/>
                <w:color w:val="auto"/>
              </w:rPr>
            </w:pPr>
            <w:r>
              <w:rPr>
                <w:rFonts w:ascii="Arial" w:cs="Arial" w:eastAsia="Arial" w:hAnsi="Arial"/>
                <w:sz w:val="16"/>
                <w:szCs w:val="16"/>
                <w:b w:val="1"/>
                <w:bCs w:val="1"/>
                <w:color w:val="auto"/>
              </w:rPr>
              <w:t>Stock Awards</w:t>
            </w:r>
          </w:p>
        </w:tc>
        <w:tc>
          <w:tcPr>
            <w:tcW w:w="1120" w:type="dxa"/>
            <w:vAlign w:val="bottom"/>
            <w:tcBorders>
              <w:bottom w:val="single" w:sz="8" w:color="CB233C"/>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Equity</w:t>
            </w:r>
          </w:p>
        </w:tc>
        <w:tc>
          <w:tcPr>
            <w:tcW w:w="112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Equity</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Incentive</w:t>
            </w:r>
          </w:p>
        </w:tc>
        <w:tc>
          <w:tcPr>
            <w:tcW w:w="11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Incentive</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Plan</w:t>
            </w:r>
          </w:p>
        </w:tc>
        <w:tc>
          <w:tcPr>
            <w:tcW w:w="11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Plan Awards:</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Awards:</w:t>
            </w:r>
          </w:p>
        </w:tc>
        <w:tc>
          <w:tcPr>
            <w:tcW w:w="11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Market or</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 Unearned</w:t>
            </w:r>
          </w:p>
        </w:tc>
        <w:tc>
          <w:tcPr>
            <w:tcW w:w="11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Payout Value</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Securities</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Securities</w:t>
            </w: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Market Value</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Shares</w:t>
            </w:r>
          </w:p>
        </w:tc>
        <w:tc>
          <w:tcPr>
            <w:tcW w:w="11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of Unearned</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Underlying</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Underlying</w:t>
            </w: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Shares</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of Shares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Units or</w:t>
            </w:r>
          </w:p>
        </w:tc>
        <w:tc>
          <w:tcPr>
            <w:tcW w:w="11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Unexercised</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Unexercised</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Option</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or Units</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or Units of</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11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Units or</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Options</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Options</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Exercise</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Option</w:t>
            </w:r>
          </w:p>
        </w:tc>
        <w:tc>
          <w:tcPr>
            <w:tcW w:w="10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of Stock</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Stock</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Rights</w:t>
            </w:r>
          </w:p>
        </w:tc>
        <w:tc>
          <w:tcPr>
            <w:tcW w:w="11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Other Rights</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Price</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Expiration</w:t>
            </w:r>
          </w:p>
        </w:tc>
        <w:tc>
          <w:tcPr>
            <w:tcW w:w="10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Not Vested</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Not Vested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Not Vested</w:t>
            </w:r>
          </w:p>
        </w:tc>
        <w:tc>
          <w:tcPr>
            <w:tcW w:w="11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Not Vested</w:t>
            </w:r>
          </w:p>
        </w:tc>
        <w:tc>
          <w:tcPr>
            <w:tcW w:w="0" w:type="dxa"/>
            <w:vAlign w:val="bottom"/>
          </w:tcPr>
          <w:p>
            <w:pPr>
              <w:spacing w:after="0"/>
              <w:rPr>
                <w:sz w:val="1"/>
                <w:szCs w:val="1"/>
                <w:color w:val="auto"/>
              </w:rPr>
            </w:pPr>
          </w:p>
        </w:tc>
      </w:tr>
      <w:tr>
        <w:trPr>
          <w:trHeight w:val="203"/>
        </w:trPr>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auto"/>
              </w:rPr>
              <w:t>Name</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Grant Date</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Exercisable</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Unexercisable</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Date</w:t>
            </w:r>
          </w:p>
        </w:tc>
        <w:tc>
          <w:tcPr>
            <w:tcW w:w="10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6"/>
        </w:trPr>
        <w:tc>
          <w:tcPr>
            <w:tcW w:w="1540" w:type="dxa"/>
            <w:vAlign w:val="bottom"/>
            <w:tcBorders>
              <w:top w:val="single" w:sz="8" w:color="CB233C"/>
            </w:tcBorders>
            <w:gridSpan w:val="2"/>
          </w:tcPr>
          <w:p>
            <w:pPr>
              <w:ind w:left="60"/>
              <w:spacing w:after="0" w:line="195" w:lineRule="exact"/>
              <w:rPr>
                <w:sz w:val="20"/>
                <w:szCs w:val="20"/>
                <w:color w:val="auto"/>
              </w:rPr>
            </w:pPr>
            <w:r>
              <w:rPr>
                <w:rFonts w:ascii="Arial" w:cs="Arial" w:eastAsia="Arial" w:hAnsi="Arial"/>
                <w:sz w:val="14"/>
                <w:szCs w:val="14"/>
                <w:b w:val="1"/>
                <w:bCs w:val="1"/>
                <w:color w:val="auto"/>
              </w:rPr>
              <w:t>Eric J. Carre</w:t>
            </w:r>
            <w:r>
              <w:rPr>
                <w:rFonts w:ascii="Arial" w:cs="Arial" w:eastAsia="Arial" w:hAnsi="Arial"/>
                <w:sz w:val="22"/>
                <w:szCs w:val="22"/>
                <w:b w:val="1"/>
                <w:bCs w:val="1"/>
                <w:color w:val="auto"/>
                <w:vertAlign w:val="superscript"/>
              </w:rPr>
              <w:t>(3)</w:t>
            </w:r>
          </w:p>
        </w:tc>
        <w:tc>
          <w:tcPr>
            <w:tcW w:w="960" w:type="dxa"/>
            <w:vAlign w:val="bottom"/>
            <w:tcBorders>
              <w:top w:val="single" w:sz="8" w:color="CB233C"/>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1/2/2014</w:t>
            </w:r>
          </w:p>
        </w:tc>
        <w:tc>
          <w:tcPr>
            <w:tcW w:w="1160" w:type="dxa"/>
            <w:vAlign w:val="bottom"/>
            <w:tcBorders>
              <w:top w:val="single" w:sz="8" w:color="CB233C"/>
              <w:bottom w:val="single" w:sz="8" w:color="A7A9AC"/>
            </w:tcBorders>
          </w:tcPr>
          <w:p>
            <w:pPr>
              <w:jc w:val="right"/>
              <w:ind w:right="19"/>
              <w:spacing w:after="0"/>
              <w:rPr>
                <w:sz w:val="20"/>
                <w:szCs w:val="20"/>
                <w:color w:val="auto"/>
              </w:rPr>
            </w:pPr>
            <w:r>
              <w:rPr>
                <w:rFonts w:ascii="Arial" w:cs="Arial" w:eastAsia="Arial" w:hAnsi="Arial"/>
                <w:sz w:val="16"/>
                <w:szCs w:val="16"/>
                <w:color w:val="auto"/>
              </w:rPr>
              <w:t>8,300</w:t>
            </w:r>
          </w:p>
        </w:tc>
        <w:tc>
          <w:tcPr>
            <w:tcW w:w="1300" w:type="dxa"/>
            <w:vAlign w:val="bottom"/>
            <w:tcBorders>
              <w:top w:val="single" w:sz="8" w:color="CB233C"/>
              <w:bottom w:val="single" w:sz="8" w:color="A7A9AC"/>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CB233C"/>
              <w:bottom w:val="single" w:sz="8" w:color="A7A9AC"/>
            </w:tcBorders>
          </w:tcPr>
          <w:p>
            <w:pPr>
              <w:jc w:val="right"/>
              <w:ind w:right="19"/>
              <w:spacing w:after="0"/>
              <w:rPr>
                <w:sz w:val="20"/>
                <w:szCs w:val="20"/>
                <w:color w:val="auto"/>
              </w:rPr>
            </w:pPr>
            <w:r>
              <w:rPr>
                <w:rFonts w:ascii="Arial" w:cs="Arial" w:eastAsia="Arial" w:hAnsi="Arial"/>
                <w:sz w:val="16"/>
                <w:szCs w:val="16"/>
                <w:color w:val="auto"/>
              </w:rPr>
              <w:t>50.01</w:t>
            </w:r>
          </w:p>
        </w:tc>
        <w:tc>
          <w:tcPr>
            <w:tcW w:w="1000" w:type="dxa"/>
            <w:vAlign w:val="bottom"/>
            <w:tcBorders>
              <w:top w:val="single" w:sz="8" w:color="CB233C"/>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1/2/2024</w:t>
            </w:r>
          </w:p>
        </w:tc>
        <w:tc>
          <w:tcPr>
            <w:tcW w:w="840" w:type="dxa"/>
            <w:vAlign w:val="bottom"/>
            <w:tcBorders>
              <w:top w:val="single" w:sz="8" w:color="CB233C"/>
              <w:bottom w:val="single" w:sz="8" w:color="A7A9AC"/>
            </w:tcBorders>
          </w:tcPr>
          <w:p>
            <w:pPr>
              <w:spacing w:after="0"/>
              <w:rPr>
                <w:sz w:val="17"/>
                <w:szCs w:val="17"/>
                <w:color w:val="auto"/>
              </w:rPr>
            </w:pPr>
          </w:p>
        </w:tc>
        <w:tc>
          <w:tcPr>
            <w:tcW w:w="220" w:type="dxa"/>
            <w:vAlign w:val="bottom"/>
            <w:tcBorders>
              <w:top w:val="single" w:sz="8" w:color="CB233C"/>
              <w:bottom w:val="single" w:sz="8" w:color="A7A9AC"/>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CB233C"/>
              <w:bottom w:val="single" w:sz="8" w:color="A7A9AC"/>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CB233C"/>
              <w:bottom w:val="single" w:sz="8" w:color="A7A9AC"/>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CB233C"/>
              <w:bottom w:val="single" w:sz="8" w:color="A7A9AC"/>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1/2/2015</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24,750</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39.49</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1/2/2025</w:t>
            </w:r>
          </w:p>
        </w:tc>
        <w:tc>
          <w:tcPr>
            <w:tcW w:w="840" w:type="dxa"/>
            <w:vAlign w:val="bottom"/>
            <w:tcBorders>
              <w:bottom w:val="single" w:sz="8" w:color="A7A9AC"/>
            </w:tcBorders>
          </w:tcPr>
          <w:p>
            <w:pPr>
              <w:spacing w:after="0"/>
              <w:rPr>
                <w:sz w:val="15"/>
                <w:szCs w:val="15"/>
                <w:color w:val="auto"/>
              </w:rPr>
            </w:pPr>
          </w:p>
        </w:tc>
        <w:tc>
          <w:tcPr>
            <w:tcW w:w="2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1/4/2016</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9,534</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34.48</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1/4/2026</w:t>
            </w:r>
          </w:p>
        </w:tc>
        <w:tc>
          <w:tcPr>
            <w:tcW w:w="840" w:type="dxa"/>
            <w:vAlign w:val="bottom"/>
            <w:tcBorders>
              <w:bottom w:val="single" w:sz="8" w:color="A7A9AC"/>
            </w:tcBorders>
          </w:tcPr>
          <w:p>
            <w:pPr>
              <w:spacing w:after="0"/>
              <w:rPr>
                <w:sz w:val="15"/>
                <w:szCs w:val="15"/>
                <w:color w:val="auto"/>
              </w:rPr>
            </w:pPr>
          </w:p>
        </w:tc>
        <w:tc>
          <w:tcPr>
            <w:tcW w:w="2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12/7/2016</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30,100</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53.54</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12/7/2026</w:t>
            </w:r>
          </w:p>
        </w:tc>
        <w:tc>
          <w:tcPr>
            <w:tcW w:w="840" w:type="dxa"/>
            <w:vAlign w:val="bottom"/>
            <w:tcBorders>
              <w:bottom w:val="single" w:sz="8" w:color="A7A9AC"/>
            </w:tcBorders>
          </w:tcPr>
          <w:p>
            <w:pPr>
              <w:spacing w:after="0"/>
              <w:rPr>
                <w:sz w:val="15"/>
                <w:szCs w:val="15"/>
                <w:color w:val="auto"/>
              </w:rPr>
            </w:pPr>
          </w:p>
        </w:tc>
        <w:tc>
          <w:tcPr>
            <w:tcW w:w="2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12/6/2017</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34,425</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43.38</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12/6/2027</w:t>
            </w:r>
          </w:p>
        </w:tc>
        <w:tc>
          <w:tcPr>
            <w:tcW w:w="1060" w:type="dxa"/>
            <w:vAlign w:val="bottom"/>
            <w:tcBorders>
              <w:bottom w:val="single" w:sz="8" w:color="A7A9AC"/>
            </w:tcBorders>
            <w:gridSpan w:val="2"/>
          </w:tcPr>
          <w:p>
            <w:pPr>
              <w:jc w:val="right"/>
              <w:ind w:right="19"/>
              <w:spacing w:after="0" w:line="183" w:lineRule="exact"/>
              <w:rPr>
                <w:sz w:val="20"/>
                <w:szCs w:val="20"/>
                <w:color w:val="auto"/>
              </w:rPr>
            </w:pPr>
            <w:r>
              <w:rPr>
                <w:rFonts w:ascii="Arial" w:cs="Arial" w:eastAsia="Arial" w:hAnsi="Arial"/>
                <w:sz w:val="16"/>
                <w:szCs w:val="16"/>
                <w:color w:val="auto"/>
              </w:rPr>
              <w:t>4,140</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94,682</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12/5/2018</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50,100</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31.44</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12/5/2028</w:t>
            </w:r>
          </w:p>
        </w:tc>
        <w:tc>
          <w:tcPr>
            <w:tcW w:w="1060" w:type="dxa"/>
            <w:vAlign w:val="bottom"/>
            <w:tcBorders>
              <w:bottom w:val="single" w:sz="8" w:color="A7A9AC"/>
            </w:tcBorders>
            <w:gridSpan w:val="2"/>
          </w:tcPr>
          <w:p>
            <w:pPr>
              <w:jc w:val="right"/>
              <w:ind w:right="19"/>
              <w:spacing w:after="0" w:line="183" w:lineRule="exact"/>
              <w:rPr>
                <w:sz w:val="20"/>
                <w:szCs w:val="20"/>
                <w:color w:val="auto"/>
              </w:rPr>
            </w:pPr>
            <w:r>
              <w:rPr>
                <w:rFonts w:ascii="Arial" w:cs="Arial" w:eastAsia="Arial" w:hAnsi="Arial"/>
                <w:sz w:val="16"/>
                <w:szCs w:val="16"/>
                <w:color w:val="auto"/>
              </w:rPr>
              <w:t>11,680</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267,122</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12/4/2019</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100" w:type="dxa"/>
            <w:vAlign w:val="bottom"/>
            <w:tcBorders>
              <w:bottom w:val="single" w:sz="8" w:color="A7A9AC"/>
            </w:tcBorders>
          </w:tcPr>
          <w:p>
            <w:pPr>
              <w:spacing w:after="0"/>
              <w:rPr>
                <w:sz w:val="15"/>
                <w:szCs w:val="15"/>
                <w:color w:val="auto"/>
              </w:rPr>
            </w:pPr>
          </w:p>
        </w:tc>
        <w:tc>
          <w:tcPr>
            <w:tcW w:w="1060" w:type="dxa"/>
            <w:vAlign w:val="bottom"/>
            <w:tcBorders>
              <w:bottom w:val="single" w:sz="8" w:color="A7A9AC"/>
            </w:tcBorders>
            <w:gridSpan w:val="2"/>
          </w:tcPr>
          <w:p>
            <w:pPr>
              <w:jc w:val="right"/>
              <w:ind w:right="19"/>
              <w:spacing w:after="0" w:line="183" w:lineRule="exact"/>
              <w:rPr>
                <w:sz w:val="20"/>
                <w:szCs w:val="20"/>
                <w:color w:val="auto"/>
              </w:rPr>
            </w:pPr>
            <w:r>
              <w:rPr>
                <w:rFonts w:ascii="Arial" w:cs="Arial" w:eastAsia="Arial" w:hAnsi="Arial"/>
                <w:sz w:val="16"/>
                <w:szCs w:val="16"/>
                <w:color w:val="auto"/>
              </w:rPr>
              <w:t>23,700</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542,019</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1/2/2020</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100" w:type="dxa"/>
            <w:vAlign w:val="bottom"/>
            <w:tcBorders>
              <w:bottom w:val="single" w:sz="8" w:color="A7A9AC"/>
            </w:tcBorders>
          </w:tcPr>
          <w:p>
            <w:pPr>
              <w:spacing w:after="0"/>
              <w:rPr>
                <w:sz w:val="15"/>
                <w:szCs w:val="15"/>
                <w:color w:val="auto"/>
              </w:rPr>
            </w:pPr>
          </w:p>
        </w:tc>
        <w:tc>
          <w:tcPr>
            <w:tcW w:w="840" w:type="dxa"/>
            <w:vAlign w:val="bottom"/>
            <w:tcBorders>
              <w:bottom w:val="single" w:sz="8" w:color="A7A9AC"/>
            </w:tcBorders>
          </w:tcPr>
          <w:p>
            <w:pPr>
              <w:spacing w:after="0"/>
              <w:rPr>
                <w:sz w:val="15"/>
                <w:szCs w:val="15"/>
                <w:color w:val="auto"/>
              </w:rPr>
            </w:pPr>
          </w:p>
        </w:tc>
        <w:tc>
          <w:tcPr>
            <w:tcW w:w="2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46,100</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1,054,307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12/2/2020</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100" w:type="dxa"/>
            <w:vAlign w:val="bottom"/>
            <w:tcBorders>
              <w:bottom w:val="single" w:sz="8" w:color="A7A9AC"/>
            </w:tcBorders>
          </w:tcPr>
          <w:p>
            <w:pPr>
              <w:spacing w:after="0"/>
              <w:rPr>
                <w:sz w:val="15"/>
                <w:szCs w:val="15"/>
                <w:color w:val="auto"/>
              </w:rPr>
            </w:pPr>
          </w:p>
        </w:tc>
        <w:tc>
          <w:tcPr>
            <w:tcW w:w="1060" w:type="dxa"/>
            <w:vAlign w:val="bottom"/>
            <w:tcBorders>
              <w:bottom w:val="single" w:sz="8" w:color="A7A9AC"/>
            </w:tcBorders>
            <w:gridSpan w:val="2"/>
          </w:tcPr>
          <w:p>
            <w:pPr>
              <w:jc w:val="right"/>
              <w:ind w:right="19"/>
              <w:spacing w:after="0" w:line="183" w:lineRule="exact"/>
              <w:rPr>
                <w:sz w:val="20"/>
                <w:szCs w:val="20"/>
                <w:color w:val="auto"/>
              </w:rPr>
            </w:pPr>
            <w:r>
              <w:rPr>
                <w:rFonts w:ascii="Arial" w:cs="Arial" w:eastAsia="Arial" w:hAnsi="Arial"/>
                <w:sz w:val="16"/>
                <w:szCs w:val="16"/>
                <w:color w:val="auto"/>
              </w:rPr>
              <w:t>57,840</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1,322,801</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CB233C"/>
              </w:rPr>
              <w:t>TOTAL</w:t>
            </w:r>
          </w:p>
        </w:tc>
        <w:tc>
          <w:tcPr>
            <w:tcW w:w="960" w:type="dxa"/>
            <w:vAlign w:val="bottom"/>
            <w:tcBorders>
              <w:bottom w:val="single" w:sz="8" w:color="CB233C"/>
            </w:tcBorders>
            <w:gridSpan w:val="2"/>
          </w:tcPr>
          <w:p>
            <w:pPr>
              <w:jc w:val="right"/>
              <w:ind w:right="100"/>
              <w:spacing w:after="0"/>
              <w:rPr>
                <w:sz w:val="20"/>
                <w:szCs w:val="20"/>
                <w:color w:val="auto"/>
              </w:rPr>
            </w:pPr>
            <w:r>
              <w:rPr>
                <w:rFonts w:ascii="Arial" w:cs="Arial" w:eastAsia="Arial" w:hAnsi="Arial"/>
                <w:sz w:val="16"/>
                <w:szCs w:val="16"/>
                <w:color w:val="auto"/>
              </w:rPr>
              <w:t>1/4/2021</w:t>
            </w:r>
          </w:p>
        </w:tc>
        <w:tc>
          <w:tcPr>
            <w:tcW w:w="116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Borders>
              <w:bottom w:val="single" w:sz="8" w:color="CB233C"/>
            </w:tcBorders>
          </w:tcPr>
          <w:p>
            <w:pPr>
              <w:spacing w:after="0"/>
              <w:rPr>
                <w:sz w:val="17"/>
                <w:szCs w:val="17"/>
                <w:color w:val="auto"/>
              </w:rPr>
            </w:pPr>
          </w:p>
        </w:tc>
        <w:tc>
          <w:tcPr>
            <w:tcW w:w="840" w:type="dxa"/>
            <w:vAlign w:val="bottom"/>
            <w:tcBorders>
              <w:bottom w:val="single" w:sz="8" w:color="CB233C"/>
            </w:tcBorders>
          </w:tcPr>
          <w:p>
            <w:pPr>
              <w:spacing w:after="0"/>
              <w:rPr>
                <w:sz w:val="17"/>
                <w:szCs w:val="17"/>
                <w:color w:val="auto"/>
              </w:rPr>
            </w:pPr>
          </w:p>
        </w:tc>
        <w:tc>
          <w:tcPr>
            <w:tcW w:w="22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84,400</w:t>
            </w:r>
          </w:p>
        </w:tc>
        <w:tc>
          <w:tcPr>
            <w:tcW w:w="1140" w:type="dxa"/>
            <w:vAlign w:val="bottom"/>
            <w:tcBorders>
              <w:bottom w:val="single" w:sz="8" w:color="CB233C"/>
            </w:tcBorders>
            <w:gridSpan w:val="2"/>
          </w:tcPr>
          <w:p>
            <w:pPr>
              <w:jc w:val="right"/>
              <w:ind w:right="20"/>
              <w:spacing w:after="0"/>
              <w:rPr>
                <w:sz w:val="20"/>
                <w:szCs w:val="20"/>
                <w:color w:val="auto"/>
              </w:rPr>
            </w:pPr>
            <w:r>
              <w:rPr>
                <w:rFonts w:ascii="Arial" w:cs="Arial" w:eastAsia="Arial" w:hAnsi="Arial"/>
                <w:sz w:val="16"/>
                <w:szCs w:val="16"/>
                <w:color w:val="auto"/>
              </w:rPr>
              <w:t>1,930,228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540" w:type="dxa"/>
            <w:vAlign w:val="bottom"/>
            <w:tcBorders>
              <w:bottom w:val="single" w:sz="8" w:color="CB233C"/>
            </w:tcBorders>
            <w:gridSpan w:val="2"/>
            <w:vMerge w:val="continue"/>
          </w:tcPr>
          <w:p>
            <w:pPr>
              <w:spacing w:after="0"/>
              <w:rPr>
                <w:sz w:val="15"/>
                <w:szCs w:val="15"/>
                <w:color w:val="auto"/>
              </w:rPr>
            </w:pPr>
          </w:p>
        </w:tc>
        <w:tc>
          <w:tcPr>
            <w:tcW w:w="200" w:type="dxa"/>
            <w:vAlign w:val="bottom"/>
            <w:tcBorders>
              <w:bottom w:val="single" w:sz="8" w:color="CB233C"/>
            </w:tcBorders>
          </w:tcPr>
          <w:p>
            <w:pPr>
              <w:spacing w:after="0"/>
              <w:rPr>
                <w:sz w:val="15"/>
                <w:szCs w:val="15"/>
                <w:color w:val="auto"/>
              </w:rPr>
            </w:pPr>
          </w:p>
        </w:tc>
        <w:tc>
          <w:tcPr>
            <w:tcW w:w="760" w:type="dxa"/>
            <w:vAlign w:val="bottom"/>
            <w:tcBorders>
              <w:bottom w:val="single" w:sz="8" w:color="CB233C"/>
            </w:tcBorders>
          </w:tcPr>
          <w:p>
            <w:pPr>
              <w:spacing w:after="0"/>
              <w:rPr>
                <w:sz w:val="15"/>
                <w:szCs w:val="15"/>
                <w:color w:val="auto"/>
              </w:rPr>
            </w:pPr>
          </w:p>
        </w:tc>
        <w:tc>
          <w:tcPr>
            <w:tcW w:w="116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157,209</w:t>
            </w:r>
          </w:p>
        </w:tc>
        <w:tc>
          <w:tcPr>
            <w:tcW w:w="130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w:t>
            </w:r>
          </w:p>
        </w:tc>
        <w:tc>
          <w:tcPr>
            <w:tcW w:w="840" w:type="dxa"/>
            <w:vAlign w:val="bottom"/>
            <w:tcBorders>
              <w:bottom w:val="single" w:sz="8" w:color="CB233C"/>
            </w:tcBorders>
          </w:tcPr>
          <w:p>
            <w:pPr>
              <w:spacing w:after="0"/>
              <w:rPr>
                <w:sz w:val="15"/>
                <w:szCs w:val="15"/>
                <w:color w:val="auto"/>
              </w:rPr>
            </w:pPr>
          </w:p>
        </w:tc>
        <w:tc>
          <w:tcPr>
            <w:tcW w:w="900" w:type="dxa"/>
            <w:vAlign w:val="bottom"/>
            <w:tcBorders>
              <w:bottom w:val="single" w:sz="8" w:color="CB233C"/>
            </w:tcBorders>
          </w:tcPr>
          <w:p>
            <w:pPr>
              <w:spacing w:after="0"/>
              <w:rPr>
                <w:sz w:val="15"/>
                <w:szCs w:val="15"/>
                <w:color w:val="auto"/>
              </w:rPr>
            </w:pPr>
          </w:p>
        </w:tc>
        <w:tc>
          <w:tcPr>
            <w:tcW w:w="100" w:type="dxa"/>
            <w:vAlign w:val="bottom"/>
            <w:tcBorders>
              <w:bottom w:val="single" w:sz="8" w:color="CB233C"/>
            </w:tcBorders>
          </w:tcPr>
          <w:p>
            <w:pPr>
              <w:spacing w:after="0"/>
              <w:rPr>
                <w:sz w:val="15"/>
                <w:szCs w:val="15"/>
                <w:color w:val="auto"/>
              </w:rPr>
            </w:pPr>
          </w:p>
        </w:tc>
        <w:tc>
          <w:tcPr>
            <w:tcW w:w="1060" w:type="dxa"/>
            <w:vAlign w:val="bottom"/>
            <w:tcBorders>
              <w:bottom w:val="single" w:sz="8" w:color="CB233C"/>
            </w:tcBorders>
            <w:gridSpan w:val="2"/>
          </w:tcPr>
          <w:p>
            <w:pPr>
              <w:jc w:val="right"/>
              <w:ind w:right="19"/>
              <w:spacing w:after="0" w:line="183" w:lineRule="exact"/>
              <w:rPr>
                <w:sz w:val="20"/>
                <w:szCs w:val="20"/>
                <w:color w:val="auto"/>
              </w:rPr>
            </w:pPr>
            <w:r>
              <w:rPr>
                <w:rFonts w:ascii="Arial" w:cs="Arial" w:eastAsia="Arial" w:hAnsi="Arial"/>
                <w:sz w:val="16"/>
                <w:szCs w:val="16"/>
                <w:b w:val="1"/>
                <w:bCs w:val="1"/>
                <w:color w:val="CB233C"/>
              </w:rPr>
              <w:t>97,360</w:t>
            </w:r>
          </w:p>
        </w:tc>
        <w:tc>
          <w:tcPr>
            <w:tcW w:w="120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2,226,624</w:t>
            </w:r>
          </w:p>
        </w:tc>
        <w:tc>
          <w:tcPr>
            <w:tcW w:w="106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b w:val="1"/>
                <w:bCs w:val="1"/>
                <w:color w:val="CB233C"/>
              </w:rPr>
              <w:t>130,500</w:t>
            </w:r>
          </w:p>
        </w:tc>
        <w:tc>
          <w:tcPr>
            <w:tcW w:w="1140" w:type="dxa"/>
            <w:vAlign w:val="bottom"/>
            <w:tcBorders>
              <w:bottom w:val="single" w:sz="8" w:color="CB233C"/>
            </w:tcBorders>
            <w:gridSpan w:val="2"/>
          </w:tcPr>
          <w:p>
            <w:pPr>
              <w:jc w:val="right"/>
              <w:ind w:right="20"/>
              <w:spacing w:after="0" w:line="183" w:lineRule="exact"/>
              <w:rPr>
                <w:sz w:val="20"/>
                <w:szCs w:val="20"/>
                <w:color w:val="auto"/>
              </w:rPr>
            </w:pPr>
            <w:r>
              <w:rPr>
                <w:rFonts w:ascii="Arial" w:cs="Arial" w:eastAsia="Arial" w:hAnsi="Arial"/>
                <w:sz w:val="16"/>
                <w:szCs w:val="16"/>
                <w:b w:val="1"/>
                <w:bCs w:val="1"/>
                <w:color w:val="CB233C"/>
              </w:rPr>
              <w:t>2,984,535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40" w:type="dxa"/>
            <w:vAlign w:val="bottom"/>
            <w:gridSpan w:val="2"/>
          </w:tcPr>
          <w:p>
            <w:pPr>
              <w:ind w:left="60"/>
              <w:spacing w:after="0" w:line="195" w:lineRule="exact"/>
              <w:rPr>
                <w:sz w:val="20"/>
                <w:szCs w:val="20"/>
                <w:color w:val="auto"/>
              </w:rPr>
            </w:pPr>
            <w:r>
              <w:rPr>
                <w:rFonts w:ascii="Arial" w:cs="Arial" w:eastAsia="Arial" w:hAnsi="Arial"/>
                <w:sz w:val="14"/>
                <w:szCs w:val="14"/>
                <w:b w:val="1"/>
                <w:bCs w:val="1"/>
                <w:color w:val="auto"/>
              </w:rPr>
              <w:t>Joe D. Rainey</w:t>
            </w:r>
            <w:r>
              <w:rPr>
                <w:rFonts w:ascii="Arial" w:cs="Arial" w:eastAsia="Arial" w:hAnsi="Arial"/>
                <w:sz w:val="22"/>
                <w:szCs w:val="22"/>
                <w:b w:val="1"/>
                <w:bCs w:val="1"/>
                <w:color w:val="auto"/>
                <w:vertAlign w:val="superscript"/>
              </w:rPr>
              <w:t>(4)</w:t>
            </w:r>
          </w:p>
        </w:tc>
        <w:tc>
          <w:tcPr>
            <w:tcW w:w="960" w:type="dxa"/>
            <w:vAlign w:val="bottom"/>
            <w:tcBorders>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12/5/2012</w:t>
            </w:r>
          </w:p>
        </w:tc>
        <w:tc>
          <w:tcPr>
            <w:tcW w:w="116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37,933</w:t>
            </w:r>
          </w:p>
        </w:tc>
        <w:tc>
          <w:tcPr>
            <w:tcW w:w="130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33.50</w:t>
            </w:r>
          </w:p>
        </w:tc>
        <w:tc>
          <w:tcPr>
            <w:tcW w:w="1000" w:type="dxa"/>
            <w:vAlign w:val="bottom"/>
            <w:tcBorders>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12/5/2022</w:t>
            </w:r>
          </w:p>
        </w:tc>
        <w:tc>
          <w:tcPr>
            <w:tcW w:w="840" w:type="dxa"/>
            <w:vAlign w:val="bottom"/>
            <w:tcBorders>
              <w:bottom w:val="single" w:sz="8" w:color="A7A9AC"/>
            </w:tcBorders>
          </w:tcPr>
          <w:p>
            <w:pPr>
              <w:spacing w:after="0"/>
              <w:rPr>
                <w:sz w:val="17"/>
                <w:szCs w:val="17"/>
                <w:color w:val="auto"/>
              </w:rPr>
            </w:pPr>
          </w:p>
        </w:tc>
        <w:tc>
          <w:tcPr>
            <w:tcW w:w="2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12/4/2013</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45,500</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50.62</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12/4/2023</w:t>
            </w:r>
          </w:p>
        </w:tc>
        <w:tc>
          <w:tcPr>
            <w:tcW w:w="840" w:type="dxa"/>
            <w:vAlign w:val="bottom"/>
            <w:tcBorders>
              <w:bottom w:val="single" w:sz="8" w:color="A7A9AC"/>
            </w:tcBorders>
          </w:tcPr>
          <w:p>
            <w:pPr>
              <w:spacing w:after="0"/>
              <w:rPr>
                <w:sz w:val="15"/>
                <w:szCs w:val="15"/>
                <w:color w:val="auto"/>
              </w:rPr>
            </w:pPr>
          </w:p>
        </w:tc>
        <w:tc>
          <w:tcPr>
            <w:tcW w:w="2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12/3/2014</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59,500</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40.75</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12/3/2024</w:t>
            </w:r>
          </w:p>
        </w:tc>
        <w:tc>
          <w:tcPr>
            <w:tcW w:w="840" w:type="dxa"/>
            <w:vAlign w:val="bottom"/>
            <w:tcBorders>
              <w:bottom w:val="single" w:sz="8" w:color="A7A9AC"/>
            </w:tcBorders>
          </w:tcPr>
          <w:p>
            <w:pPr>
              <w:spacing w:after="0"/>
              <w:rPr>
                <w:sz w:val="15"/>
                <w:szCs w:val="15"/>
                <w:color w:val="auto"/>
              </w:rPr>
            </w:pPr>
          </w:p>
        </w:tc>
        <w:tc>
          <w:tcPr>
            <w:tcW w:w="2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12/2/2015</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58,700</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38.95</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12/2/2025</w:t>
            </w:r>
          </w:p>
        </w:tc>
        <w:tc>
          <w:tcPr>
            <w:tcW w:w="840" w:type="dxa"/>
            <w:vAlign w:val="bottom"/>
            <w:tcBorders>
              <w:bottom w:val="single" w:sz="8" w:color="A7A9AC"/>
            </w:tcBorders>
          </w:tcPr>
          <w:p>
            <w:pPr>
              <w:spacing w:after="0"/>
              <w:rPr>
                <w:sz w:val="15"/>
                <w:szCs w:val="15"/>
                <w:color w:val="auto"/>
              </w:rPr>
            </w:pPr>
          </w:p>
        </w:tc>
        <w:tc>
          <w:tcPr>
            <w:tcW w:w="2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12/7/2016</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40,100</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53.54</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12/7/2026</w:t>
            </w:r>
          </w:p>
        </w:tc>
        <w:tc>
          <w:tcPr>
            <w:tcW w:w="840" w:type="dxa"/>
            <w:vAlign w:val="bottom"/>
            <w:tcBorders>
              <w:bottom w:val="single" w:sz="8" w:color="A7A9AC"/>
            </w:tcBorders>
          </w:tcPr>
          <w:p>
            <w:pPr>
              <w:spacing w:after="0"/>
              <w:rPr>
                <w:sz w:val="15"/>
                <w:szCs w:val="15"/>
                <w:color w:val="auto"/>
              </w:rPr>
            </w:pPr>
          </w:p>
        </w:tc>
        <w:tc>
          <w:tcPr>
            <w:tcW w:w="2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5/17/2017</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100" w:type="dxa"/>
            <w:vAlign w:val="bottom"/>
            <w:tcBorders>
              <w:bottom w:val="single" w:sz="8" w:color="A7A9AC"/>
            </w:tcBorders>
          </w:tcPr>
          <w:p>
            <w:pPr>
              <w:spacing w:after="0"/>
              <w:rPr>
                <w:sz w:val="15"/>
                <w:szCs w:val="15"/>
                <w:color w:val="auto"/>
              </w:rPr>
            </w:pPr>
          </w:p>
        </w:tc>
        <w:tc>
          <w:tcPr>
            <w:tcW w:w="1060" w:type="dxa"/>
            <w:vAlign w:val="bottom"/>
            <w:tcBorders>
              <w:bottom w:val="single" w:sz="8" w:color="A7A9AC"/>
            </w:tcBorders>
            <w:gridSpan w:val="2"/>
          </w:tcPr>
          <w:p>
            <w:pPr>
              <w:jc w:val="right"/>
              <w:ind w:right="19"/>
              <w:spacing w:after="0" w:line="183" w:lineRule="exact"/>
              <w:rPr>
                <w:sz w:val="20"/>
                <w:szCs w:val="20"/>
                <w:color w:val="auto"/>
              </w:rPr>
            </w:pPr>
            <w:r>
              <w:rPr>
                <w:rFonts w:ascii="Arial" w:cs="Arial" w:eastAsia="Arial" w:hAnsi="Arial"/>
                <w:sz w:val="16"/>
                <w:szCs w:val="16"/>
                <w:color w:val="auto"/>
              </w:rPr>
              <w:t>54,089</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1,237,015</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12/6/2017</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45,900</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43.38</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12/6/2027</w:t>
            </w:r>
          </w:p>
        </w:tc>
        <w:tc>
          <w:tcPr>
            <w:tcW w:w="1060" w:type="dxa"/>
            <w:vAlign w:val="bottom"/>
            <w:tcBorders>
              <w:bottom w:val="single" w:sz="8" w:color="A7A9AC"/>
            </w:tcBorders>
            <w:gridSpan w:val="2"/>
          </w:tcPr>
          <w:p>
            <w:pPr>
              <w:jc w:val="right"/>
              <w:ind w:right="19"/>
              <w:spacing w:after="0" w:line="183" w:lineRule="exact"/>
              <w:rPr>
                <w:sz w:val="20"/>
                <w:szCs w:val="20"/>
                <w:color w:val="auto"/>
              </w:rPr>
            </w:pPr>
            <w:r>
              <w:rPr>
                <w:rFonts w:ascii="Arial" w:cs="Arial" w:eastAsia="Arial" w:hAnsi="Arial"/>
                <w:sz w:val="16"/>
                <w:szCs w:val="16"/>
                <w:color w:val="auto"/>
              </w:rPr>
              <w:t>5,520</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126,242</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12/5/2018</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66,800</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31.44</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12/5/2028</w:t>
            </w:r>
          </w:p>
        </w:tc>
        <w:tc>
          <w:tcPr>
            <w:tcW w:w="1060" w:type="dxa"/>
            <w:vAlign w:val="bottom"/>
            <w:tcBorders>
              <w:bottom w:val="single" w:sz="8" w:color="A7A9AC"/>
            </w:tcBorders>
            <w:gridSpan w:val="2"/>
          </w:tcPr>
          <w:p>
            <w:pPr>
              <w:jc w:val="right"/>
              <w:ind w:right="19"/>
              <w:spacing w:after="0" w:line="183" w:lineRule="exact"/>
              <w:rPr>
                <w:sz w:val="20"/>
                <w:szCs w:val="20"/>
                <w:color w:val="auto"/>
              </w:rPr>
            </w:pPr>
            <w:r>
              <w:rPr>
                <w:rFonts w:ascii="Arial" w:cs="Arial" w:eastAsia="Arial" w:hAnsi="Arial"/>
                <w:sz w:val="16"/>
                <w:szCs w:val="16"/>
                <w:color w:val="auto"/>
              </w:rPr>
              <w:t>15,560</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355,857</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12/4/2019</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100" w:type="dxa"/>
            <w:vAlign w:val="bottom"/>
            <w:tcBorders>
              <w:bottom w:val="single" w:sz="8" w:color="A7A9AC"/>
            </w:tcBorders>
          </w:tcPr>
          <w:p>
            <w:pPr>
              <w:spacing w:after="0"/>
              <w:rPr>
                <w:sz w:val="15"/>
                <w:szCs w:val="15"/>
                <w:color w:val="auto"/>
              </w:rPr>
            </w:pPr>
          </w:p>
        </w:tc>
        <w:tc>
          <w:tcPr>
            <w:tcW w:w="1060" w:type="dxa"/>
            <w:vAlign w:val="bottom"/>
            <w:tcBorders>
              <w:bottom w:val="single" w:sz="8" w:color="A7A9AC"/>
            </w:tcBorders>
            <w:gridSpan w:val="2"/>
          </w:tcPr>
          <w:p>
            <w:pPr>
              <w:jc w:val="right"/>
              <w:ind w:right="19"/>
              <w:spacing w:after="0" w:line="183" w:lineRule="exact"/>
              <w:rPr>
                <w:sz w:val="20"/>
                <w:szCs w:val="20"/>
                <w:color w:val="auto"/>
              </w:rPr>
            </w:pPr>
            <w:r>
              <w:rPr>
                <w:rFonts w:ascii="Arial" w:cs="Arial" w:eastAsia="Arial" w:hAnsi="Arial"/>
                <w:sz w:val="16"/>
                <w:szCs w:val="16"/>
                <w:color w:val="auto"/>
              </w:rPr>
              <w:t>31,560</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721,777</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1/2/2020</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100" w:type="dxa"/>
            <w:vAlign w:val="bottom"/>
            <w:tcBorders>
              <w:bottom w:val="single" w:sz="8" w:color="A7A9AC"/>
            </w:tcBorders>
          </w:tcPr>
          <w:p>
            <w:pPr>
              <w:spacing w:after="0"/>
              <w:rPr>
                <w:sz w:val="15"/>
                <w:szCs w:val="15"/>
                <w:color w:val="auto"/>
              </w:rPr>
            </w:pPr>
          </w:p>
        </w:tc>
        <w:tc>
          <w:tcPr>
            <w:tcW w:w="840" w:type="dxa"/>
            <w:vAlign w:val="bottom"/>
            <w:tcBorders>
              <w:bottom w:val="single" w:sz="8" w:color="A7A9AC"/>
            </w:tcBorders>
          </w:tcPr>
          <w:p>
            <w:pPr>
              <w:spacing w:after="0"/>
              <w:rPr>
                <w:sz w:val="15"/>
                <w:szCs w:val="15"/>
                <w:color w:val="auto"/>
              </w:rPr>
            </w:pPr>
          </w:p>
        </w:tc>
        <w:tc>
          <w:tcPr>
            <w:tcW w:w="2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61,400</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1,404,218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12/2/2020</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100" w:type="dxa"/>
            <w:vAlign w:val="bottom"/>
            <w:tcBorders>
              <w:bottom w:val="single" w:sz="8" w:color="A7A9AC"/>
            </w:tcBorders>
          </w:tcPr>
          <w:p>
            <w:pPr>
              <w:spacing w:after="0"/>
              <w:rPr>
                <w:sz w:val="15"/>
                <w:szCs w:val="15"/>
                <w:color w:val="auto"/>
              </w:rPr>
            </w:pPr>
          </w:p>
        </w:tc>
        <w:tc>
          <w:tcPr>
            <w:tcW w:w="1060" w:type="dxa"/>
            <w:vAlign w:val="bottom"/>
            <w:tcBorders>
              <w:bottom w:val="single" w:sz="8" w:color="A7A9AC"/>
            </w:tcBorders>
            <w:gridSpan w:val="2"/>
          </w:tcPr>
          <w:p>
            <w:pPr>
              <w:jc w:val="right"/>
              <w:ind w:right="19"/>
              <w:spacing w:after="0" w:line="183" w:lineRule="exact"/>
              <w:rPr>
                <w:sz w:val="20"/>
                <w:szCs w:val="20"/>
                <w:color w:val="auto"/>
              </w:rPr>
            </w:pPr>
            <w:r>
              <w:rPr>
                <w:rFonts w:ascii="Arial" w:cs="Arial" w:eastAsia="Arial" w:hAnsi="Arial"/>
                <w:sz w:val="16"/>
                <w:szCs w:val="16"/>
                <w:color w:val="auto"/>
              </w:rPr>
              <w:t>76,400</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1,747,268</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CB233C"/>
              </w:rPr>
              <w:t>TOTAL</w:t>
            </w:r>
          </w:p>
        </w:tc>
        <w:tc>
          <w:tcPr>
            <w:tcW w:w="960" w:type="dxa"/>
            <w:vAlign w:val="bottom"/>
            <w:tcBorders>
              <w:bottom w:val="single" w:sz="8" w:color="CB233C"/>
            </w:tcBorders>
            <w:gridSpan w:val="2"/>
          </w:tcPr>
          <w:p>
            <w:pPr>
              <w:jc w:val="right"/>
              <w:ind w:right="100"/>
              <w:spacing w:after="0"/>
              <w:rPr>
                <w:sz w:val="20"/>
                <w:szCs w:val="20"/>
                <w:color w:val="auto"/>
              </w:rPr>
            </w:pPr>
            <w:r>
              <w:rPr>
                <w:rFonts w:ascii="Arial" w:cs="Arial" w:eastAsia="Arial" w:hAnsi="Arial"/>
                <w:sz w:val="16"/>
                <w:szCs w:val="16"/>
                <w:color w:val="auto"/>
              </w:rPr>
              <w:t>1/4/2021</w:t>
            </w:r>
          </w:p>
        </w:tc>
        <w:tc>
          <w:tcPr>
            <w:tcW w:w="116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Borders>
              <w:bottom w:val="single" w:sz="8" w:color="CB233C"/>
            </w:tcBorders>
          </w:tcPr>
          <w:p>
            <w:pPr>
              <w:spacing w:after="0"/>
              <w:rPr>
                <w:sz w:val="17"/>
                <w:szCs w:val="17"/>
                <w:color w:val="auto"/>
              </w:rPr>
            </w:pPr>
          </w:p>
        </w:tc>
        <w:tc>
          <w:tcPr>
            <w:tcW w:w="840" w:type="dxa"/>
            <w:vAlign w:val="bottom"/>
            <w:tcBorders>
              <w:bottom w:val="single" w:sz="8" w:color="CB233C"/>
            </w:tcBorders>
          </w:tcPr>
          <w:p>
            <w:pPr>
              <w:spacing w:after="0"/>
              <w:rPr>
                <w:sz w:val="17"/>
                <w:szCs w:val="17"/>
                <w:color w:val="auto"/>
              </w:rPr>
            </w:pPr>
          </w:p>
        </w:tc>
        <w:tc>
          <w:tcPr>
            <w:tcW w:w="22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111,400</w:t>
            </w:r>
          </w:p>
        </w:tc>
        <w:tc>
          <w:tcPr>
            <w:tcW w:w="1140" w:type="dxa"/>
            <w:vAlign w:val="bottom"/>
            <w:tcBorders>
              <w:bottom w:val="single" w:sz="8" w:color="CB233C"/>
            </w:tcBorders>
            <w:gridSpan w:val="2"/>
          </w:tcPr>
          <w:p>
            <w:pPr>
              <w:jc w:val="right"/>
              <w:ind w:right="20"/>
              <w:spacing w:after="0"/>
              <w:rPr>
                <w:sz w:val="20"/>
                <w:szCs w:val="20"/>
                <w:color w:val="auto"/>
              </w:rPr>
            </w:pPr>
            <w:r>
              <w:rPr>
                <w:rFonts w:ascii="Arial" w:cs="Arial" w:eastAsia="Arial" w:hAnsi="Arial"/>
                <w:sz w:val="16"/>
                <w:szCs w:val="16"/>
                <w:color w:val="auto"/>
              </w:rPr>
              <w:t>2,547,718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540" w:type="dxa"/>
            <w:vAlign w:val="bottom"/>
            <w:tcBorders>
              <w:bottom w:val="single" w:sz="8" w:color="CB233C"/>
            </w:tcBorders>
            <w:gridSpan w:val="2"/>
            <w:vMerge w:val="continue"/>
          </w:tcPr>
          <w:p>
            <w:pPr>
              <w:spacing w:after="0"/>
              <w:rPr>
                <w:sz w:val="15"/>
                <w:szCs w:val="15"/>
                <w:color w:val="auto"/>
              </w:rPr>
            </w:pPr>
          </w:p>
        </w:tc>
        <w:tc>
          <w:tcPr>
            <w:tcW w:w="200" w:type="dxa"/>
            <w:vAlign w:val="bottom"/>
            <w:tcBorders>
              <w:bottom w:val="single" w:sz="8" w:color="CB233C"/>
            </w:tcBorders>
          </w:tcPr>
          <w:p>
            <w:pPr>
              <w:spacing w:after="0"/>
              <w:rPr>
                <w:sz w:val="15"/>
                <w:szCs w:val="15"/>
                <w:color w:val="auto"/>
              </w:rPr>
            </w:pPr>
          </w:p>
        </w:tc>
        <w:tc>
          <w:tcPr>
            <w:tcW w:w="760" w:type="dxa"/>
            <w:vAlign w:val="bottom"/>
            <w:tcBorders>
              <w:bottom w:val="single" w:sz="8" w:color="CB233C"/>
            </w:tcBorders>
          </w:tcPr>
          <w:p>
            <w:pPr>
              <w:spacing w:after="0"/>
              <w:rPr>
                <w:sz w:val="15"/>
                <w:szCs w:val="15"/>
                <w:color w:val="auto"/>
              </w:rPr>
            </w:pPr>
          </w:p>
        </w:tc>
        <w:tc>
          <w:tcPr>
            <w:tcW w:w="116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354,433</w:t>
            </w:r>
          </w:p>
        </w:tc>
        <w:tc>
          <w:tcPr>
            <w:tcW w:w="130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w:t>
            </w:r>
          </w:p>
        </w:tc>
        <w:tc>
          <w:tcPr>
            <w:tcW w:w="840" w:type="dxa"/>
            <w:vAlign w:val="bottom"/>
            <w:tcBorders>
              <w:bottom w:val="single" w:sz="8" w:color="CB233C"/>
            </w:tcBorders>
          </w:tcPr>
          <w:p>
            <w:pPr>
              <w:spacing w:after="0"/>
              <w:rPr>
                <w:sz w:val="15"/>
                <w:szCs w:val="15"/>
                <w:color w:val="auto"/>
              </w:rPr>
            </w:pPr>
          </w:p>
        </w:tc>
        <w:tc>
          <w:tcPr>
            <w:tcW w:w="900" w:type="dxa"/>
            <w:vAlign w:val="bottom"/>
            <w:tcBorders>
              <w:bottom w:val="single" w:sz="8" w:color="CB233C"/>
            </w:tcBorders>
          </w:tcPr>
          <w:p>
            <w:pPr>
              <w:spacing w:after="0"/>
              <w:rPr>
                <w:sz w:val="15"/>
                <w:szCs w:val="15"/>
                <w:color w:val="auto"/>
              </w:rPr>
            </w:pPr>
          </w:p>
        </w:tc>
        <w:tc>
          <w:tcPr>
            <w:tcW w:w="100" w:type="dxa"/>
            <w:vAlign w:val="bottom"/>
            <w:tcBorders>
              <w:bottom w:val="single" w:sz="8" w:color="CB233C"/>
            </w:tcBorders>
          </w:tcPr>
          <w:p>
            <w:pPr>
              <w:spacing w:after="0"/>
              <w:rPr>
                <w:sz w:val="15"/>
                <w:szCs w:val="15"/>
                <w:color w:val="auto"/>
              </w:rPr>
            </w:pPr>
          </w:p>
        </w:tc>
        <w:tc>
          <w:tcPr>
            <w:tcW w:w="1060" w:type="dxa"/>
            <w:vAlign w:val="bottom"/>
            <w:tcBorders>
              <w:bottom w:val="single" w:sz="8" w:color="CB233C"/>
            </w:tcBorders>
            <w:gridSpan w:val="2"/>
          </w:tcPr>
          <w:p>
            <w:pPr>
              <w:jc w:val="right"/>
              <w:ind w:right="19"/>
              <w:spacing w:after="0" w:line="183" w:lineRule="exact"/>
              <w:rPr>
                <w:sz w:val="20"/>
                <w:szCs w:val="20"/>
                <w:color w:val="auto"/>
              </w:rPr>
            </w:pPr>
            <w:r>
              <w:rPr>
                <w:rFonts w:ascii="Arial" w:cs="Arial" w:eastAsia="Arial" w:hAnsi="Arial"/>
                <w:sz w:val="16"/>
                <w:szCs w:val="16"/>
                <w:b w:val="1"/>
                <w:bCs w:val="1"/>
                <w:color w:val="CB233C"/>
              </w:rPr>
              <w:t>183,129</w:t>
            </w:r>
          </w:p>
        </w:tc>
        <w:tc>
          <w:tcPr>
            <w:tcW w:w="120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4,188,159</w:t>
            </w:r>
          </w:p>
        </w:tc>
        <w:tc>
          <w:tcPr>
            <w:tcW w:w="106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b w:val="1"/>
                <w:bCs w:val="1"/>
                <w:color w:val="CB233C"/>
              </w:rPr>
              <w:t>172,800</w:t>
            </w:r>
          </w:p>
        </w:tc>
        <w:tc>
          <w:tcPr>
            <w:tcW w:w="1140" w:type="dxa"/>
            <w:vAlign w:val="bottom"/>
            <w:tcBorders>
              <w:bottom w:val="single" w:sz="8" w:color="CB233C"/>
            </w:tcBorders>
            <w:gridSpan w:val="2"/>
          </w:tcPr>
          <w:p>
            <w:pPr>
              <w:jc w:val="right"/>
              <w:ind w:right="20"/>
              <w:spacing w:after="0" w:line="183" w:lineRule="exact"/>
              <w:rPr>
                <w:sz w:val="20"/>
                <w:szCs w:val="20"/>
                <w:color w:val="auto"/>
              </w:rPr>
            </w:pPr>
            <w:r>
              <w:rPr>
                <w:rFonts w:ascii="Arial" w:cs="Arial" w:eastAsia="Arial" w:hAnsi="Arial"/>
                <w:sz w:val="16"/>
                <w:szCs w:val="16"/>
                <w:b w:val="1"/>
                <w:bCs w:val="1"/>
                <w:color w:val="CB233C"/>
              </w:rPr>
              <w:t>3,951,936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40" w:type="dxa"/>
            <w:vAlign w:val="bottom"/>
            <w:gridSpan w:val="2"/>
          </w:tcPr>
          <w:p>
            <w:pPr>
              <w:ind w:left="60"/>
              <w:spacing w:after="0" w:line="195" w:lineRule="exact"/>
              <w:rPr>
                <w:sz w:val="20"/>
                <w:szCs w:val="20"/>
                <w:color w:val="auto"/>
              </w:rPr>
            </w:pPr>
            <w:r>
              <w:rPr>
                <w:rFonts w:ascii="Arial" w:cs="Arial" w:eastAsia="Arial" w:hAnsi="Arial"/>
                <w:sz w:val="14"/>
                <w:szCs w:val="14"/>
                <w:b w:val="1"/>
                <w:bCs w:val="1"/>
                <w:color w:val="auto"/>
              </w:rPr>
              <w:t>Mark J. Richard</w:t>
            </w:r>
            <w:r>
              <w:rPr>
                <w:rFonts w:ascii="Arial" w:cs="Arial" w:eastAsia="Arial" w:hAnsi="Arial"/>
                <w:sz w:val="22"/>
                <w:szCs w:val="22"/>
                <w:b w:val="1"/>
                <w:bCs w:val="1"/>
                <w:color w:val="auto"/>
                <w:vertAlign w:val="superscript"/>
              </w:rPr>
              <w:t>(5)</w:t>
            </w:r>
          </w:p>
        </w:tc>
        <w:tc>
          <w:tcPr>
            <w:tcW w:w="960" w:type="dxa"/>
            <w:vAlign w:val="bottom"/>
            <w:tcBorders>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1/3/2012</w:t>
            </w:r>
          </w:p>
        </w:tc>
        <w:tc>
          <w:tcPr>
            <w:tcW w:w="116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6,400</w:t>
            </w:r>
          </w:p>
        </w:tc>
        <w:tc>
          <w:tcPr>
            <w:tcW w:w="130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34.15</w:t>
            </w:r>
          </w:p>
        </w:tc>
        <w:tc>
          <w:tcPr>
            <w:tcW w:w="1000" w:type="dxa"/>
            <w:vAlign w:val="bottom"/>
            <w:tcBorders>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1/3/2022</w:t>
            </w:r>
          </w:p>
        </w:tc>
        <w:tc>
          <w:tcPr>
            <w:tcW w:w="840" w:type="dxa"/>
            <w:vAlign w:val="bottom"/>
            <w:tcBorders>
              <w:bottom w:val="single" w:sz="8" w:color="A7A9AC"/>
            </w:tcBorders>
          </w:tcPr>
          <w:p>
            <w:pPr>
              <w:spacing w:after="0"/>
              <w:rPr>
                <w:sz w:val="17"/>
                <w:szCs w:val="17"/>
                <w:color w:val="auto"/>
              </w:rPr>
            </w:pPr>
          </w:p>
        </w:tc>
        <w:tc>
          <w:tcPr>
            <w:tcW w:w="2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1/3/2013</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13,900</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36.31</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1/3/2023</w:t>
            </w:r>
          </w:p>
        </w:tc>
        <w:tc>
          <w:tcPr>
            <w:tcW w:w="840" w:type="dxa"/>
            <w:vAlign w:val="bottom"/>
            <w:tcBorders>
              <w:bottom w:val="single" w:sz="8" w:color="A7A9AC"/>
            </w:tcBorders>
          </w:tcPr>
          <w:p>
            <w:pPr>
              <w:spacing w:after="0"/>
              <w:rPr>
                <w:sz w:val="15"/>
                <w:szCs w:val="15"/>
                <w:color w:val="auto"/>
              </w:rPr>
            </w:pPr>
          </w:p>
        </w:tc>
        <w:tc>
          <w:tcPr>
            <w:tcW w:w="2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1/2/2014</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7,900</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50.01</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1/2/2024</w:t>
            </w:r>
          </w:p>
        </w:tc>
        <w:tc>
          <w:tcPr>
            <w:tcW w:w="840" w:type="dxa"/>
            <w:vAlign w:val="bottom"/>
            <w:tcBorders>
              <w:bottom w:val="single" w:sz="8" w:color="A7A9AC"/>
            </w:tcBorders>
          </w:tcPr>
          <w:p>
            <w:pPr>
              <w:spacing w:after="0"/>
              <w:rPr>
                <w:sz w:val="15"/>
                <w:szCs w:val="15"/>
                <w:color w:val="auto"/>
              </w:rPr>
            </w:pPr>
          </w:p>
        </w:tc>
        <w:tc>
          <w:tcPr>
            <w:tcW w:w="2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1/2/2015</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14,807</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39.49</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1/2/2025</w:t>
            </w:r>
          </w:p>
        </w:tc>
        <w:tc>
          <w:tcPr>
            <w:tcW w:w="840" w:type="dxa"/>
            <w:vAlign w:val="bottom"/>
            <w:tcBorders>
              <w:bottom w:val="single" w:sz="8" w:color="A7A9AC"/>
            </w:tcBorders>
          </w:tcPr>
          <w:p>
            <w:pPr>
              <w:spacing w:after="0"/>
              <w:rPr>
                <w:sz w:val="15"/>
                <w:szCs w:val="15"/>
                <w:color w:val="auto"/>
              </w:rPr>
            </w:pPr>
          </w:p>
        </w:tc>
        <w:tc>
          <w:tcPr>
            <w:tcW w:w="2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1/4/2016</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28,604</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34.48</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1/4/2026</w:t>
            </w:r>
          </w:p>
        </w:tc>
        <w:tc>
          <w:tcPr>
            <w:tcW w:w="840" w:type="dxa"/>
            <w:vAlign w:val="bottom"/>
            <w:tcBorders>
              <w:bottom w:val="single" w:sz="8" w:color="A7A9AC"/>
            </w:tcBorders>
          </w:tcPr>
          <w:p>
            <w:pPr>
              <w:spacing w:after="0"/>
              <w:rPr>
                <w:sz w:val="15"/>
                <w:szCs w:val="15"/>
                <w:color w:val="auto"/>
              </w:rPr>
            </w:pPr>
          </w:p>
        </w:tc>
        <w:tc>
          <w:tcPr>
            <w:tcW w:w="2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1/3/2017</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17,119</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55.68</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1/3/2027</w:t>
            </w:r>
          </w:p>
        </w:tc>
        <w:tc>
          <w:tcPr>
            <w:tcW w:w="1060" w:type="dxa"/>
            <w:vAlign w:val="bottom"/>
            <w:tcBorders>
              <w:bottom w:val="single" w:sz="8" w:color="A7A9AC"/>
            </w:tcBorders>
            <w:gridSpan w:val="2"/>
          </w:tcPr>
          <w:p>
            <w:pPr>
              <w:jc w:val="right"/>
              <w:ind w:right="19"/>
              <w:spacing w:after="0" w:line="183" w:lineRule="exact"/>
              <w:rPr>
                <w:sz w:val="20"/>
                <w:szCs w:val="20"/>
                <w:color w:val="auto"/>
              </w:rPr>
            </w:pPr>
            <w:r>
              <w:rPr>
                <w:rFonts w:ascii="Arial" w:cs="Arial" w:eastAsia="Arial" w:hAnsi="Arial"/>
                <w:sz w:val="16"/>
                <w:szCs w:val="16"/>
                <w:color w:val="auto"/>
              </w:rPr>
              <w:t>2,081</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47,592</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1/2/2018</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24,019</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49.61</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1/2/2028</w:t>
            </w:r>
          </w:p>
        </w:tc>
        <w:tc>
          <w:tcPr>
            <w:tcW w:w="1060" w:type="dxa"/>
            <w:vAlign w:val="bottom"/>
            <w:tcBorders>
              <w:bottom w:val="single" w:sz="8" w:color="A7A9AC"/>
            </w:tcBorders>
            <w:gridSpan w:val="2"/>
          </w:tcPr>
          <w:p>
            <w:pPr>
              <w:jc w:val="right"/>
              <w:ind w:right="19"/>
              <w:spacing w:after="0" w:line="183" w:lineRule="exact"/>
              <w:rPr>
                <w:sz w:val="20"/>
                <w:szCs w:val="20"/>
                <w:color w:val="auto"/>
              </w:rPr>
            </w:pPr>
            <w:r>
              <w:rPr>
                <w:rFonts w:ascii="Arial" w:cs="Arial" w:eastAsia="Arial" w:hAnsi="Arial"/>
                <w:sz w:val="16"/>
                <w:szCs w:val="16"/>
                <w:color w:val="auto"/>
              </w:rPr>
              <w:t>5,644</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129,078</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12/20/2018</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43,924</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27.14</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12/20/2028</w:t>
            </w:r>
          </w:p>
        </w:tc>
        <w:tc>
          <w:tcPr>
            <w:tcW w:w="1060" w:type="dxa"/>
            <w:vAlign w:val="bottom"/>
            <w:tcBorders>
              <w:bottom w:val="single" w:sz="8" w:color="A7A9AC"/>
            </w:tcBorders>
            <w:gridSpan w:val="2"/>
          </w:tcPr>
          <w:p>
            <w:pPr>
              <w:jc w:val="right"/>
              <w:ind w:right="19"/>
              <w:spacing w:after="0" w:line="183" w:lineRule="exact"/>
              <w:rPr>
                <w:sz w:val="20"/>
                <w:szCs w:val="20"/>
                <w:color w:val="auto"/>
              </w:rPr>
            </w:pPr>
            <w:r>
              <w:rPr>
                <w:rFonts w:ascii="Arial" w:cs="Arial" w:eastAsia="Arial" w:hAnsi="Arial"/>
                <w:sz w:val="16"/>
                <w:szCs w:val="16"/>
                <w:color w:val="auto"/>
              </w:rPr>
              <w:t>10,316</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235,927</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12/4/2019</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100" w:type="dxa"/>
            <w:vAlign w:val="bottom"/>
            <w:tcBorders>
              <w:bottom w:val="single" w:sz="8" w:color="A7A9AC"/>
            </w:tcBorders>
          </w:tcPr>
          <w:p>
            <w:pPr>
              <w:spacing w:after="0"/>
              <w:rPr>
                <w:sz w:val="15"/>
                <w:szCs w:val="15"/>
                <w:color w:val="auto"/>
              </w:rPr>
            </w:pPr>
          </w:p>
        </w:tc>
        <w:tc>
          <w:tcPr>
            <w:tcW w:w="1060" w:type="dxa"/>
            <w:vAlign w:val="bottom"/>
            <w:tcBorders>
              <w:bottom w:val="single" w:sz="8" w:color="A7A9AC"/>
            </w:tcBorders>
            <w:gridSpan w:val="2"/>
          </w:tcPr>
          <w:p>
            <w:pPr>
              <w:jc w:val="right"/>
              <w:ind w:right="19"/>
              <w:spacing w:after="0" w:line="183" w:lineRule="exact"/>
              <w:rPr>
                <w:sz w:val="20"/>
                <w:szCs w:val="20"/>
                <w:color w:val="auto"/>
              </w:rPr>
            </w:pPr>
            <w:r>
              <w:rPr>
                <w:rFonts w:ascii="Arial" w:cs="Arial" w:eastAsia="Arial" w:hAnsi="Arial"/>
                <w:sz w:val="16"/>
                <w:szCs w:val="16"/>
                <w:color w:val="auto"/>
              </w:rPr>
              <w:t>31,560</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721,777</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1/2/2020</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100" w:type="dxa"/>
            <w:vAlign w:val="bottom"/>
            <w:tcBorders>
              <w:bottom w:val="single" w:sz="8" w:color="A7A9AC"/>
            </w:tcBorders>
          </w:tcPr>
          <w:p>
            <w:pPr>
              <w:spacing w:after="0"/>
              <w:rPr>
                <w:sz w:val="15"/>
                <w:szCs w:val="15"/>
                <w:color w:val="auto"/>
              </w:rPr>
            </w:pPr>
          </w:p>
        </w:tc>
        <w:tc>
          <w:tcPr>
            <w:tcW w:w="840" w:type="dxa"/>
            <w:vAlign w:val="bottom"/>
            <w:tcBorders>
              <w:bottom w:val="single" w:sz="8" w:color="A7A9AC"/>
            </w:tcBorders>
          </w:tcPr>
          <w:p>
            <w:pPr>
              <w:spacing w:after="0"/>
              <w:rPr>
                <w:sz w:val="15"/>
                <w:szCs w:val="15"/>
                <w:color w:val="auto"/>
              </w:rPr>
            </w:pPr>
          </w:p>
        </w:tc>
        <w:tc>
          <w:tcPr>
            <w:tcW w:w="2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61,400</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1,404,218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12/2/2020</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7A9AC"/>
            </w:tcBorders>
          </w:tcPr>
          <w:p>
            <w:pPr>
              <w:spacing w:after="0"/>
              <w:rPr>
                <w:sz w:val="15"/>
                <w:szCs w:val="15"/>
                <w:color w:val="auto"/>
              </w:rPr>
            </w:pPr>
          </w:p>
        </w:tc>
        <w:tc>
          <w:tcPr>
            <w:tcW w:w="900" w:type="dxa"/>
            <w:vAlign w:val="bottom"/>
            <w:tcBorders>
              <w:bottom w:val="single" w:sz="8" w:color="A7A9AC"/>
            </w:tcBorders>
          </w:tcPr>
          <w:p>
            <w:pPr>
              <w:spacing w:after="0"/>
              <w:rPr>
                <w:sz w:val="15"/>
                <w:szCs w:val="15"/>
                <w:color w:val="auto"/>
              </w:rPr>
            </w:pPr>
          </w:p>
        </w:tc>
        <w:tc>
          <w:tcPr>
            <w:tcW w:w="100" w:type="dxa"/>
            <w:vAlign w:val="bottom"/>
            <w:tcBorders>
              <w:bottom w:val="single" w:sz="8" w:color="A7A9AC"/>
            </w:tcBorders>
          </w:tcPr>
          <w:p>
            <w:pPr>
              <w:spacing w:after="0"/>
              <w:rPr>
                <w:sz w:val="15"/>
                <w:szCs w:val="15"/>
                <w:color w:val="auto"/>
              </w:rPr>
            </w:pPr>
          </w:p>
        </w:tc>
        <w:tc>
          <w:tcPr>
            <w:tcW w:w="1060" w:type="dxa"/>
            <w:vAlign w:val="bottom"/>
            <w:tcBorders>
              <w:bottom w:val="single" w:sz="8" w:color="A7A9AC"/>
            </w:tcBorders>
            <w:gridSpan w:val="2"/>
          </w:tcPr>
          <w:p>
            <w:pPr>
              <w:jc w:val="right"/>
              <w:ind w:right="19"/>
              <w:spacing w:after="0" w:line="183" w:lineRule="exact"/>
              <w:rPr>
                <w:sz w:val="20"/>
                <w:szCs w:val="20"/>
                <w:color w:val="auto"/>
              </w:rPr>
            </w:pPr>
            <w:r>
              <w:rPr>
                <w:rFonts w:ascii="Arial" w:cs="Arial" w:eastAsia="Arial" w:hAnsi="Arial"/>
                <w:sz w:val="16"/>
                <w:szCs w:val="16"/>
                <w:color w:val="auto"/>
              </w:rPr>
              <w:t>75,040</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1,716,165</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7A9AC"/>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CB233C"/>
              </w:rPr>
              <w:t>TOTAL</w:t>
            </w:r>
          </w:p>
        </w:tc>
        <w:tc>
          <w:tcPr>
            <w:tcW w:w="960" w:type="dxa"/>
            <w:vAlign w:val="bottom"/>
            <w:tcBorders>
              <w:bottom w:val="single" w:sz="8" w:color="CB233C"/>
            </w:tcBorders>
            <w:gridSpan w:val="2"/>
          </w:tcPr>
          <w:p>
            <w:pPr>
              <w:jc w:val="right"/>
              <w:ind w:right="100"/>
              <w:spacing w:after="0"/>
              <w:rPr>
                <w:sz w:val="20"/>
                <w:szCs w:val="20"/>
                <w:color w:val="auto"/>
              </w:rPr>
            </w:pPr>
            <w:r>
              <w:rPr>
                <w:rFonts w:ascii="Arial" w:cs="Arial" w:eastAsia="Arial" w:hAnsi="Arial"/>
                <w:sz w:val="16"/>
                <w:szCs w:val="16"/>
                <w:color w:val="auto"/>
              </w:rPr>
              <w:t>1/4/2021</w:t>
            </w:r>
          </w:p>
        </w:tc>
        <w:tc>
          <w:tcPr>
            <w:tcW w:w="116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Borders>
              <w:bottom w:val="single" w:sz="8" w:color="CB233C"/>
            </w:tcBorders>
          </w:tcPr>
          <w:p>
            <w:pPr>
              <w:spacing w:after="0"/>
              <w:rPr>
                <w:sz w:val="17"/>
                <w:szCs w:val="17"/>
                <w:color w:val="auto"/>
              </w:rPr>
            </w:pPr>
          </w:p>
        </w:tc>
        <w:tc>
          <w:tcPr>
            <w:tcW w:w="840" w:type="dxa"/>
            <w:vAlign w:val="bottom"/>
            <w:tcBorders>
              <w:bottom w:val="single" w:sz="8" w:color="CB233C"/>
            </w:tcBorders>
          </w:tcPr>
          <w:p>
            <w:pPr>
              <w:spacing w:after="0"/>
              <w:rPr>
                <w:sz w:val="17"/>
                <w:szCs w:val="17"/>
                <w:color w:val="auto"/>
              </w:rPr>
            </w:pPr>
          </w:p>
        </w:tc>
        <w:tc>
          <w:tcPr>
            <w:tcW w:w="22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109,400</w:t>
            </w:r>
          </w:p>
        </w:tc>
        <w:tc>
          <w:tcPr>
            <w:tcW w:w="1140" w:type="dxa"/>
            <w:vAlign w:val="bottom"/>
            <w:tcBorders>
              <w:bottom w:val="single" w:sz="8" w:color="CB233C"/>
            </w:tcBorders>
            <w:gridSpan w:val="2"/>
          </w:tcPr>
          <w:p>
            <w:pPr>
              <w:jc w:val="right"/>
              <w:ind w:right="20"/>
              <w:spacing w:after="0"/>
              <w:rPr>
                <w:sz w:val="20"/>
                <w:szCs w:val="20"/>
                <w:color w:val="auto"/>
              </w:rPr>
            </w:pPr>
            <w:r>
              <w:rPr>
                <w:rFonts w:ascii="Arial" w:cs="Arial" w:eastAsia="Arial" w:hAnsi="Arial"/>
                <w:sz w:val="16"/>
                <w:szCs w:val="16"/>
                <w:color w:val="auto"/>
              </w:rPr>
              <w:t>2,501,978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540" w:type="dxa"/>
            <w:vAlign w:val="bottom"/>
            <w:tcBorders>
              <w:bottom w:val="single" w:sz="8" w:color="CB233C"/>
            </w:tcBorders>
            <w:gridSpan w:val="2"/>
            <w:vMerge w:val="continue"/>
          </w:tcPr>
          <w:p>
            <w:pPr>
              <w:spacing w:after="0"/>
              <w:rPr>
                <w:sz w:val="15"/>
                <w:szCs w:val="15"/>
                <w:color w:val="auto"/>
              </w:rPr>
            </w:pPr>
          </w:p>
        </w:tc>
        <w:tc>
          <w:tcPr>
            <w:tcW w:w="200" w:type="dxa"/>
            <w:vAlign w:val="bottom"/>
            <w:tcBorders>
              <w:bottom w:val="single" w:sz="8" w:color="CB233C"/>
            </w:tcBorders>
          </w:tcPr>
          <w:p>
            <w:pPr>
              <w:spacing w:after="0"/>
              <w:rPr>
                <w:sz w:val="15"/>
                <w:szCs w:val="15"/>
                <w:color w:val="auto"/>
              </w:rPr>
            </w:pPr>
          </w:p>
        </w:tc>
        <w:tc>
          <w:tcPr>
            <w:tcW w:w="760" w:type="dxa"/>
            <w:vAlign w:val="bottom"/>
            <w:tcBorders>
              <w:bottom w:val="single" w:sz="8" w:color="CB233C"/>
            </w:tcBorders>
          </w:tcPr>
          <w:p>
            <w:pPr>
              <w:spacing w:after="0"/>
              <w:rPr>
                <w:sz w:val="15"/>
                <w:szCs w:val="15"/>
                <w:color w:val="auto"/>
              </w:rPr>
            </w:pPr>
          </w:p>
        </w:tc>
        <w:tc>
          <w:tcPr>
            <w:tcW w:w="116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156,673</w:t>
            </w:r>
          </w:p>
        </w:tc>
        <w:tc>
          <w:tcPr>
            <w:tcW w:w="130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w:t>
            </w:r>
          </w:p>
        </w:tc>
        <w:tc>
          <w:tcPr>
            <w:tcW w:w="840" w:type="dxa"/>
            <w:vAlign w:val="bottom"/>
            <w:tcBorders>
              <w:bottom w:val="single" w:sz="8" w:color="CB233C"/>
            </w:tcBorders>
          </w:tcPr>
          <w:p>
            <w:pPr>
              <w:spacing w:after="0"/>
              <w:rPr>
                <w:sz w:val="15"/>
                <w:szCs w:val="15"/>
                <w:color w:val="auto"/>
              </w:rPr>
            </w:pPr>
          </w:p>
        </w:tc>
        <w:tc>
          <w:tcPr>
            <w:tcW w:w="900" w:type="dxa"/>
            <w:vAlign w:val="bottom"/>
            <w:tcBorders>
              <w:bottom w:val="single" w:sz="8" w:color="CB233C"/>
            </w:tcBorders>
          </w:tcPr>
          <w:p>
            <w:pPr>
              <w:spacing w:after="0"/>
              <w:rPr>
                <w:sz w:val="15"/>
                <w:szCs w:val="15"/>
                <w:color w:val="auto"/>
              </w:rPr>
            </w:pPr>
          </w:p>
        </w:tc>
        <w:tc>
          <w:tcPr>
            <w:tcW w:w="100" w:type="dxa"/>
            <w:vAlign w:val="bottom"/>
            <w:tcBorders>
              <w:bottom w:val="single" w:sz="8" w:color="CB233C"/>
            </w:tcBorders>
          </w:tcPr>
          <w:p>
            <w:pPr>
              <w:spacing w:after="0"/>
              <w:rPr>
                <w:sz w:val="15"/>
                <w:szCs w:val="15"/>
                <w:color w:val="auto"/>
              </w:rPr>
            </w:pPr>
          </w:p>
        </w:tc>
        <w:tc>
          <w:tcPr>
            <w:tcW w:w="1060" w:type="dxa"/>
            <w:vAlign w:val="bottom"/>
            <w:tcBorders>
              <w:bottom w:val="single" w:sz="8" w:color="CB233C"/>
            </w:tcBorders>
            <w:gridSpan w:val="2"/>
          </w:tcPr>
          <w:p>
            <w:pPr>
              <w:jc w:val="right"/>
              <w:ind w:right="19"/>
              <w:spacing w:after="0" w:line="183" w:lineRule="exact"/>
              <w:rPr>
                <w:sz w:val="20"/>
                <w:szCs w:val="20"/>
                <w:color w:val="auto"/>
              </w:rPr>
            </w:pPr>
            <w:r>
              <w:rPr>
                <w:rFonts w:ascii="Arial" w:cs="Arial" w:eastAsia="Arial" w:hAnsi="Arial"/>
                <w:sz w:val="16"/>
                <w:szCs w:val="16"/>
                <w:b w:val="1"/>
                <w:bCs w:val="1"/>
                <w:color w:val="CB233C"/>
              </w:rPr>
              <w:t>124,641</w:t>
            </w:r>
          </w:p>
        </w:tc>
        <w:tc>
          <w:tcPr>
            <w:tcW w:w="120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2,850,539</w:t>
            </w:r>
          </w:p>
        </w:tc>
        <w:tc>
          <w:tcPr>
            <w:tcW w:w="106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b w:val="1"/>
                <w:bCs w:val="1"/>
                <w:color w:val="CB233C"/>
              </w:rPr>
              <w:t>170,800</w:t>
            </w:r>
          </w:p>
        </w:tc>
        <w:tc>
          <w:tcPr>
            <w:tcW w:w="1140" w:type="dxa"/>
            <w:vAlign w:val="bottom"/>
            <w:tcBorders>
              <w:bottom w:val="single" w:sz="8" w:color="CB233C"/>
            </w:tcBorders>
            <w:gridSpan w:val="2"/>
          </w:tcPr>
          <w:p>
            <w:pPr>
              <w:jc w:val="right"/>
              <w:ind w:right="20"/>
              <w:spacing w:after="0" w:line="183" w:lineRule="exact"/>
              <w:rPr>
                <w:sz w:val="20"/>
                <w:szCs w:val="20"/>
                <w:color w:val="auto"/>
              </w:rPr>
            </w:pPr>
            <w:r>
              <w:rPr>
                <w:rFonts w:ascii="Arial" w:cs="Arial" w:eastAsia="Arial" w:hAnsi="Arial"/>
                <w:sz w:val="16"/>
                <w:szCs w:val="16"/>
                <w:b w:val="1"/>
                <w:bCs w:val="1"/>
                <w:color w:val="CB233C"/>
              </w:rPr>
              <w:t>3,906,196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740" w:type="dxa"/>
            <w:vAlign w:val="bottom"/>
            <w:gridSpan w:val="3"/>
            <w:vMerge w:val="restart"/>
          </w:tcPr>
          <w:p>
            <w:pPr>
              <w:spacing w:after="0"/>
              <w:rPr>
                <w:sz w:val="20"/>
                <w:szCs w:val="20"/>
                <w:color w:val="auto"/>
              </w:rPr>
            </w:pPr>
            <w:r>
              <w:rPr>
                <w:rFonts w:ascii="Arial" w:cs="Arial" w:eastAsia="Arial" w:hAnsi="Arial"/>
                <w:sz w:val="16"/>
                <w:szCs w:val="16"/>
                <w:b w:val="1"/>
                <w:bCs w:val="1"/>
                <w:color w:val="CB233C"/>
              </w:rPr>
              <w:t>www.halliburton.com</w:t>
            </w:r>
          </w:p>
        </w:tc>
        <w:tc>
          <w:tcPr>
            <w:tcW w:w="7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40" w:type="dxa"/>
            <w:vAlign w:val="bottom"/>
            <w:gridSpan w:val="6"/>
            <w:vMerge w:val="restart"/>
          </w:tcPr>
          <w:p>
            <w:pPr>
              <w:jc w:val="right"/>
              <w:ind w:right="40"/>
              <w:spacing w:after="0"/>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   58</w:t>
            </w:r>
          </w:p>
        </w:tc>
        <w:tc>
          <w:tcPr>
            <w:tcW w:w="0" w:type="dxa"/>
            <w:vAlign w:val="bottom"/>
          </w:tcPr>
          <w:p>
            <w:pPr>
              <w:spacing w:after="0"/>
              <w:rPr>
                <w:sz w:val="1"/>
                <w:szCs w:val="1"/>
                <w:color w:val="auto"/>
              </w:rPr>
            </w:pPr>
          </w:p>
        </w:tc>
      </w:tr>
      <w:tr>
        <w:trPr>
          <w:trHeight w:val="94"/>
        </w:trPr>
        <w:tc>
          <w:tcPr>
            <w:tcW w:w="1740" w:type="dxa"/>
            <w:vAlign w:val="bottom"/>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120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200" w:type="dxa"/>
            <w:vAlign w:val="bottom"/>
            <w:tcBorders>
              <w:bottom w:val="single" w:sz="8" w:color="C0C0C0"/>
            </w:tcBorders>
          </w:tcPr>
          <w:p>
            <w:pPr>
              <w:spacing w:after="0"/>
              <w:rPr>
                <w:sz w:val="24"/>
                <w:szCs w:val="24"/>
                <w:color w:val="auto"/>
              </w:rPr>
            </w:pPr>
          </w:p>
        </w:tc>
        <w:tc>
          <w:tcPr>
            <w:tcW w:w="760" w:type="dxa"/>
            <w:vAlign w:val="bottom"/>
            <w:tcBorders>
              <w:bottom w:val="single" w:sz="8" w:color="C0C0C0"/>
            </w:tcBorders>
          </w:tcPr>
          <w:p>
            <w:pPr>
              <w:spacing w:after="0"/>
              <w:rPr>
                <w:sz w:val="24"/>
                <w:szCs w:val="24"/>
                <w:color w:val="auto"/>
              </w:rPr>
            </w:pPr>
          </w:p>
        </w:tc>
        <w:tc>
          <w:tcPr>
            <w:tcW w:w="1160" w:type="dxa"/>
            <w:vAlign w:val="bottom"/>
            <w:tcBorders>
              <w:bottom w:val="single" w:sz="8" w:color="C0C0C0"/>
            </w:tcBorders>
          </w:tcPr>
          <w:p>
            <w:pPr>
              <w:spacing w:after="0"/>
              <w:rPr>
                <w:sz w:val="24"/>
                <w:szCs w:val="24"/>
                <w:color w:val="auto"/>
              </w:rPr>
            </w:pPr>
          </w:p>
        </w:tc>
        <w:tc>
          <w:tcPr>
            <w:tcW w:w="1300" w:type="dxa"/>
            <w:vAlign w:val="bottom"/>
            <w:tcBorders>
              <w:bottom w:val="single" w:sz="8" w:color="C0C0C0"/>
            </w:tcBorders>
          </w:tcPr>
          <w:p>
            <w:pPr>
              <w:spacing w:after="0"/>
              <w:rPr>
                <w:sz w:val="24"/>
                <w:szCs w:val="24"/>
                <w:color w:val="auto"/>
              </w:rPr>
            </w:pPr>
          </w:p>
        </w:tc>
        <w:tc>
          <w:tcPr>
            <w:tcW w:w="84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100" w:type="dxa"/>
            <w:vAlign w:val="bottom"/>
            <w:tcBorders>
              <w:bottom w:val="single" w:sz="8" w:color="C0C0C0"/>
            </w:tcBorders>
          </w:tcPr>
          <w:p>
            <w:pPr>
              <w:spacing w:after="0"/>
              <w:rPr>
                <w:sz w:val="24"/>
                <w:szCs w:val="24"/>
                <w:color w:val="auto"/>
              </w:rPr>
            </w:pPr>
          </w:p>
        </w:tc>
        <w:tc>
          <w:tcPr>
            <w:tcW w:w="840" w:type="dxa"/>
            <w:vAlign w:val="bottom"/>
            <w:tcBorders>
              <w:bottom w:val="single" w:sz="8" w:color="C0C0C0"/>
            </w:tcBorders>
          </w:tcPr>
          <w:p>
            <w:pPr>
              <w:spacing w:after="0"/>
              <w:rPr>
                <w:sz w:val="24"/>
                <w:szCs w:val="24"/>
                <w:color w:val="auto"/>
              </w:rPr>
            </w:pPr>
          </w:p>
        </w:tc>
        <w:tc>
          <w:tcPr>
            <w:tcW w:w="220" w:type="dxa"/>
            <w:vAlign w:val="bottom"/>
            <w:tcBorders>
              <w:bottom w:val="single" w:sz="8" w:color="C0C0C0"/>
            </w:tcBorders>
          </w:tcPr>
          <w:p>
            <w:pPr>
              <w:spacing w:after="0"/>
              <w:rPr>
                <w:sz w:val="24"/>
                <w:szCs w:val="24"/>
                <w:color w:val="auto"/>
              </w:rPr>
            </w:pPr>
          </w:p>
        </w:tc>
        <w:tc>
          <w:tcPr>
            <w:tcW w:w="1200" w:type="dxa"/>
            <w:vAlign w:val="bottom"/>
            <w:tcBorders>
              <w:bottom w:val="single" w:sz="8" w:color="C0C0C0"/>
            </w:tcBorders>
          </w:tcPr>
          <w:p>
            <w:pPr>
              <w:spacing w:after="0"/>
              <w:rPr>
                <w:sz w:val="24"/>
                <w:szCs w:val="24"/>
                <w:color w:val="auto"/>
              </w:rPr>
            </w:pPr>
          </w:p>
        </w:tc>
        <w:tc>
          <w:tcPr>
            <w:tcW w:w="1060" w:type="dxa"/>
            <w:vAlign w:val="bottom"/>
            <w:tcBorders>
              <w:bottom w:val="single" w:sz="8" w:color="C0C0C0"/>
            </w:tcBorders>
          </w:tcPr>
          <w:p>
            <w:pPr>
              <w:spacing w:after="0"/>
              <w:rPr>
                <w:sz w:val="24"/>
                <w:szCs w:val="24"/>
                <w:color w:val="auto"/>
              </w:rPr>
            </w:pPr>
          </w:p>
        </w:tc>
        <w:tc>
          <w:tcPr>
            <w:tcW w:w="1120" w:type="dxa"/>
            <w:vAlign w:val="bottom"/>
            <w:tcBorders>
              <w:bottom w:val="single" w:sz="8" w:color="C0C0C0"/>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5" w:right="3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9" w:lineRule="exact"/>
        <w:rPr>
          <w:sz w:val="20"/>
          <w:szCs w:val="20"/>
          <w:color w:val="auto"/>
        </w:rPr>
      </w:pPr>
    </w:p>
    <w:p>
      <w:pPr>
        <w:ind w:left="340" w:hanging="332"/>
        <w:spacing w:after="0" w:line="281" w:lineRule="auto"/>
        <w:tabs>
          <w:tab w:leader="none" w:pos="340" w:val="left"/>
        </w:tabs>
        <w:numPr>
          <w:ilvl w:val="0"/>
          <w:numId w:val="78"/>
        </w:numPr>
        <w:rPr>
          <w:rFonts w:ascii="Arial" w:cs="Arial" w:eastAsia="Arial" w:hAnsi="Arial"/>
          <w:sz w:val="14"/>
          <w:szCs w:val="14"/>
          <w:i w:val="1"/>
          <w:iCs w:val="1"/>
          <w:color w:val="auto"/>
        </w:rPr>
      </w:pPr>
      <w:r>
        <w:rPr>
          <w:rFonts w:ascii="Arial" w:cs="Arial" w:eastAsia="Arial" w:hAnsi="Arial"/>
          <w:sz w:val="14"/>
          <w:szCs w:val="14"/>
          <w:i w:val="1"/>
          <w:iCs w:val="1"/>
          <w:color w:val="auto"/>
        </w:rPr>
        <w:t>Mr. Miller’s stock option awards vest annually in equal amounts over three-year vesting schedules. His restricted stock awards vest in equal amounts over each grant’s five-year vesting schedule, except for the June 1, 2017, award, which will vest 100% five years from the date of grant.</w:t>
      </w:r>
    </w:p>
    <w:p>
      <w:pPr>
        <w:spacing w:after="0" w:line="1" w:lineRule="exact"/>
        <w:rPr>
          <w:rFonts w:ascii="Arial" w:cs="Arial" w:eastAsia="Arial" w:hAnsi="Arial"/>
          <w:sz w:val="14"/>
          <w:szCs w:val="14"/>
          <w:i w:val="1"/>
          <w:iCs w:val="1"/>
          <w:color w:val="auto"/>
        </w:rPr>
      </w:pPr>
    </w:p>
    <w:p>
      <w:pPr>
        <w:ind w:left="340" w:right="20" w:hanging="332"/>
        <w:spacing w:after="0" w:line="281" w:lineRule="auto"/>
        <w:tabs>
          <w:tab w:leader="none" w:pos="340" w:val="left"/>
        </w:tabs>
        <w:numPr>
          <w:ilvl w:val="0"/>
          <w:numId w:val="78"/>
        </w:numPr>
        <w:rPr>
          <w:rFonts w:ascii="Arial" w:cs="Arial" w:eastAsia="Arial" w:hAnsi="Arial"/>
          <w:sz w:val="14"/>
          <w:szCs w:val="14"/>
          <w:i w:val="1"/>
          <w:iCs w:val="1"/>
          <w:color w:val="auto"/>
        </w:rPr>
      </w:pPr>
      <w:r>
        <w:rPr>
          <w:rFonts w:ascii="Arial" w:cs="Arial" w:eastAsia="Arial" w:hAnsi="Arial"/>
          <w:sz w:val="14"/>
          <w:szCs w:val="14"/>
          <w:i w:val="1"/>
          <w:iCs w:val="1"/>
          <w:color w:val="auto"/>
        </w:rPr>
        <w:t>Mr. Loeffler’s stock option awards vest annually in equal amounts over three-year vesting schedules. His restricted stock awards vest in equal amounts over each grant’s five-year vesting schedule.</w:t>
      </w:r>
    </w:p>
    <w:p>
      <w:pPr>
        <w:spacing w:after="0" w:line="1" w:lineRule="exact"/>
        <w:rPr>
          <w:rFonts w:ascii="Arial" w:cs="Arial" w:eastAsia="Arial" w:hAnsi="Arial"/>
          <w:sz w:val="14"/>
          <w:szCs w:val="14"/>
          <w:i w:val="1"/>
          <w:iCs w:val="1"/>
          <w:color w:val="auto"/>
        </w:rPr>
      </w:pPr>
    </w:p>
    <w:p>
      <w:pPr>
        <w:ind w:left="340" w:hanging="332"/>
        <w:spacing w:after="0" w:line="281" w:lineRule="auto"/>
        <w:tabs>
          <w:tab w:leader="none" w:pos="340" w:val="left"/>
        </w:tabs>
        <w:numPr>
          <w:ilvl w:val="0"/>
          <w:numId w:val="78"/>
        </w:numPr>
        <w:rPr>
          <w:rFonts w:ascii="Arial" w:cs="Arial" w:eastAsia="Arial" w:hAnsi="Arial"/>
          <w:sz w:val="14"/>
          <w:szCs w:val="14"/>
          <w:i w:val="1"/>
          <w:iCs w:val="1"/>
          <w:color w:val="auto"/>
        </w:rPr>
      </w:pPr>
      <w:r>
        <w:rPr>
          <w:rFonts w:ascii="Arial" w:cs="Arial" w:eastAsia="Arial" w:hAnsi="Arial"/>
          <w:sz w:val="14"/>
          <w:szCs w:val="14"/>
          <w:i w:val="1"/>
          <w:iCs w:val="1"/>
          <w:color w:val="auto"/>
        </w:rPr>
        <w:t>Mr. Carre’s stock option awards vest annually in equal amounts over three-year vesting schedules. His restricted stock awards vest in equal amounts over each grant’s five-year vesting schedule.</w:t>
      </w:r>
    </w:p>
    <w:p>
      <w:pPr>
        <w:spacing w:after="0" w:line="1" w:lineRule="exact"/>
        <w:rPr>
          <w:rFonts w:ascii="Arial" w:cs="Arial" w:eastAsia="Arial" w:hAnsi="Arial"/>
          <w:sz w:val="14"/>
          <w:szCs w:val="14"/>
          <w:i w:val="1"/>
          <w:iCs w:val="1"/>
          <w:color w:val="auto"/>
        </w:rPr>
      </w:pPr>
    </w:p>
    <w:p>
      <w:pPr>
        <w:ind w:left="340" w:hanging="332"/>
        <w:spacing w:after="0" w:line="281" w:lineRule="auto"/>
        <w:tabs>
          <w:tab w:leader="none" w:pos="340" w:val="left"/>
        </w:tabs>
        <w:numPr>
          <w:ilvl w:val="0"/>
          <w:numId w:val="78"/>
        </w:numPr>
        <w:rPr>
          <w:rFonts w:ascii="Arial" w:cs="Arial" w:eastAsia="Arial" w:hAnsi="Arial"/>
          <w:sz w:val="14"/>
          <w:szCs w:val="14"/>
          <w:i w:val="1"/>
          <w:iCs w:val="1"/>
          <w:color w:val="auto"/>
        </w:rPr>
      </w:pPr>
      <w:r>
        <w:rPr>
          <w:rFonts w:ascii="Arial" w:cs="Arial" w:eastAsia="Arial" w:hAnsi="Arial"/>
          <w:sz w:val="14"/>
          <w:szCs w:val="14"/>
          <w:i w:val="1"/>
          <w:iCs w:val="1"/>
          <w:color w:val="auto"/>
        </w:rPr>
        <w:t>Mr. Rainey’s stock option awards vest annually in equal amounts over three-year vesting schedules. His restricted stock awards vest in equal amounts over each grant’s five-year vesting schedule, except for the May 17, 2017, award, which will vest 100% five years from the date of grant.</w:t>
      </w:r>
    </w:p>
    <w:p>
      <w:pPr>
        <w:spacing w:after="0" w:line="1" w:lineRule="exact"/>
        <w:rPr>
          <w:rFonts w:ascii="Arial" w:cs="Arial" w:eastAsia="Arial" w:hAnsi="Arial"/>
          <w:sz w:val="14"/>
          <w:szCs w:val="14"/>
          <w:i w:val="1"/>
          <w:iCs w:val="1"/>
          <w:color w:val="auto"/>
        </w:rPr>
      </w:pPr>
    </w:p>
    <w:p>
      <w:pPr>
        <w:ind w:left="340" w:hanging="332"/>
        <w:spacing w:after="0" w:line="282" w:lineRule="auto"/>
        <w:tabs>
          <w:tab w:leader="none" w:pos="340" w:val="left"/>
        </w:tabs>
        <w:numPr>
          <w:ilvl w:val="0"/>
          <w:numId w:val="78"/>
        </w:numPr>
        <w:rPr>
          <w:rFonts w:ascii="Arial" w:cs="Arial" w:eastAsia="Arial" w:hAnsi="Arial"/>
          <w:sz w:val="14"/>
          <w:szCs w:val="14"/>
          <w:i w:val="1"/>
          <w:iCs w:val="1"/>
          <w:color w:val="auto"/>
        </w:rPr>
      </w:pPr>
      <w:r>
        <w:rPr>
          <w:rFonts w:ascii="Arial" w:cs="Arial" w:eastAsia="Arial" w:hAnsi="Arial"/>
          <w:sz w:val="14"/>
          <w:szCs w:val="14"/>
          <w:i w:val="1"/>
          <w:iCs w:val="1"/>
          <w:color w:val="auto"/>
        </w:rPr>
        <w:t>Mr. Richard’s stock option awards vest annually in equal amounts over three-year vesting schedules. His restricted stock awards vest in equal amounts over each grant’s five-year vesting schedule.</w:t>
      </w:r>
    </w:p>
    <w:p>
      <w:pPr>
        <w:spacing w:after="0" w:line="233"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2021 Option Exercises and Stock Vested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stock options exercised and restricted shares that vested during fiscal year 2021 for our NEOs.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242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Option Awards</w:t>
            </w:r>
          </w:p>
        </w:tc>
        <w:tc>
          <w:tcPr>
            <w:tcW w:w="1180" w:type="dxa"/>
            <w:vAlign w:val="bottom"/>
            <w:tcBorders>
              <w:bottom w:val="single" w:sz="8" w:color="CB233C"/>
            </w:tcBorders>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Stock Awards</w:t>
            </w:r>
          </w:p>
        </w:tc>
        <w:tc>
          <w:tcPr>
            <w:tcW w:w="1240" w:type="dxa"/>
            <w:vAlign w:val="bottom"/>
            <w:tcBorders>
              <w:bottom w:val="single" w:sz="8" w:color="CB233C"/>
            </w:tcBorders>
          </w:tcPr>
          <w:p>
            <w:pPr>
              <w:spacing w:after="0"/>
              <w:rPr>
                <w:sz w:val="17"/>
                <w:szCs w:val="17"/>
                <w:color w:val="auto"/>
              </w:rPr>
            </w:pPr>
          </w:p>
        </w:tc>
      </w:tr>
      <w:tr>
        <w:trPr>
          <w:trHeight w:val="168"/>
        </w:trPr>
        <w:tc>
          <w:tcPr>
            <w:tcW w:w="3720" w:type="dxa"/>
            <w:vAlign w:val="bottom"/>
          </w:tcPr>
          <w:p>
            <w:pPr>
              <w:spacing w:after="0"/>
              <w:rPr>
                <w:sz w:val="14"/>
                <w:szCs w:val="14"/>
                <w:color w:val="auto"/>
              </w:rPr>
            </w:pPr>
          </w:p>
        </w:tc>
        <w:tc>
          <w:tcPr>
            <w:tcW w:w="2420" w:type="dxa"/>
            <w:vAlign w:val="bottom"/>
          </w:tcPr>
          <w:p>
            <w:pPr>
              <w:jc w:val="right"/>
              <w:ind w:right="319"/>
              <w:spacing w:after="0" w:line="168" w:lineRule="exact"/>
              <w:rPr>
                <w:sz w:val="20"/>
                <w:szCs w:val="20"/>
                <w:color w:val="auto"/>
              </w:rPr>
            </w:pPr>
            <w:r>
              <w:rPr>
                <w:rFonts w:ascii="Arial" w:cs="Arial" w:eastAsia="Arial" w:hAnsi="Arial"/>
                <w:sz w:val="16"/>
                <w:szCs w:val="16"/>
                <w:b w:val="1"/>
                <w:bCs w:val="1"/>
                <w:color w:val="auto"/>
              </w:rPr>
              <w:t>Number of Shares</w:t>
            </w:r>
          </w:p>
        </w:tc>
        <w:tc>
          <w:tcPr>
            <w:tcW w:w="118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Value Realized</w:t>
            </w:r>
          </w:p>
        </w:tc>
        <w:tc>
          <w:tcPr>
            <w:tcW w:w="240" w:type="dxa"/>
            <w:vAlign w:val="bottom"/>
          </w:tcPr>
          <w:p>
            <w:pPr>
              <w:spacing w:after="0"/>
              <w:rPr>
                <w:sz w:val="14"/>
                <w:szCs w:val="14"/>
                <w:color w:val="auto"/>
              </w:rPr>
            </w:pPr>
          </w:p>
        </w:tc>
        <w:tc>
          <w:tcPr>
            <w:tcW w:w="2440" w:type="dxa"/>
            <w:vAlign w:val="bottom"/>
          </w:tcPr>
          <w:p>
            <w:pPr>
              <w:jc w:val="right"/>
              <w:ind w:right="359"/>
              <w:spacing w:after="0" w:line="168" w:lineRule="exact"/>
              <w:rPr>
                <w:sz w:val="20"/>
                <w:szCs w:val="20"/>
                <w:color w:val="auto"/>
              </w:rPr>
            </w:pPr>
            <w:r>
              <w:rPr>
                <w:rFonts w:ascii="Arial" w:cs="Arial" w:eastAsia="Arial" w:hAnsi="Arial"/>
                <w:sz w:val="16"/>
                <w:szCs w:val="16"/>
                <w:b w:val="1"/>
                <w:bCs w:val="1"/>
                <w:color w:val="auto"/>
              </w:rPr>
              <w:t>Number of Shares</w:t>
            </w:r>
          </w:p>
        </w:tc>
        <w:tc>
          <w:tcPr>
            <w:tcW w:w="124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Value Realized</w:t>
            </w:r>
          </w:p>
        </w:tc>
      </w:tr>
      <w:tr>
        <w:trPr>
          <w:trHeight w:val="189"/>
        </w:trPr>
        <w:tc>
          <w:tcPr>
            <w:tcW w:w="3720" w:type="dxa"/>
            <w:vAlign w:val="bottom"/>
          </w:tcPr>
          <w:p>
            <w:pPr>
              <w:spacing w:after="0"/>
              <w:rPr>
                <w:sz w:val="16"/>
                <w:szCs w:val="16"/>
                <w:color w:val="auto"/>
              </w:rPr>
            </w:pPr>
          </w:p>
        </w:tc>
        <w:tc>
          <w:tcPr>
            <w:tcW w:w="2420" w:type="dxa"/>
            <w:vAlign w:val="bottom"/>
          </w:tcPr>
          <w:p>
            <w:pPr>
              <w:jc w:val="right"/>
              <w:ind w:right="319"/>
              <w:spacing w:after="0"/>
              <w:rPr>
                <w:sz w:val="20"/>
                <w:szCs w:val="20"/>
                <w:color w:val="auto"/>
              </w:rPr>
            </w:pPr>
            <w:r>
              <w:rPr>
                <w:rFonts w:ascii="Arial" w:cs="Arial" w:eastAsia="Arial" w:hAnsi="Arial"/>
                <w:sz w:val="16"/>
                <w:szCs w:val="16"/>
                <w:b w:val="1"/>
                <w:bCs w:val="1"/>
                <w:color w:val="auto"/>
              </w:rPr>
              <w:t>Acquired on Exercise</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on Exercise</w:t>
            </w:r>
          </w:p>
        </w:tc>
        <w:tc>
          <w:tcPr>
            <w:tcW w:w="2440" w:type="dxa"/>
            <w:vAlign w:val="bottom"/>
          </w:tcPr>
          <w:p>
            <w:pPr>
              <w:jc w:val="right"/>
              <w:ind w:right="359"/>
              <w:spacing w:after="0"/>
              <w:rPr>
                <w:sz w:val="20"/>
                <w:szCs w:val="20"/>
                <w:color w:val="auto"/>
              </w:rPr>
            </w:pPr>
            <w:r>
              <w:rPr>
                <w:rFonts w:ascii="Arial" w:cs="Arial" w:eastAsia="Arial" w:hAnsi="Arial"/>
                <w:sz w:val="16"/>
                <w:szCs w:val="16"/>
                <w:b w:val="1"/>
                <w:bCs w:val="1"/>
                <w:color w:val="auto"/>
              </w:rPr>
              <w:t>Acquired on Vesting</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on Vesting</w:t>
            </w:r>
          </w:p>
        </w:tc>
      </w:tr>
      <w:tr>
        <w:trPr>
          <w:trHeight w:val="203"/>
        </w:trPr>
        <w:tc>
          <w:tcPr>
            <w:tcW w:w="3720" w:type="dxa"/>
            <w:vAlign w:val="bottom"/>
            <w:tcBorders>
              <w:bottom w:val="single" w:sz="8" w:color="CB233C"/>
            </w:tcBorders>
          </w:tcPr>
          <w:p>
            <w:pPr>
              <w:ind w:left="60"/>
              <w:spacing w:after="0"/>
              <w:rPr>
                <w:sz w:val="20"/>
                <w:szCs w:val="20"/>
                <w:color w:val="auto"/>
              </w:rPr>
            </w:pPr>
            <w:r>
              <w:rPr>
                <w:rFonts w:ascii="Arial" w:cs="Arial" w:eastAsia="Arial" w:hAnsi="Arial"/>
                <w:sz w:val="16"/>
                <w:szCs w:val="16"/>
                <w:b w:val="1"/>
                <w:bCs w:val="1"/>
                <w:color w:val="auto"/>
              </w:rPr>
              <w:t>Name</w:t>
            </w:r>
          </w:p>
        </w:tc>
        <w:tc>
          <w:tcPr>
            <w:tcW w:w="2420" w:type="dxa"/>
            <w:vAlign w:val="bottom"/>
            <w:tcBorders>
              <w:bottom w:val="single" w:sz="8" w:color="CB233C"/>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CB233C"/>
            </w:tcBorders>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440" w:type="dxa"/>
            <w:vAlign w:val="bottom"/>
            <w:tcBorders>
              <w:bottom w:val="single" w:sz="8" w:color="CB233C"/>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83"/>
        </w:trPr>
        <w:tc>
          <w:tcPr>
            <w:tcW w:w="372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auto"/>
              </w:rPr>
              <w:t>Jeffrey A. Miller</w:t>
            </w:r>
          </w:p>
        </w:tc>
        <w:tc>
          <w:tcPr>
            <w:tcW w:w="2420" w:type="dxa"/>
            <w:vAlign w:val="bottom"/>
            <w:tcBorders>
              <w:bottom w:val="single" w:sz="8" w:color="A7A9AC"/>
            </w:tcBorders>
          </w:tcPr>
          <w:p>
            <w:pPr>
              <w:jc w:val="right"/>
              <w:ind w:right="319"/>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7A9AC"/>
            </w:tcBorders>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2440" w:type="dxa"/>
            <w:vAlign w:val="bottom"/>
            <w:tcBorders>
              <w:bottom w:val="single" w:sz="8" w:color="A7A9AC"/>
            </w:tcBorders>
          </w:tcPr>
          <w:p>
            <w:pPr>
              <w:jc w:val="right"/>
              <w:ind w:right="359"/>
              <w:spacing w:after="0" w:line="183" w:lineRule="exact"/>
              <w:rPr>
                <w:sz w:val="20"/>
                <w:szCs w:val="20"/>
                <w:color w:val="auto"/>
              </w:rPr>
            </w:pPr>
            <w:r>
              <w:rPr>
                <w:rFonts w:ascii="Arial" w:cs="Arial" w:eastAsia="Arial" w:hAnsi="Arial"/>
                <w:sz w:val="16"/>
                <w:szCs w:val="16"/>
                <w:color w:val="auto"/>
              </w:rPr>
              <w:t>130,407</w:t>
            </w:r>
          </w:p>
        </w:tc>
        <w:tc>
          <w:tcPr>
            <w:tcW w:w="12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2,890,667</w:t>
            </w:r>
          </w:p>
        </w:tc>
      </w:tr>
      <w:tr>
        <w:trPr>
          <w:trHeight w:val="183"/>
        </w:trPr>
        <w:tc>
          <w:tcPr>
            <w:tcW w:w="372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auto"/>
              </w:rPr>
              <w:t>Lance Loeffler</w:t>
            </w:r>
          </w:p>
        </w:tc>
        <w:tc>
          <w:tcPr>
            <w:tcW w:w="2420" w:type="dxa"/>
            <w:vAlign w:val="bottom"/>
            <w:tcBorders>
              <w:bottom w:val="single" w:sz="8" w:color="A7A9AC"/>
            </w:tcBorders>
          </w:tcPr>
          <w:p>
            <w:pPr>
              <w:jc w:val="right"/>
              <w:ind w:right="319"/>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7A9AC"/>
            </w:tcBorders>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2440" w:type="dxa"/>
            <w:vAlign w:val="bottom"/>
            <w:tcBorders>
              <w:bottom w:val="single" w:sz="8" w:color="A7A9AC"/>
            </w:tcBorders>
          </w:tcPr>
          <w:p>
            <w:pPr>
              <w:jc w:val="right"/>
              <w:ind w:right="359"/>
              <w:spacing w:after="0" w:line="183" w:lineRule="exact"/>
              <w:rPr>
                <w:sz w:val="20"/>
                <w:szCs w:val="20"/>
                <w:color w:val="auto"/>
              </w:rPr>
            </w:pPr>
            <w:r>
              <w:rPr>
                <w:rFonts w:ascii="Arial" w:cs="Arial" w:eastAsia="Arial" w:hAnsi="Arial"/>
                <w:sz w:val="16"/>
                <w:szCs w:val="16"/>
                <w:color w:val="auto"/>
              </w:rPr>
              <w:t>34,096</w:t>
            </w:r>
          </w:p>
        </w:tc>
        <w:tc>
          <w:tcPr>
            <w:tcW w:w="12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735,025</w:t>
            </w:r>
          </w:p>
        </w:tc>
      </w:tr>
      <w:tr>
        <w:trPr>
          <w:trHeight w:val="183"/>
        </w:trPr>
        <w:tc>
          <w:tcPr>
            <w:tcW w:w="372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auto"/>
              </w:rPr>
              <w:t>Eric J. Carre</w:t>
            </w:r>
          </w:p>
        </w:tc>
        <w:tc>
          <w:tcPr>
            <w:tcW w:w="2420" w:type="dxa"/>
            <w:vAlign w:val="bottom"/>
            <w:tcBorders>
              <w:bottom w:val="single" w:sz="8" w:color="A7A9AC"/>
            </w:tcBorders>
          </w:tcPr>
          <w:p>
            <w:pPr>
              <w:jc w:val="right"/>
              <w:ind w:right="319"/>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7A9AC"/>
            </w:tcBorders>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2440" w:type="dxa"/>
            <w:vAlign w:val="bottom"/>
            <w:tcBorders>
              <w:bottom w:val="single" w:sz="8" w:color="A7A9AC"/>
            </w:tcBorders>
          </w:tcPr>
          <w:p>
            <w:pPr>
              <w:jc w:val="right"/>
              <w:ind w:right="359"/>
              <w:spacing w:after="0" w:line="183" w:lineRule="exact"/>
              <w:rPr>
                <w:sz w:val="20"/>
                <w:szCs w:val="20"/>
                <w:color w:val="auto"/>
              </w:rPr>
            </w:pPr>
            <w:r>
              <w:rPr>
                <w:rFonts w:ascii="Arial" w:cs="Arial" w:eastAsia="Arial" w:hAnsi="Arial"/>
                <w:sz w:val="16"/>
                <w:szCs w:val="16"/>
                <w:color w:val="auto"/>
              </w:rPr>
              <w:t>79,301</w:t>
            </w:r>
          </w:p>
        </w:tc>
        <w:tc>
          <w:tcPr>
            <w:tcW w:w="12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1,644,189</w:t>
            </w:r>
          </w:p>
        </w:tc>
      </w:tr>
      <w:tr>
        <w:trPr>
          <w:trHeight w:val="183"/>
        </w:trPr>
        <w:tc>
          <w:tcPr>
            <w:tcW w:w="372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auto"/>
              </w:rPr>
              <w:t>Joe D. Rainey</w:t>
            </w:r>
          </w:p>
        </w:tc>
        <w:tc>
          <w:tcPr>
            <w:tcW w:w="2420" w:type="dxa"/>
            <w:vAlign w:val="bottom"/>
            <w:tcBorders>
              <w:bottom w:val="single" w:sz="8" w:color="A7A9AC"/>
            </w:tcBorders>
          </w:tcPr>
          <w:p>
            <w:pPr>
              <w:jc w:val="right"/>
              <w:ind w:right="319"/>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7A9AC"/>
            </w:tcBorders>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2440" w:type="dxa"/>
            <w:vAlign w:val="bottom"/>
            <w:tcBorders>
              <w:bottom w:val="single" w:sz="8" w:color="A7A9AC"/>
            </w:tcBorders>
          </w:tcPr>
          <w:p>
            <w:pPr>
              <w:jc w:val="right"/>
              <w:ind w:right="359"/>
              <w:spacing w:after="0" w:line="183" w:lineRule="exact"/>
              <w:rPr>
                <w:sz w:val="20"/>
                <w:szCs w:val="20"/>
                <w:color w:val="auto"/>
              </w:rPr>
            </w:pPr>
            <w:r>
              <w:rPr>
                <w:rFonts w:ascii="Arial" w:cs="Arial" w:eastAsia="Arial" w:hAnsi="Arial"/>
                <w:sz w:val="16"/>
                <w:szCs w:val="16"/>
                <w:color w:val="auto"/>
              </w:rPr>
              <w:t>47,760</w:t>
            </w:r>
          </w:p>
        </w:tc>
        <w:tc>
          <w:tcPr>
            <w:tcW w:w="124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1,061,080</w:t>
            </w:r>
          </w:p>
        </w:tc>
      </w:tr>
      <w:tr>
        <w:trPr>
          <w:trHeight w:val="183"/>
        </w:trPr>
        <w:tc>
          <w:tcPr>
            <w:tcW w:w="3720" w:type="dxa"/>
            <w:vAlign w:val="bottom"/>
            <w:tcBorders>
              <w:bottom w:val="single" w:sz="8" w:color="CB233C"/>
            </w:tcBorders>
          </w:tcPr>
          <w:p>
            <w:pPr>
              <w:ind w:left="60"/>
              <w:spacing w:after="0" w:line="183" w:lineRule="exact"/>
              <w:rPr>
                <w:sz w:val="20"/>
                <w:szCs w:val="20"/>
                <w:color w:val="auto"/>
              </w:rPr>
            </w:pPr>
            <w:r>
              <w:rPr>
                <w:rFonts w:ascii="Arial" w:cs="Arial" w:eastAsia="Arial" w:hAnsi="Arial"/>
                <w:sz w:val="16"/>
                <w:szCs w:val="16"/>
                <w:b w:val="1"/>
                <w:bCs w:val="1"/>
                <w:color w:val="auto"/>
              </w:rPr>
              <w:t>Mark J. Richard</w:t>
            </w:r>
          </w:p>
        </w:tc>
        <w:tc>
          <w:tcPr>
            <w:tcW w:w="2420" w:type="dxa"/>
            <w:vAlign w:val="bottom"/>
            <w:tcBorders>
              <w:bottom w:val="single" w:sz="8" w:color="CB233C"/>
            </w:tcBorders>
          </w:tcPr>
          <w:p>
            <w:pPr>
              <w:jc w:val="right"/>
              <w:ind w:right="319"/>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CB233C"/>
            </w:tcBorders>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2440" w:type="dxa"/>
            <w:vAlign w:val="bottom"/>
            <w:tcBorders>
              <w:bottom w:val="single" w:sz="8" w:color="CB233C"/>
            </w:tcBorders>
          </w:tcPr>
          <w:p>
            <w:pPr>
              <w:jc w:val="right"/>
              <w:ind w:right="359"/>
              <w:spacing w:after="0" w:line="183" w:lineRule="exact"/>
              <w:rPr>
                <w:sz w:val="20"/>
                <w:szCs w:val="20"/>
                <w:color w:val="auto"/>
              </w:rPr>
            </w:pPr>
            <w:r>
              <w:rPr>
                <w:rFonts w:ascii="Arial" w:cs="Arial" w:eastAsia="Arial" w:hAnsi="Arial"/>
                <w:sz w:val="16"/>
                <w:szCs w:val="16"/>
                <w:color w:val="auto"/>
              </w:rPr>
              <w:t>42,683</w:t>
            </w:r>
          </w:p>
        </w:tc>
        <w:tc>
          <w:tcPr>
            <w:tcW w:w="124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912,576</w:t>
            </w:r>
          </w:p>
        </w:tc>
      </w:tr>
    </w:tbl>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value realized for vested restricted stock awards was determined by multiplying the fair market value of the shares (closing price of our common stock on the NYSE on the vesting date) by the number of shares that vested. Shares vested on various dates throughout the year. The value listed represents the aggregate value of all shares that vested for each NEO in 2021.</w:t>
      </w: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2021 Nonqualified Deferred Compensation</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2021 Nonqualified Deferred Compensation table reflects balances in our nonqualified plans as of January 1, 2021, contributions made by the NEO and us during 2021, earnings (the net of the gains and losses on funds, as applicable), distributions, and the ending balance as of December 31, 2021. The plans are described in Compensation Discussion and Analysis.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Executive</w:t>
            </w: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Registrant</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Aggregate</w:t>
            </w:r>
          </w:p>
        </w:tc>
        <w:tc>
          <w:tcPr>
            <w:tcW w:w="1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Contributions</w:t>
            </w: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Contributions</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Earnings</w:t>
            </w:r>
          </w:p>
        </w:tc>
        <w:tc>
          <w:tcPr>
            <w:tcW w:w="1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01/01/21</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In Last</w:t>
            </w: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In Last</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In Last</w:t>
            </w: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Aggregate</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Last Fiscal</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Balance</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Fiscal Year</w:t>
            </w: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Fiscal Year</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Fiscal Year</w:t>
            </w: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Distributions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Year End</w:t>
            </w:r>
          </w:p>
        </w:tc>
        <w:tc>
          <w:tcPr>
            <w:tcW w:w="0" w:type="dxa"/>
            <w:vAlign w:val="bottom"/>
          </w:tcPr>
          <w:p>
            <w:pPr>
              <w:spacing w:after="0"/>
              <w:rPr>
                <w:sz w:val="1"/>
                <w:szCs w:val="1"/>
                <w:color w:val="auto"/>
              </w:rPr>
            </w:pPr>
          </w:p>
        </w:tc>
      </w:tr>
      <w:tr>
        <w:trPr>
          <w:trHeight w:val="203"/>
        </w:trPr>
        <w:tc>
          <w:tcPr>
            <w:tcW w:w="1920" w:type="dxa"/>
            <w:vAlign w:val="bottom"/>
            <w:tcBorders>
              <w:bottom w:val="single" w:sz="8" w:color="CB233C"/>
            </w:tcBorders>
          </w:tcPr>
          <w:p>
            <w:pPr>
              <w:ind w:left="60"/>
              <w:spacing w:after="0"/>
              <w:rPr>
                <w:sz w:val="20"/>
                <w:szCs w:val="20"/>
                <w:color w:val="auto"/>
              </w:rPr>
            </w:pPr>
            <w:r>
              <w:rPr>
                <w:rFonts w:ascii="Arial" w:cs="Arial" w:eastAsia="Arial" w:hAnsi="Arial"/>
                <w:sz w:val="16"/>
                <w:szCs w:val="16"/>
                <w:b w:val="1"/>
                <w:bCs w:val="1"/>
                <w:color w:val="auto"/>
              </w:rPr>
              <w:t>Name</w:t>
            </w:r>
          </w:p>
        </w:tc>
        <w:tc>
          <w:tcPr>
            <w:tcW w:w="1900" w:type="dxa"/>
            <w:vAlign w:val="bottom"/>
            <w:tcBorders>
              <w:bottom w:val="single" w:sz="8" w:color="CB233C"/>
            </w:tcBorders>
          </w:tcPr>
          <w:p>
            <w:pPr>
              <w:ind w:left="40"/>
              <w:spacing w:after="0"/>
              <w:rPr>
                <w:sz w:val="20"/>
                <w:szCs w:val="20"/>
                <w:color w:val="auto"/>
              </w:rPr>
            </w:pPr>
            <w:r>
              <w:rPr>
                <w:rFonts w:ascii="Arial" w:cs="Arial" w:eastAsia="Arial" w:hAnsi="Arial"/>
                <w:sz w:val="16"/>
                <w:szCs w:val="16"/>
                <w:b w:val="1"/>
                <w:bCs w:val="1"/>
                <w:color w:val="auto"/>
              </w:rPr>
              <w:t>Plan</w:t>
            </w:r>
          </w:p>
        </w:tc>
        <w:tc>
          <w:tcPr>
            <w:tcW w:w="130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CB233C"/>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CB233C"/>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192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Jeffrey A. Miller</w:t>
            </w:r>
          </w:p>
        </w:tc>
        <w:tc>
          <w:tcPr>
            <w:tcW w:w="1900" w:type="dxa"/>
            <w:vAlign w:val="bottom"/>
            <w:tcBorders>
              <w:bottom w:val="single" w:sz="8" w:color="A7A9AC"/>
            </w:tcBorders>
          </w:tcPr>
          <w:p>
            <w:pPr>
              <w:ind w:left="40"/>
              <w:spacing w:after="0" w:line="183" w:lineRule="exact"/>
              <w:rPr>
                <w:sz w:val="20"/>
                <w:szCs w:val="20"/>
                <w:color w:val="auto"/>
              </w:rPr>
            </w:pPr>
            <w:r>
              <w:rPr>
                <w:rFonts w:ascii="Arial" w:cs="Arial" w:eastAsia="Arial" w:hAnsi="Arial"/>
                <w:sz w:val="16"/>
                <w:szCs w:val="16"/>
                <w:color w:val="auto"/>
              </w:rPr>
              <w:t>SERP</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8,003,214</w:t>
            </w:r>
          </w:p>
        </w:tc>
        <w:tc>
          <w:tcPr>
            <w:tcW w:w="12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34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auto"/>
              </w:rPr>
              <w:t>1,034,000</w:t>
            </w:r>
          </w:p>
        </w:tc>
        <w:tc>
          <w:tcPr>
            <w:tcW w:w="11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399,603</w:t>
            </w:r>
          </w:p>
        </w:tc>
        <w:tc>
          <w:tcPr>
            <w:tcW w:w="1300" w:type="dxa"/>
            <w:vAlign w:val="bottom"/>
            <w:tcBorders>
              <w:bottom w:val="single" w:sz="8" w:color="A7A9AC"/>
            </w:tcBorders>
          </w:tcPr>
          <w:p>
            <w:pPr>
              <w:jc w:val="right"/>
              <w:ind w:right="119"/>
              <w:spacing w:after="0" w:line="183" w:lineRule="exact"/>
              <w:rPr>
                <w:sz w:val="20"/>
                <w:szCs w:val="20"/>
                <w:color w:val="auto"/>
              </w:rPr>
            </w:pPr>
            <w:r>
              <w:rPr>
                <w:rFonts w:ascii="Arial" w:cs="Arial" w:eastAsia="Arial" w:hAnsi="Arial"/>
                <w:sz w:val="16"/>
                <w:szCs w:val="16"/>
                <w:color w:val="auto"/>
              </w:rPr>
              <w:t>0</w:t>
            </w:r>
          </w:p>
        </w:tc>
        <w:tc>
          <w:tcPr>
            <w:tcW w:w="11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9,436,817</w:t>
            </w:r>
          </w:p>
        </w:tc>
        <w:tc>
          <w:tcPr>
            <w:tcW w:w="0" w:type="dxa"/>
            <w:vAlign w:val="bottom"/>
          </w:tcPr>
          <w:p>
            <w:pPr>
              <w:spacing w:after="0"/>
              <w:rPr>
                <w:sz w:val="1"/>
                <w:szCs w:val="1"/>
                <w:color w:val="auto"/>
              </w:rPr>
            </w:pPr>
          </w:p>
        </w:tc>
      </w:tr>
      <w:tr>
        <w:trPr>
          <w:trHeight w:val="183"/>
        </w:trPr>
        <w:tc>
          <w:tcPr>
            <w:tcW w:w="1920" w:type="dxa"/>
            <w:vAlign w:val="bottom"/>
          </w:tcPr>
          <w:p>
            <w:pPr>
              <w:spacing w:after="0"/>
              <w:rPr>
                <w:sz w:val="15"/>
                <w:szCs w:val="15"/>
                <w:color w:val="auto"/>
              </w:rPr>
            </w:pPr>
          </w:p>
        </w:tc>
        <w:tc>
          <w:tcPr>
            <w:tcW w:w="1900" w:type="dxa"/>
            <w:vAlign w:val="bottom"/>
            <w:tcBorders>
              <w:bottom w:val="single" w:sz="8" w:color="CB233C"/>
            </w:tcBorders>
          </w:tcPr>
          <w:p>
            <w:pPr>
              <w:ind w:left="40"/>
              <w:spacing w:after="0" w:line="183" w:lineRule="exact"/>
              <w:rPr>
                <w:sz w:val="20"/>
                <w:szCs w:val="20"/>
                <w:color w:val="auto"/>
              </w:rPr>
            </w:pPr>
            <w:r>
              <w:rPr>
                <w:rFonts w:ascii="Arial" w:cs="Arial" w:eastAsia="Arial" w:hAnsi="Arial"/>
                <w:sz w:val="16"/>
                <w:szCs w:val="16"/>
                <w:color w:val="auto"/>
              </w:rPr>
              <w:t>Benefit Restoration</w:t>
            </w:r>
          </w:p>
        </w:tc>
        <w:tc>
          <w:tcPr>
            <w:tcW w:w="130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678,128</w:t>
            </w:r>
          </w:p>
        </w:tc>
        <w:tc>
          <w:tcPr>
            <w:tcW w:w="126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340" w:type="dxa"/>
            <w:vAlign w:val="bottom"/>
            <w:tcBorders>
              <w:bottom w:val="single" w:sz="8" w:color="CB233C"/>
            </w:tcBorders>
          </w:tcPr>
          <w:p>
            <w:pPr>
              <w:jc w:val="right"/>
              <w:ind w:right="79"/>
              <w:spacing w:after="0" w:line="183" w:lineRule="exact"/>
              <w:rPr>
                <w:sz w:val="20"/>
                <w:szCs w:val="20"/>
                <w:color w:val="auto"/>
              </w:rPr>
            </w:pPr>
            <w:r>
              <w:rPr>
                <w:rFonts w:ascii="Arial" w:cs="Arial" w:eastAsia="Arial" w:hAnsi="Arial"/>
                <w:sz w:val="16"/>
                <w:szCs w:val="16"/>
                <w:color w:val="auto"/>
              </w:rPr>
              <w:t>84,700</w:t>
            </w:r>
          </w:p>
        </w:tc>
        <w:tc>
          <w:tcPr>
            <w:tcW w:w="11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40,658</w:t>
            </w:r>
          </w:p>
        </w:tc>
        <w:tc>
          <w:tcPr>
            <w:tcW w:w="1300" w:type="dxa"/>
            <w:vAlign w:val="bottom"/>
            <w:tcBorders>
              <w:bottom w:val="single" w:sz="8" w:color="CB233C"/>
            </w:tcBorders>
          </w:tcPr>
          <w:p>
            <w:pPr>
              <w:jc w:val="right"/>
              <w:ind w:right="119"/>
              <w:spacing w:after="0" w:line="183" w:lineRule="exact"/>
              <w:rPr>
                <w:sz w:val="20"/>
                <w:szCs w:val="20"/>
                <w:color w:val="auto"/>
              </w:rPr>
            </w:pPr>
            <w:r>
              <w:rPr>
                <w:rFonts w:ascii="Arial" w:cs="Arial" w:eastAsia="Arial" w:hAnsi="Arial"/>
                <w:sz w:val="16"/>
                <w:szCs w:val="16"/>
                <w:color w:val="auto"/>
              </w:rPr>
              <w:t>0</w:t>
            </w:r>
          </w:p>
        </w:tc>
        <w:tc>
          <w:tcPr>
            <w:tcW w:w="110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803,486</w:t>
            </w:r>
          </w:p>
        </w:tc>
        <w:tc>
          <w:tcPr>
            <w:tcW w:w="0" w:type="dxa"/>
            <w:vAlign w:val="bottom"/>
          </w:tcPr>
          <w:p>
            <w:pPr>
              <w:spacing w:after="0"/>
              <w:rPr>
                <w:sz w:val="1"/>
                <w:szCs w:val="1"/>
                <w:color w:val="auto"/>
              </w:rPr>
            </w:pPr>
          </w:p>
        </w:tc>
      </w:tr>
      <w:tr>
        <w:trPr>
          <w:trHeight w:val="183"/>
        </w:trPr>
        <w:tc>
          <w:tcPr>
            <w:tcW w:w="19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Lance Loeffler</w:t>
            </w:r>
          </w:p>
        </w:tc>
        <w:tc>
          <w:tcPr>
            <w:tcW w:w="1900" w:type="dxa"/>
            <w:vAlign w:val="bottom"/>
            <w:tcBorders>
              <w:bottom w:val="single" w:sz="8" w:color="CB233C"/>
            </w:tcBorders>
          </w:tcPr>
          <w:p>
            <w:pPr>
              <w:ind w:left="40"/>
              <w:spacing w:after="0" w:line="183" w:lineRule="exact"/>
              <w:rPr>
                <w:sz w:val="20"/>
                <w:szCs w:val="20"/>
                <w:color w:val="auto"/>
              </w:rPr>
            </w:pPr>
            <w:r>
              <w:rPr>
                <w:rFonts w:ascii="Arial" w:cs="Arial" w:eastAsia="Arial" w:hAnsi="Arial"/>
                <w:sz w:val="16"/>
                <w:szCs w:val="16"/>
                <w:b w:val="1"/>
                <w:bCs w:val="1"/>
                <w:color w:val="CB233C"/>
              </w:rPr>
              <w:t>TOTAL</w:t>
            </w:r>
          </w:p>
        </w:tc>
        <w:tc>
          <w:tcPr>
            <w:tcW w:w="130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8,681,342</w:t>
            </w:r>
          </w:p>
        </w:tc>
        <w:tc>
          <w:tcPr>
            <w:tcW w:w="126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0</w:t>
            </w:r>
          </w:p>
        </w:tc>
        <w:tc>
          <w:tcPr>
            <w:tcW w:w="1340" w:type="dxa"/>
            <w:vAlign w:val="bottom"/>
            <w:tcBorders>
              <w:bottom w:val="single" w:sz="8" w:color="CB233C"/>
            </w:tcBorders>
          </w:tcPr>
          <w:p>
            <w:pPr>
              <w:jc w:val="right"/>
              <w:ind w:right="79"/>
              <w:spacing w:after="0" w:line="183" w:lineRule="exact"/>
              <w:rPr>
                <w:sz w:val="20"/>
                <w:szCs w:val="20"/>
                <w:color w:val="auto"/>
              </w:rPr>
            </w:pPr>
            <w:r>
              <w:rPr>
                <w:rFonts w:ascii="Arial" w:cs="Arial" w:eastAsia="Arial" w:hAnsi="Arial"/>
                <w:sz w:val="16"/>
                <w:szCs w:val="16"/>
                <w:b w:val="1"/>
                <w:bCs w:val="1"/>
                <w:color w:val="CB233C"/>
              </w:rPr>
              <w:t>1,118,700</w:t>
            </w:r>
          </w:p>
        </w:tc>
        <w:tc>
          <w:tcPr>
            <w:tcW w:w="11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440,261</w:t>
            </w:r>
          </w:p>
        </w:tc>
        <w:tc>
          <w:tcPr>
            <w:tcW w:w="1300" w:type="dxa"/>
            <w:vAlign w:val="bottom"/>
            <w:tcBorders>
              <w:bottom w:val="single" w:sz="8" w:color="CB233C"/>
            </w:tcBorders>
          </w:tcPr>
          <w:p>
            <w:pPr>
              <w:jc w:val="right"/>
              <w:ind w:right="119"/>
              <w:spacing w:after="0" w:line="183" w:lineRule="exact"/>
              <w:rPr>
                <w:sz w:val="20"/>
                <w:szCs w:val="20"/>
                <w:color w:val="auto"/>
              </w:rPr>
            </w:pPr>
            <w:r>
              <w:rPr>
                <w:rFonts w:ascii="Arial" w:cs="Arial" w:eastAsia="Arial" w:hAnsi="Arial"/>
                <w:sz w:val="16"/>
                <w:szCs w:val="16"/>
                <w:b w:val="1"/>
                <w:bCs w:val="1"/>
                <w:color w:val="CB233C"/>
              </w:rPr>
              <w:t>0</w:t>
            </w:r>
          </w:p>
        </w:tc>
        <w:tc>
          <w:tcPr>
            <w:tcW w:w="110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b w:val="1"/>
                <w:bCs w:val="1"/>
                <w:color w:val="CB233C"/>
              </w:rPr>
              <w:t>10,240,303</w:t>
            </w:r>
          </w:p>
        </w:tc>
        <w:tc>
          <w:tcPr>
            <w:tcW w:w="0" w:type="dxa"/>
            <w:vAlign w:val="bottom"/>
          </w:tcPr>
          <w:p>
            <w:pPr>
              <w:spacing w:after="0"/>
              <w:rPr>
                <w:sz w:val="1"/>
                <w:szCs w:val="1"/>
                <w:color w:val="auto"/>
              </w:rPr>
            </w:pPr>
          </w:p>
        </w:tc>
      </w:tr>
      <w:tr>
        <w:trPr>
          <w:trHeight w:val="183"/>
        </w:trPr>
        <w:tc>
          <w:tcPr>
            <w:tcW w:w="1920" w:type="dxa"/>
            <w:vAlign w:val="bottom"/>
            <w:vMerge w:val="continue"/>
          </w:tcPr>
          <w:p>
            <w:pPr>
              <w:spacing w:after="0"/>
              <w:rPr>
                <w:sz w:val="15"/>
                <w:szCs w:val="15"/>
                <w:color w:val="auto"/>
              </w:rPr>
            </w:pPr>
          </w:p>
        </w:tc>
        <w:tc>
          <w:tcPr>
            <w:tcW w:w="1900" w:type="dxa"/>
            <w:vAlign w:val="bottom"/>
            <w:tcBorders>
              <w:bottom w:val="single" w:sz="8" w:color="A7A9AC"/>
            </w:tcBorders>
          </w:tcPr>
          <w:p>
            <w:pPr>
              <w:ind w:left="40"/>
              <w:spacing w:after="0" w:line="183" w:lineRule="exact"/>
              <w:rPr>
                <w:sz w:val="20"/>
                <w:szCs w:val="20"/>
                <w:color w:val="auto"/>
              </w:rPr>
            </w:pPr>
            <w:r>
              <w:rPr>
                <w:rFonts w:ascii="Arial" w:cs="Arial" w:eastAsia="Arial" w:hAnsi="Arial"/>
                <w:sz w:val="16"/>
                <w:szCs w:val="16"/>
                <w:color w:val="auto"/>
              </w:rPr>
              <w:t>SERP</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942,404</w:t>
            </w:r>
          </w:p>
        </w:tc>
        <w:tc>
          <w:tcPr>
            <w:tcW w:w="12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34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auto"/>
              </w:rPr>
              <w:t>378,000</w:t>
            </w:r>
          </w:p>
        </w:tc>
        <w:tc>
          <w:tcPr>
            <w:tcW w:w="11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46,942</w:t>
            </w:r>
          </w:p>
        </w:tc>
        <w:tc>
          <w:tcPr>
            <w:tcW w:w="1300" w:type="dxa"/>
            <w:vAlign w:val="bottom"/>
            <w:tcBorders>
              <w:bottom w:val="single" w:sz="8" w:color="A7A9AC"/>
            </w:tcBorders>
          </w:tcPr>
          <w:p>
            <w:pPr>
              <w:jc w:val="right"/>
              <w:ind w:right="119"/>
              <w:spacing w:after="0" w:line="183" w:lineRule="exact"/>
              <w:rPr>
                <w:sz w:val="20"/>
                <w:szCs w:val="20"/>
                <w:color w:val="auto"/>
              </w:rPr>
            </w:pPr>
            <w:r>
              <w:rPr>
                <w:rFonts w:ascii="Arial" w:cs="Arial" w:eastAsia="Arial" w:hAnsi="Arial"/>
                <w:sz w:val="16"/>
                <w:szCs w:val="16"/>
                <w:color w:val="auto"/>
              </w:rPr>
              <w:t>0</w:t>
            </w:r>
          </w:p>
        </w:tc>
        <w:tc>
          <w:tcPr>
            <w:tcW w:w="11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1,367,346</w:t>
            </w:r>
          </w:p>
        </w:tc>
        <w:tc>
          <w:tcPr>
            <w:tcW w:w="0" w:type="dxa"/>
            <w:vAlign w:val="bottom"/>
          </w:tcPr>
          <w:p>
            <w:pPr>
              <w:spacing w:after="0"/>
              <w:rPr>
                <w:sz w:val="1"/>
                <w:szCs w:val="1"/>
                <w:color w:val="auto"/>
              </w:rPr>
            </w:pPr>
          </w:p>
        </w:tc>
      </w:tr>
      <w:tr>
        <w:trPr>
          <w:trHeight w:val="196"/>
        </w:trPr>
        <w:tc>
          <w:tcPr>
            <w:tcW w:w="1920" w:type="dxa"/>
            <w:vAlign w:val="bottom"/>
          </w:tcPr>
          <w:p>
            <w:pPr>
              <w:spacing w:after="0"/>
              <w:rPr>
                <w:sz w:val="17"/>
                <w:szCs w:val="17"/>
                <w:color w:val="auto"/>
              </w:rPr>
            </w:pPr>
          </w:p>
        </w:tc>
        <w:tc>
          <w:tcPr>
            <w:tcW w:w="1900" w:type="dxa"/>
            <w:vAlign w:val="bottom"/>
            <w:tcBorders>
              <w:bottom w:val="single" w:sz="8" w:color="CB233C"/>
            </w:tcBorders>
          </w:tcPr>
          <w:p>
            <w:pPr>
              <w:ind w:left="40"/>
              <w:spacing w:after="0"/>
              <w:rPr>
                <w:sz w:val="20"/>
                <w:szCs w:val="20"/>
                <w:color w:val="auto"/>
              </w:rPr>
            </w:pPr>
            <w:r>
              <w:rPr>
                <w:rFonts w:ascii="Arial" w:cs="Arial" w:eastAsia="Arial" w:hAnsi="Arial"/>
                <w:sz w:val="16"/>
                <w:szCs w:val="16"/>
                <w:color w:val="auto"/>
              </w:rPr>
              <w:t>Benefit Restoration</w:t>
            </w:r>
          </w:p>
        </w:tc>
        <w:tc>
          <w:tcPr>
            <w:tcW w:w="130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72,656</w:t>
            </w:r>
          </w:p>
        </w:tc>
        <w:tc>
          <w:tcPr>
            <w:tcW w:w="126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0</w:t>
            </w:r>
          </w:p>
        </w:tc>
        <w:tc>
          <w:tcPr>
            <w:tcW w:w="1340" w:type="dxa"/>
            <w:vAlign w:val="bottom"/>
            <w:tcBorders>
              <w:bottom w:val="single" w:sz="8" w:color="CB233C"/>
            </w:tcBorders>
          </w:tcPr>
          <w:p>
            <w:pPr>
              <w:jc w:val="right"/>
              <w:ind w:right="79"/>
              <w:spacing w:after="0"/>
              <w:rPr>
                <w:sz w:val="20"/>
                <w:szCs w:val="20"/>
                <w:color w:val="auto"/>
              </w:rPr>
            </w:pPr>
            <w:r>
              <w:rPr>
                <w:rFonts w:ascii="Arial" w:cs="Arial" w:eastAsia="Arial" w:hAnsi="Arial"/>
                <w:sz w:val="16"/>
                <w:szCs w:val="16"/>
                <w:color w:val="auto"/>
              </w:rPr>
              <w:t>32,900</w:t>
            </w:r>
          </w:p>
        </w:tc>
        <w:tc>
          <w:tcPr>
            <w:tcW w:w="112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4,348</w:t>
            </w:r>
          </w:p>
        </w:tc>
        <w:tc>
          <w:tcPr>
            <w:tcW w:w="1300" w:type="dxa"/>
            <w:vAlign w:val="bottom"/>
            <w:tcBorders>
              <w:bottom w:val="single" w:sz="8" w:color="CB233C"/>
            </w:tcBorders>
          </w:tcPr>
          <w:p>
            <w:pPr>
              <w:jc w:val="right"/>
              <w:ind w:right="119"/>
              <w:spacing w:after="0"/>
              <w:rPr>
                <w:sz w:val="20"/>
                <w:szCs w:val="20"/>
                <w:color w:val="auto"/>
              </w:rPr>
            </w:pPr>
            <w:r>
              <w:rPr>
                <w:rFonts w:ascii="Arial" w:cs="Arial" w:eastAsia="Arial" w:hAnsi="Arial"/>
                <w:sz w:val="16"/>
                <w:szCs w:val="16"/>
                <w:color w:val="auto"/>
              </w:rPr>
              <w:t>0</w:t>
            </w:r>
          </w:p>
        </w:tc>
        <w:tc>
          <w:tcPr>
            <w:tcW w:w="110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109,904</w:t>
            </w:r>
          </w:p>
        </w:tc>
        <w:tc>
          <w:tcPr>
            <w:tcW w:w="0" w:type="dxa"/>
            <w:vAlign w:val="bottom"/>
          </w:tcPr>
          <w:p>
            <w:pPr>
              <w:spacing w:after="0"/>
              <w:rPr>
                <w:sz w:val="1"/>
                <w:szCs w:val="1"/>
                <w:color w:val="auto"/>
              </w:rPr>
            </w:pPr>
          </w:p>
        </w:tc>
      </w:tr>
      <w:tr>
        <w:trPr>
          <w:trHeight w:val="183"/>
        </w:trPr>
        <w:tc>
          <w:tcPr>
            <w:tcW w:w="19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Eric J. Carre</w:t>
            </w:r>
          </w:p>
        </w:tc>
        <w:tc>
          <w:tcPr>
            <w:tcW w:w="1900" w:type="dxa"/>
            <w:vAlign w:val="bottom"/>
            <w:tcBorders>
              <w:bottom w:val="single" w:sz="8" w:color="CB233C"/>
            </w:tcBorders>
          </w:tcPr>
          <w:p>
            <w:pPr>
              <w:ind w:left="40"/>
              <w:spacing w:after="0" w:line="183" w:lineRule="exact"/>
              <w:rPr>
                <w:sz w:val="20"/>
                <w:szCs w:val="20"/>
                <w:color w:val="auto"/>
              </w:rPr>
            </w:pPr>
            <w:r>
              <w:rPr>
                <w:rFonts w:ascii="Arial" w:cs="Arial" w:eastAsia="Arial" w:hAnsi="Arial"/>
                <w:sz w:val="16"/>
                <w:szCs w:val="16"/>
                <w:b w:val="1"/>
                <w:bCs w:val="1"/>
                <w:color w:val="CB233C"/>
              </w:rPr>
              <w:t>TOTAL</w:t>
            </w:r>
          </w:p>
        </w:tc>
        <w:tc>
          <w:tcPr>
            <w:tcW w:w="130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1,015,060</w:t>
            </w:r>
          </w:p>
        </w:tc>
        <w:tc>
          <w:tcPr>
            <w:tcW w:w="126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0</w:t>
            </w:r>
          </w:p>
        </w:tc>
        <w:tc>
          <w:tcPr>
            <w:tcW w:w="1340" w:type="dxa"/>
            <w:vAlign w:val="bottom"/>
            <w:tcBorders>
              <w:bottom w:val="single" w:sz="8" w:color="CB233C"/>
            </w:tcBorders>
          </w:tcPr>
          <w:p>
            <w:pPr>
              <w:jc w:val="right"/>
              <w:ind w:right="79"/>
              <w:spacing w:after="0" w:line="183" w:lineRule="exact"/>
              <w:rPr>
                <w:sz w:val="20"/>
                <w:szCs w:val="20"/>
                <w:color w:val="auto"/>
              </w:rPr>
            </w:pPr>
            <w:r>
              <w:rPr>
                <w:rFonts w:ascii="Arial" w:cs="Arial" w:eastAsia="Arial" w:hAnsi="Arial"/>
                <w:sz w:val="16"/>
                <w:szCs w:val="16"/>
                <w:b w:val="1"/>
                <w:bCs w:val="1"/>
                <w:color w:val="CB233C"/>
              </w:rPr>
              <w:t>410,900</w:t>
            </w:r>
          </w:p>
        </w:tc>
        <w:tc>
          <w:tcPr>
            <w:tcW w:w="11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51,290</w:t>
            </w:r>
          </w:p>
        </w:tc>
        <w:tc>
          <w:tcPr>
            <w:tcW w:w="1300" w:type="dxa"/>
            <w:vAlign w:val="bottom"/>
            <w:tcBorders>
              <w:bottom w:val="single" w:sz="8" w:color="CB233C"/>
            </w:tcBorders>
          </w:tcPr>
          <w:p>
            <w:pPr>
              <w:jc w:val="right"/>
              <w:ind w:right="119"/>
              <w:spacing w:after="0" w:line="183" w:lineRule="exact"/>
              <w:rPr>
                <w:sz w:val="20"/>
                <w:szCs w:val="20"/>
                <w:color w:val="auto"/>
              </w:rPr>
            </w:pPr>
            <w:r>
              <w:rPr>
                <w:rFonts w:ascii="Arial" w:cs="Arial" w:eastAsia="Arial" w:hAnsi="Arial"/>
                <w:sz w:val="16"/>
                <w:szCs w:val="16"/>
                <w:b w:val="1"/>
                <w:bCs w:val="1"/>
                <w:color w:val="CB233C"/>
              </w:rPr>
              <w:t>0</w:t>
            </w:r>
          </w:p>
        </w:tc>
        <w:tc>
          <w:tcPr>
            <w:tcW w:w="110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b w:val="1"/>
                <w:bCs w:val="1"/>
                <w:color w:val="CB233C"/>
              </w:rPr>
              <w:t>1,477,250</w:t>
            </w:r>
          </w:p>
        </w:tc>
        <w:tc>
          <w:tcPr>
            <w:tcW w:w="0" w:type="dxa"/>
            <w:vAlign w:val="bottom"/>
          </w:tcPr>
          <w:p>
            <w:pPr>
              <w:spacing w:after="0"/>
              <w:rPr>
                <w:sz w:val="1"/>
                <w:szCs w:val="1"/>
                <w:color w:val="auto"/>
              </w:rPr>
            </w:pPr>
          </w:p>
        </w:tc>
      </w:tr>
      <w:tr>
        <w:trPr>
          <w:trHeight w:val="183"/>
        </w:trPr>
        <w:tc>
          <w:tcPr>
            <w:tcW w:w="1920" w:type="dxa"/>
            <w:vAlign w:val="bottom"/>
            <w:vMerge w:val="continue"/>
          </w:tcPr>
          <w:p>
            <w:pPr>
              <w:spacing w:after="0"/>
              <w:rPr>
                <w:sz w:val="15"/>
                <w:szCs w:val="15"/>
                <w:color w:val="auto"/>
              </w:rPr>
            </w:pPr>
          </w:p>
        </w:tc>
        <w:tc>
          <w:tcPr>
            <w:tcW w:w="1900" w:type="dxa"/>
            <w:vAlign w:val="bottom"/>
            <w:tcBorders>
              <w:bottom w:val="single" w:sz="8" w:color="A7A9AC"/>
            </w:tcBorders>
          </w:tcPr>
          <w:p>
            <w:pPr>
              <w:ind w:left="40"/>
              <w:spacing w:after="0" w:line="183" w:lineRule="exact"/>
              <w:rPr>
                <w:sz w:val="20"/>
                <w:szCs w:val="20"/>
                <w:color w:val="auto"/>
              </w:rPr>
            </w:pPr>
            <w:r>
              <w:rPr>
                <w:rFonts w:ascii="Arial" w:cs="Arial" w:eastAsia="Arial" w:hAnsi="Arial"/>
                <w:sz w:val="16"/>
                <w:szCs w:val="16"/>
                <w:color w:val="auto"/>
              </w:rPr>
              <w:t>SERP</w:t>
            </w:r>
          </w:p>
        </w:tc>
        <w:tc>
          <w:tcPr>
            <w:tcW w:w="13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2,924,086</w:t>
            </w:r>
          </w:p>
        </w:tc>
        <w:tc>
          <w:tcPr>
            <w:tcW w:w="12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34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auto"/>
              </w:rPr>
              <w:t>529,000</w:t>
            </w:r>
          </w:p>
        </w:tc>
        <w:tc>
          <w:tcPr>
            <w:tcW w:w="11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145,936</w:t>
            </w:r>
          </w:p>
        </w:tc>
        <w:tc>
          <w:tcPr>
            <w:tcW w:w="1300" w:type="dxa"/>
            <w:vAlign w:val="bottom"/>
            <w:tcBorders>
              <w:bottom w:val="single" w:sz="8" w:color="A7A9AC"/>
            </w:tcBorders>
          </w:tcPr>
          <w:p>
            <w:pPr>
              <w:jc w:val="right"/>
              <w:ind w:right="119"/>
              <w:spacing w:after="0" w:line="183" w:lineRule="exact"/>
              <w:rPr>
                <w:sz w:val="20"/>
                <w:szCs w:val="20"/>
                <w:color w:val="auto"/>
              </w:rPr>
            </w:pPr>
            <w:r>
              <w:rPr>
                <w:rFonts w:ascii="Arial" w:cs="Arial" w:eastAsia="Arial" w:hAnsi="Arial"/>
                <w:sz w:val="16"/>
                <w:szCs w:val="16"/>
                <w:color w:val="auto"/>
              </w:rPr>
              <w:t>0</w:t>
            </w:r>
          </w:p>
        </w:tc>
        <w:tc>
          <w:tcPr>
            <w:tcW w:w="11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3,599,022</w:t>
            </w:r>
          </w:p>
        </w:tc>
        <w:tc>
          <w:tcPr>
            <w:tcW w:w="0" w:type="dxa"/>
            <w:vAlign w:val="bottom"/>
          </w:tcPr>
          <w:p>
            <w:pPr>
              <w:spacing w:after="0"/>
              <w:rPr>
                <w:sz w:val="1"/>
                <w:szCs w:val="1"/>
                <w:color w:val="auto"/>
              </w:rPr>
            </w:pPr>
          </w:p>
        </w:tc>
      </w:tr>
      <w:tr>
        <w:trPr>
          <w:trHeight w:val="196"/>
        </w:trPr>
        <w:tc>
          <w:tcPr>
            <w:tcW w:w="1920" w:type="dxa"/>
            <w:vAlign w:val="bottom"/>
          </w:tcPr>
          <w:p>
            <w:pPr>
              <w:spacing w:after="0"/>
              <w:rPr>
                <w:sz w:val="17"/>
                <w:szCs w:val="17"/>
                <w:color w:val="auto"/>
              </w:rPr>
            </w:pPr>
          </w:p>
        </w:tc>
        <w:tc>
          <w:tcPr>
            <w:tcW w:w="1900" w:type="dxa"/>
            <w:vAlign w:val="bottom"/>
            <w:tcBorders>
              <w:bottom w:val="single" w:sz="8" w:color="CB233C"/>
            </w:tcBorders>
          </w:tcPr>
          <w:p>
            <w:pPr>
              <w:ind w:left="40"/>
              <w:spacing w:after="0"/>
              <w:rPr>
                <w:sz w:val="20"/>
                <w:szCs w:val="20"/>
                <w:color w:val="auto"/>
              </w:rPr>
            </w:pPr>
            <w:r>
              <w:rPr>
                <w:rFonts w:ascii="Arial" w:cs="Arial" w:eastAsia="Arial" w:hAnsi="Arial"/>
                <w:sz w:val="16"/>
                <w:szCs w:val="16"/>
                <w:color w:val="auto"/>
              </w:rPr>
              <w:t>Benefit Restoration</w:t>
            </w:r>
          </w:p>
        </w:tc>
        <w:tc>
          <w:tcPr>
            <w:tcW w:w="130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311,150</w:t>
            </w:r>
          </w:p>
        </w:tc>
        <w:tc>
          <w:tcPr>
            <w:tcW w:w="126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0</w:t>
            </w:r>
          </w:p>
        </w:tc>
        <w:tc>
          <w:tcPr>
            <w:tcW w:w="1340" w:type="dxa"/>
            <w:vAlign w:val="bottom"/>
            <w:tcBorders>
              <w:bottom w:val="single" w:sz="8" w:color="CB233C"/>
            </w:tcBorders>
          </w:tcPr>
          <w:p>
            <w:pPr>
              <w:jc w:val="right"/>
              <w:ind w:right="79"/>
              <w:spacing w:after="0"/>
              <w:rPr>
                <w:sz w:val="20"/>
                <w:szCs w:val="20"/>
                <w:color w:val="auto"/>
              </w:rPr>
            </w:pPr>
            <w:r>
              <w:rPr>
                <w:rFonts w:ascii="Arial" w:cs="Arial" w:eastAsia="Arial" w:hAnsi="Arial"/>
                <w:sz w:val="16"/>
                <w:szCs w:val="16"/>
                <w:color w:val="auto"/>
              </w:rPr>
              <w:t>35,700</w:t>
            </w:r>
          </w:p>
        </w:tc>
        <w:tc>
          <w:tcPr>
            <w:tcW w:w="112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18,655</w:t>
            </w:r>
          </w:p>
        </w:tc>
        <w:tc>
          <w:tcPr>
            <w:tcW w:w="1300" w:type="dxa"/>
            <w:vAlign w:val="bottom"/>
            <w:tcBorders>
              <w:bottom w:val="single" w:sz="8" w:color="CB233C"/>
            </w:tcBorders>
          </w:tcPr>
          <w:p>
            <w:pPr>
              <w:jc w:val="right"/>
              <w:ind w:right="119"/>
              <w:spacing w:after="0"/>
              <w:rPr>
                <w:sz w:val="20"/>
                <w:szCs w:val="20"/>
                <w:color w:val="auto"/>
              </w:rPr>
            </w:pPr>
            <w:r>
              <w:rPr>
                <w:rFonts w:ascii="Arial" w:cs="Arial" w:eastAsia="Arial" w:hAnsi="Arial"/>
                <w:sz w:val="16"/>
                <w:szCs w:val="16"/>
                <w:color w:val="auto"/>
              </w:rPr>
              <w:t>0</w:t>
            </w:r>
          </w:p>
        </w:tc>
        <w:tc>
          <w:tcPr>
            <w:tcW w:w="110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365,505</w:t>
            </w:r>
          </w:p>
        </w:tc>
        <w:tc>
          <w:tcPr>
            <w:tcW w:w="0" w:type="dxa"/>
            <w:vAlign w:val="bottom"/>
          </w:tcPr>
          <w:p>
            <w:pPr>
              <w:spacing w:after="0"/>
              <w:rPr>
                <w:sz w:val="1"/>
                <w:szCs w:val="1"/>
                <w:color w:val="auto"/>
              </w:rPr>
            </w:pPr>
          </w:p>
        </w:tc>
      </w:tr>
      <w:tr>
        <w:trPr>
          <w:trHeight w:val="183"/>
        </w:trPr>
        <w:tc>
          <w:tcPr>
            <w:tcW w:w="1920" w:type="dxa"/>
            <w:vAlign w:val="bottom"/>
          </w:tcPr>
          <w:p>
            <w:pPr>
              <w:spacing w:after="0"/>
              <w:rPr>
                <w:sz w:val="15"/>
                <w:szCs w:val="15"/>
                <w:color w:val="auto"/>
              </w:rPr>
            </w:pPr>
          </w:p>
        </w:tc>
        <w:tc>
          <w:tcPr>
            <w:tcW w:w="1900" w:type="dxa"/>
            <w:vAlign w:val="bottom"/>
            <w:tcBorders>
              <w:bottom w:val="single" w:sz="8" w:color="CB233C"/>
            </w:tcBorders>
          </w:tcPr>
          <w:p>
            <w:pPr>
              <w:ind w:left="40"/>
              <w:spacing w:after="0" w:line="183" w:lineRule="exact"/>
              <w:rPr>
                <w:sz w:val="20"/>
                <w:szCs w:val="20"/>
                <w:color w:val="auto"/>
              </w:rPr>
            </w:pPr>
            <w:r>
              <w:rPr>
                <w:rFonts w:ascii="Arial" w:cs="Arial" w:eastAsia="Arial" w:hAnsi="Arial"/>
                <w:sz w:val="16"/>
                <w:szCs w:val="16"/>
                <w:b w:val="1"/>
                <w:bCs w:val="1"/>
                <w:color w:val="CB233C"/>
              </w:rPr>
              <w:t>TOTAL</w:t>
            </w:r>
          </w:p>
        </w:tc>
        <w:tc>
          <w:tcPr>
            <w:tcW w:w="130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3,235,236</w:t>
            </w:r>
          </w:p>
        </w:tc>
        <w:tc>
          <w:tcPr>
            <w:tcW w:w="126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0</w:t>
            </w:r>
          </w:p>
        </w:tc>
        <w:tc>
          <w:tcPr>
            <w:tcW w:w="1340" w:type="dxa"/>
            <w:vAlign w:val="bottom"/>
            <w:tcBorders>
              <w:bottom w:val="single" w:sz="8" w:color="CB233C"/>
            </w:tcBorders>
          </w:tcPr>
          <w:p>
            <w:pPr>
              <w:jc w:val="right"/>
              <w:ind w:right="79"/>
              <w:spacing w:after="0" w:line="183" w:lineRule="exact"/>
              <w:rPr>
                <w:sz w:val="20"/>
                <w:szCs w:val="20"/>
                <w:color w:val="auto"/>
              </w:rPr>
            </w:pPr>
            <w:r>
              <w:rPr>
                <w:rFonts w:ascii="Arial" w:cs="Arial" w:eastAsia="Arial" w:hAnsi="Arial"/>
                <w:sz w:val="16"/>
                <w:szCs w:val="16"/>
                <w:b w:val="1"/>
                <w:bCs w:val="1"/>
                <w:color w:val="CB233C"/>
              </w:rPr>
              <w:t>564,700</w:t>
            </w:r>
          </w:p>
        </w:tc>
        <w:tc>
          <w:tcPr>
            <w:tcW w:w="11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164,591</w:t>
            </w:r>
          </w:p>
        </w:tc>
        <w:tc>
          <w:tcPr>
            <w:tcW w:w="1300" w:type="dxa"/>
            <w:vAlign w:val="bottom"/>
            <w:tcBorders>
              <w:bottom w:val="single" w:sz="8" w:color="CB233C"/>
            </w:tcBorders>
          </w:tcPr>
          <w:p>
            <w:pPr>
              <w:jc w:val="right"/>
              <w:ind w:right="119"/>
              <w:spacing w:after="0" w:line="183" w:lineRule="exact"/>
              <w:rPr>
                <w:sz w:val="20"/>
                <w:szCs w:val="20"/>
                <w:color w:val="auto"/>
              </w:rPr>
            </w:pPr>
            <w:r>
              <w:rPr>
                <w:rFonts w:ascii="Arial" w:cs="Arial" w:eastAsia="Arial" w:hAnsi="Arial"/>
                <w:sz w:val="16"/>
                <w:szCs w:val="16"/>
                <w:b w:val="1"/>
                <w:bCs w:val="1"/>
                <w:color w:val="CB233C"/>
              </w:rPr>
              <w:t>0</w:t>
            </w:r>
          </w:p>
        </w:tc>
        <w:tc>
          <w:tcPr>
            <w:tcW w:w="110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b w:val="1"/>
                <w:bCs w:val="1"/>
                <w:color w:val="CB233C"/>
              </w:rPr>
              <w:t>3,964,527</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886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1880" w:type="dxa"/>
            <w:vAlign w:val="bottom"/>
            <w:gridSpan w:val="2"/>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Back to Contents</w:t>
              </w:r>
            </w:hyperlink>
          </w:p>
        </w:tc>
        <w:tc>
          <w:tcPr>
            <w:tcW w:w="1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120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Executive</w:t>
            </w: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Registrant</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Aggregate</w:t>
            </w:r>
          </w:p>
        </w:tc>
        <w:tc>
          <w:tcPr>
            <w:tcW w:w="1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Contributions</w:t>
            </w: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Contributions</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Earnings</w:t>
            </w:r>
          </w:p>
        </w:tc>
        <w:tc>
          <w:tcPr>
            <w:tcW w:w="1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01/01/21</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In Last</w:t>
            </w: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In Last</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In Last</w:t>
            </w: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Aggregate</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Last Fiscal</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Balance</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Fiscal Year</w:t>
            </w: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Fiscal Year</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Fiscal Year</w:t>
            </w: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Distributions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Year End</w:t>
            </w:r>
          </w:p>
        </w:tc>
        <w:tc>
          <w:tcPr>
            <w:tcW w:w="0" w:type="dxa"/>
            <w:vAlign w:val="bottom"/>
          </w:tcPr>
          <w:p>
            <w:pPr>
              <w:spacing w:after="0"/>
              <w:rPr>
                <w:sz w:val="1"/>
                <w:szCs w:val="1"/>
                <w:color w:val="auto"/>
              </w:rPr>
            </w:pPr>
          </w:p>
        </w:tc>
      </w:tr>
      <w:tr>
        <w:trPr>
          <w:trHeight w:val="203"/>
        </w:trPr>
        <w:tc>
          <w:tcPr>
            <w:tcW w:w="1880" w:type="dxa"/>
            <w:vAlign w:val="bottom"/>
            <w:tcBorders>
              <w:bottom w:val="single" w:sz="8" w:color="CB233C"/>
            </w:tcBorders>
            <w:gridSpan w:val="2"/>
          </w:tcPr>
          <w:p>
            <w:pPr>
              <w:ind w:left="60"/>
              <w:spacing w:after="0"/>
              <w:rPr>
                <w:sz w:val="20"/>
                <w:szCs w:val="20"/>
                <w:color w:val="auto"/>
              </w:rPr>
            </w:pPr>
            <w:r>
              <w:rPr>
                <w:rFonts w:ascii="Arial" w:cs="Arial" w:eastAsia="Arial" w:hAnsi="Arial"/>
                <w:sz w:val="16"/>
                <w:szCs w:val="16"/>
                <w:b w:val="1"/>
                <w:bCs w:val="1"/>
                <w:color w:val="auto"/>
              </w:rPr>
              <w:t>Name</w:t>
            </w:r>
          </w:p>
        </w:tc>
        <w:tc>
          <w:tcPr>
            <w:tcW w:w="1880" w:type="dxa"/>
            <w:vAlign w:val="bottom"/>
            <w:tcBorders>
              <w:bottom w:val="single" w:sz="8" w:color="CB233C"/>
            </w:tcBorders>
          </w:tcPr>
          <w:p>
            <w:pPr>
              <w:ind w:left="60"/>
              <w:spacing w:after="0"/>
              <w:rPr>
                <w:sz w:val="20"/>
                <w:szCs w:val="20"/>
                <w:color w:val="auto"/>
              </w:rPr>
            </w:pPr>
            <w:r>
              <w:rPr>
                <w:rFonts w:ascii="Arial" w:cs="Arial" w:eastAsia="Arial" w:hAnsi="Arial"/>
                <w:sz w:val="16"/>
                <w:szCs w:val="16"/>
                <w:b w:val="1"/>
                <w:bCs w:val="1"/>
                <w:color w:val="auto"/>
              </w:rPr>
              <w:t>Plan</w:t>
            </w:r>
          </w:p>
        </w:tc>
        <w:tc>
          <w:tcPr>
            <w:tcW w:w="136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CB233C"/>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CB233C"/>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1880" w:type="dxa"/>
            <w:vAlign w:val="bottom"/>
            <w:gridSpan w:val="2"/>
          </w:tcPr>
          <w:p>
            <w:pPr>
              <w:ind w:left="60"/>
              <w:spacing w:after="0" w:line="183" w:lineRule="exact"/>
              <w:rPr>
                <w:sz w:val="20"/>
                <w:szCs w:val="20"/>
                <w:color w:val="auto"/>
              </w:rPr>
            </w:pPr>
            <w:r>
              <w:rPr>
                <w:rFonts w:ascii="Arial" w:cs="Arial" w:eastAsia="Arial" w:hAnsi="Arial"/>
                <w:sz w:val="16"/>
                <w:szCs w:val="16"/>
                <w:b w:val="1"/>
                <w:bCs w:val="1"/>
                <w:color w:val="auto"/>
              </w:rPr>
              <w:t>Joe D. Rainey</w:t>
            </w:r>
          </w:p>
        </w:tc>
        <w:tc>
          <w:tcPr>
            <w:tcW w:w="188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color w:val="auto"/>
              </w:rPr>
              <w:t>SERP</w:t>
            </w:r>
          </w:p>
        </w:tc>
        <w:tc>
          <w:tcPr>
            <w:tcW w:w="13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7,938,877</w:t>
            </w:r>
          </w:p>
        </w:tc>
        <w:tc>
          <w:tcPr>
            <w:tcW w:w="12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34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auto"/>
              </w:rPr>
              <w:t>0</w:t>
            </w:r>
          </w:p>
        </w:tc>
        <w:tc>
          <w:tcPr>
            <w:tcW w:w="11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396,492</w:t>
            </w:r>
          </w:p>
        </w:tc>
        <w:tc>
          <w:tcPr>
            <w:tcW w:w="1300" w:type="dxa"/>
            <w:vAlign w:val="bottom"/>
            <w:tcBorders>
              <w:bottom w:val="single" w:sz="8" w:color="A7A9AC"/>
            </w:tcBorders>
          </w:tcPr>
          <w:p>
            <w:pPr>
              <w:jc w:val="right"/>
              <w:ind w:right="119"/>
              <w:spacing w:after="0" w:line="183" w:lineRule="exact"/>
              <w:rPr>
                <w:sz w:val="20"/>
                <w:szCs w:val="20"/>
                <w:color w:val="auto"/>
              </w:rPr>
            </w:pPr>
            <w:r>
              <w:rPr>
                <w:rFonts w:ascii="Arial" w:cs="Arial" w:eastAsia="Arial" w:hAnsi="Arial"/>
                <w:sz w:val="16"/>
                <w:szCs w:val="16"/>
                <w:color w:val="auto"/>
              </w:rPr>
              <w:t>0</w:t>
            </w:r>
          </w:p>
        </w:tc>
        <w:tc>
          <w:tcPr>
            <w:tcW w:w="11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8,335,369</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8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color w:val="auto"/>
              </w:rPr>
              <w:t>Benefit Restoration</w:t>
            </w:r>
          </w:p>
        </w:tc>
        <w:tc>
          <w:tcPr>
            <w:tcW w:w="13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601,548</w:t>
            </w:r>
          </w:p>
        </w:tc>
        <w:tc>
          <w:tcPr>
            <w:tcW w:w="12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34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auto"/>
              </w:rPr>
              <w:t>43,400</w:t>
            </w:r>
          </w:p>
        </w:tc>
        <w:tc>
          <w:tcPr>
            <w:tcW w:w="11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36,075</w:t>
            </w:r>
          </w:p>
        </w:tc>
        <w:tc>
          <w:tcPr>
            <w:tcW w:w="1300" w:type="dxa"/>
            <w:vAlign w:val="bottom"/>
            <w:tcBorders>
              <w:bottom w:val="single" w:sz="8" w:color="A7A9AC"/>
            </w:tcBorders>
          </w:tcPr>
          <w:p>
            <w:pPr>
              <w:jc w:val="right"/>
              <w:ind w:right="119"/>
              <w:spacing w:after="0" w:line="183" w:lineRule="exact"/>
              <w:rPr>
                <w:sz w:val="20"/>
                <w:szCs w:val="20"/>
                <w:color w:val="auto"/>
              </w:rPr>
            </w:pPr>
            <w:r>
              <w:rPr>
                <w:rFonts w:ascii="Arial" w:cs="Arial" w:eastAsia="Arial" w:hAnsi="Arial"/>
                <w:sz w:val="16"/>
                <w:szCs w:val="16"/>
                <w:color w:val="auto"/>
              </w:rPr>
              <w:t>0</w:t>
            </w:r>
          </w:p>
        </w:tc>
        <w:tc>
          <w:tcPr>
            <w:tcW w:w="11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681,023</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80" w:type="dxa"/>
            <w:vAlign w:val="bottom"/>
            <w:tcBorders>
              <w:bottom w:val="single" w:sz="8" w:color="CB233C"/>
            </w:tcBorders>
          </w:tcPr>
          <w:p>
            <w:pPr>
              <w:ind w:left="60"/>
              <w:spacing w:after="0" w:line="183" w:lineRule="exact"/>
              <w:rPr>
                <w:sz w:val="20"/>
                <w:szCs w:val="20"/>
                <w:color w:val="auto"/>
              </w:rPr>
            </w:pPr>
            <w:r>
              <w:rPr>
                <w:rFonts w:ascii="Arial" w:cs="Arial" w:eastAsia="Arial" w:hAnsi="Arial"/>
                <w:sz w:val="16"/>
                <w:szCs w:val="16"/>
                <w:color w:val="auto"/>
              </w:rPr>
              <w:t>Elective Deferral</w:t>
            </w:r>
          </w:p>
        </w:tc>
        <w:tc>
          <w:tcPr>
            <w:tcW w:w="136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4,512,346</w:t>
            </w:r>
          </w:p>
        </w:tc>
        <w:tc>
          <w:tcPr>
            <w:tcW w:w="126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340" w:type="dxa"/>
            <w:vAlign w:val="bottom"/>
            <w:tcBorders>
              <w:bottom w:val="single" w:sz="8" w:color="CB233C"/>
            </w:tcBorders>
          </w:tcPr>
          <w:p>
            <w:pPr>
              <w:jc w:val="right"/>
              <w:ind w:right="79"/>
              <w:spacing w:after="0" w:line="183" w:lineRule="exact"/>
              <w:rPr>
                <w:sz w:val="20"/>
                <w:szCs w:val="20"/>
                <w:color w:val="auto"/>
              </w:rPr>
            </w:pPr>
            <w:r>
              <w:rPr>
                <w:rFonts w:ascii="Arial" w:cs="Arial" w:eastAsia="Arial" w:hAnsi="Arial"/>
                <w:sz w:val="16"/>
                <w:szCs w:val="16"/>
                <w:color w:val="auto"/>
              </w:rPr>
              <w:t>0</w:t>
            </w:r>
          </w:p>
        </w:tc>
        <w:tc>
          <w:tcPr>
            <w:tcW w:w="11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406,678</w:t>
            </w:r>
          </w:p>
        </w:tc>
        <w:tc>
          <w:tcPr>
            <w:tcW w:w="1300" w:type="dxa"/>
            <w:vAlign w:val="bottom"/>
            <w:tcBorders>
              <w:bottom w:val="single" w:sz="8" w:color="CB233C"/>
            </w:tcBorders>
          </w:tcPr>
          <w:p>
            <w:pPr>
              <w:jc w:val="right"/>
              <w:ind w:right="119"/>
              <w:spacing w:after="0" w:line="183" w:lineRule="exact"/>
              <w:rPr>
                <w:sz w:val="20"/>
                <w:szCs w:val="20"/>
                <w:color w:val="auto"/>
              </w:rPr>
            </w:pPr>
            <w:r>
              <w:rPr>
                <w:rFonts w:ascii="Arial" w:cs="Arial" w:eastAsia="Arial" w:hAnsi="Arial"/>
                <w:sz w:val="16"/>
                <w:szCs w:val="16"/>
                <w:color w:val="auto"/>
              </w:rPr>
              <w:t>0</w:t>
            </w:r>
          </w:p>
        </w:tc>
        <w:tc>
          <w:tcPr>
            <w:tcW w:w="110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4,919,024</w:t>
            </w:r>
          </w:p>
        </w:tc>
        <w:tc>
          <w:tcPr>
            <w:tcW w:w="0" w:type="dxa"/>
            <w:vAlign w:val="bottom"/>
          </w:tcPr>
          <w:p>
            <w:pPr>
              <w:spacing w:after="0"/>
              <w:rPr>
                <w:sz w:val="1"/>
                <w:szCs w:val="1"/>
                <w:color w:val="auto"/>
              </w:rPr>
            </w:pPr>
          </w:p>
        </w:tc>
      </w:tr>
      <w:tr>
        <w:trPr>
          <w:trHeight w:val="183"/>
        </w:trPr>
        <w:tc>
          <w:tcPr>
            <w:tcW w:w="18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Mark J. Richard</w:t>
            </w:r>
          </w:p>
        </w:tc>
        <w:tc>
          <w:tcPr>
            <w:tcW w:w="1880" w:type="dxa"/>
            <w:vAlign w:val="bottom"/>
            <w:tcBorders>
              <w:bottom w:val="single" w:sz="8" w:color="CB233C"/>
            </w:tcBorders>
          </w:tcPr>
          <w:p>
            <w:pPr>
              <w:ind w:left="60"/>
              <w:spacing w:after="0" w:line="183" w:lineRule="exact"/>
              <w:rPr>
                <w:sz w:val="20"/>
                <w:szCs w:val="20"/>
                <w:color w:val="auto"/>
              </w:rPr>
            </w:pPr>
            <w:r>
              <w:rPr>
                <w:rFonts w:ascii="Arial" w:cs="Arial" w:eastAsia="Arial" w:hAnsi="Arial"/>
                <w:sz w:val="16"/>
                <w:szCs w:val="16"/>
                <w:b w:val="1"/>
                <w:bCs w:val="1"/>
                <w:color w:val="CB233C"/>
              </w:rPr>
              <w:t>TOTAL</w:t>
            </w:r>
          </w:p>
        </w:tc>
        <w:tc>
          <w:tcPr>
            <w:tcW w:w="136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13,052,771</w:t>
            </w:r>
          </w:p>
        </w:tc>
        <w:tc>
          <w:tcPr>
            <w:tcW w:w="126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0</w:t>
            </w:r>
          </w:p>
        </w:tc>
        <w:tc>
          <w:tcPr>
            <w:tcW w:w="1340" w:type="dxa"/>
            <w:vAlign w:val="bottom"/>
            <w:tcBorders>
              <w:bottom w:val="single" w:sz="8" w:color="CB233C"/>
            </w:tcBorders>
          </w:tcPr>
          <w:p>
            <w:pPr>
              <w:jc w:val="right"/>
              <w:ind w:right="79"/>
              <w:spacing w:after="0" w:line="183" w:lineRule="exact"/>
              <w:rPr>
                <w:sz w:val="20"/>
                <w:szCs w:val="20"/>
                <w:color w:val="auto"/>
              </w:rPr>
            </w:pPr>
            <w:r>
              <w:rPr>
                <w:rFonts w:ascii="Arial" w:cs="Arial" w:eastAsia="Arial" w:hAnsi="Arial"/>
                <w:sz w:val="16"/>
                <w:szCs w:val="16"/>
                <w:b w:val="1"/>
                <w:bCs w:val="1"/>
                <w:color w:val="CB233C"/>
              </w:rPr>
              <w:t>43,400</w:t>
            </w:r>
          </w:p>
        </w:tc>
        <w:tc>
          <w:tcPr>
            <w:tcW w:w="11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839,245</w:t>
            </w:r>
          </w:p>
        </w:tc>
        <w:tc>
          <w:tcPr>
            <w:tcW w:w="1300" w:type="dxa"/>
            <w:vAlign w:val="bottom"/>
            <w:tcBorders>
              <w:bottom w:val="single" w:sz="8" w:color="CB233C"/>
            </w:tcBorders>
          </w:tcPr>
          <w:p>
            <w:pPr>
              <w:jc w:val="right"/>
              <w:ind w:right="119"/>
              <w:spacing w:after="0" w:line="183" w:lineRule="exact"/>
              <w:rPr>
                <w:sz w:val="20"/>
                <w:szCs w:val="20"/>
                <w:color w:val="auto"/>
              </w:rPr>
            </w:pPr>
            <w:r>
              <w:rPr>
                <w:rFonts w:ascii="Arial" w:cs="Arial" w:eastAsia="Arial" w:hAnsi="Arial"/>
                <w:sz w:val="16"/>
                <w:szCs w:val="16"/>
                <w:b w:val="1"/>
                <w:bCs w:val="1"/>
                <w:color w:val="CB233C"/>
              </w:rPr>
              <w:t>0</w:t>
            </w:r>
          </w:p>
        </w:tc>
        <w:tc>
          <w:tcPr>
            <w:tcW w:w="110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b w:val="1"/>
                <w:bCs w:val="1"/>
                <w:color w:val="CB233C"/>
              </w:rPr>
              <w:t>13,935,416</w:t>
            </w:r>
          </w:p>
        </w:tc>
        <w:tc>
          <w:tcPr>
            <w:tcW w:w="0" w:type="dxa"/>
            <w:vAlign w:val="bottom"/>
          </w:tcPr>
          <w:p>
            <w:pPr>
              <w:spacing w:after="0"/>
              <w:rPr>
                <w:sz w:val="1"/>
                <w:szCs w:val="1"/>
                <w:color w:val="auto"/>
              </w:rPr>
            </w:pPr>
          </w:p>
        </w:tc>
      </w:tr>
      <w:tr>
        <w:trPr>
          <w:trHeight w:val="183"/>
        </w:trPr>
        <w:tc>
          <w:tcPr>
            <w:tcW w:w="1880" w:type="dxa"/>
            <w:vAlign w:val="bottom"/>
            <w:gridSpan w:val="2"/>
            <w:vMerge w:val="continue"/>
          </w:tcPr>
          <w:p>
            <w:pPr>
              <w:spacing w:after="0"/>
              <w:rPr>
                <w:sz w:val="15"/>
                <w:szCs w:val="15"/>
                <w:color w:val="auto"/>
              </w:rPr>
            </w:pPr>
          </w:p>
        </w:tc>
        <w:tc>
          <w:tcPr>
            <w:tcW w:w="188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color w:val="auto"/>
              </w:rPr>
              <w:t>SERP</w:t>
            </w:r>
          </w:p>
        </w:tc>
        <w:tc>
          <w:tcPr>
            <w:tcW w:w="13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2,403,596</w:t>
            </w:r>
          </w:p>
        </w:tc>
        <w:tc>
          <w:tcPr>
            <w:tcW w:w="12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34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auto"/>
              </w:rPr>
              <w:t>1,187,000</w:t>
            </w:r>
          </w:p>
        </w:tc>
        <w:tc>
          <w:tcPr>
            <w:tcW w:w="11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119,663</w:t>
            </w:r>
          </w:p>
        </w:tc>
        <w:tc>
          <w:tcPr>
            <w:tcW w:w="1300" w:type="dxa"/>
            <w:vAlign w:val="bottom"/>
            <w:tcBorders>
              <w:bottom w:val="single" w:sz="8" w:color="A7A9AC"/>
            </w:tcBorders>
          </w:tcPr>
          <w:p>
            <w:pPr>
              <w:jc w:val="right"/>
              <w:ind w:right="119"/>
              <w:spacing w:after="0" w:line="183" w:lineRule="exact"/>
              <w:rPr>
                <w:sz w:val="20"/>
                <w:szCs w:val="20"/>
                <w:color w:val="auto"/>
              </w:rPr>
            </w:pPr>
            <w:r>
              <w:rPr>
                <w:rFonts w:ascii="Arial" w:cs="Arial" w:eastAsia="Arial" w:hAnsi="Arial"/>
                <w:sz w:val="16"/>
                <w:szCs w:val="16"/>
                <w:color w:val="auto"/>
              </w:rPr>
              <w:t>0</w:t>
            </w:r>
          </w:p>
        </w:tc>
        <w:tc>
          <w:tcPr>
            <w:tcW w:w="11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3,710,259</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8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color w:val="auto"/>
              </w:rPr>
              <w:t>Benefit Restoration</w:t>
            </w:r>
          </w:p>
        </w:tc>
        <w:tc>
          <w:tcPr>
            <w:tcW w:w="13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204,927</w:t>
            </w:r>
          </w:p>
        </w:tc>
        <w:tc>
          <w:tcPr>
            <w:tcW w:w="12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34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auto"/>
              </w:rPr>
              <w:t>36,400</w:t>
            </w:r>
          </w:p>
        </w:tc>
        <w:tc>
          <w:tcPr>
            <w:tcW w:w="11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12,282</w:t>
            </w:r>
          </w:p>
        </w:tc>
        <w:tc>
          <w:tcPr>
            <w:tcW w:w="1300" w:type="dxa"/>
            <w:vAlign w:val="bottom"/>
            <w:tcBorders>
              <w:bottom w:val="single" w:sz="8" w:color="A7A9AC"/>
            </w:tcBorders>
          </w:tcPr>
          <w:p>
            <w:pPr>
              <w:jc w:val="right"/>
              <w:ind w:right="119"/>
              <w:spacing w:after="0" w:line="183" w:lineRule="exact"/>
              <w:rPr>
                <w:sz w:val="20"/>
                <w:szCs w:val="20"/>
                <w:color w:val="auto"/>
              </w:rPr>
            </w:pPr>
            <w:r>
              <w:rPr>
                <w:rFonts w:ascii="Arial" w:cs="Arial" w:eastAsia="Arial" w:hAnsi="Arial"/>
                <w:sz w:val="16"/>
                <w:szCs w:val="16"/>
                <w:color w:val="auto"/>
              </w:rPr>
              <w:t>0</w:t>
            </w:r>
          </w:p>
        </w:tc>
        <w:tc>
          <w:tcPr>
            <w:tcW w:w="11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253,609</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80" w:type="dxa"/>
            <w:vAlign w:val="bottom"/>
            <w:tcBorders>
              <w:bottom w:val="single" w:sz="8" w:color="CB233C"/>
            </w:tcBorders>
          </w:tcPr>
          <w:p>
            <w:pPr>
              <w:ind w:left="60"/>
              <w:spacing w:after="0" w:line="183" w:lineRule="exact"/>
              <w:rPr>
                <w:sz w:val="20"/>
                <w:szCs w:val="20"/>
                <w:color w:val="auto"/>
              </w:rPr>
            </w:pPr>
            <w:r>
              <w:rPr>
                <w:rFonts w:ascii="Arial" w:cs="Arial" w:eastAsia="Arial" w:hAnsi="Arial"/>
                <w:sz w:val="16"/>
                <w:szCs w:val="16"/>
                <w:color w:val="auto"/>
              </w:rPr>
              <w:t>Elective Deferral</w:t>
            </w:r>
          </w:p>
        </w:tc>
        <w:tc>
          <w:tcPr>
            <w:tcW w:w="136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1,461,694</w:t>
            </w:r>
          </w:p>
        </w:tc>
        <w:tc>
          <w:tcPr>
            <w:tcW w:w="126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340" w:type="dxa"/>
            <w:vAlign w:val="bottom"/>
            <w:tcBorders>
              <w:bottom w:val="single" w:sz="8" w:color="CB233C"/>
            </w:tcBorders>
          </w:tcPr>
          <w:p>
            <w:pPr>
              <w:jc w:val="right"/>
              <w:ind w:right="79"/>
              <w:spacing w:after="0" w:line="183" w:lineRule="exact"/>
              <w:rPr>
                <w:sz w:val="20"/>
                <w:szCs w:val="20"/>
                <w:color w:val="auto"/>
              </w:rPr>
            </w:pPr>
            <w:r>
              <w:rPr>
                <w:rFonts w:ascii="Arial" w:cs="Arial" w:eastAsia="Arial" w:hAnsi="Arial"/>
                <w:sz w:val="16"/>
                <w:szCs w:val="16"/>
                <w:color w:val="auto"/>
              </w:rPr>
              <w:t>0</w:t>
            </w:r>
          </w:p>
        </w:tc>
        <w:tc>
          <w:tcPr>
            <w:tcW w:w="11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166,550</w:t>
            </w:r>
          </w:p>
        </w:tc>
        <w:tc>
          <w:tcPr>
            <w:tcW w:w="1300" w:type="dxa"/>
            <w:vAlign w:val="bottom"/>
            <w:tcBorders>
              <w:bottom w:val="single" w:sz="8" w:color="CB233C"/>
            </w:tcBorders>
          </w:tcPr>
          <w:p>
            <w:pPr>
              <w:jc w:val="right"/>
              <w:ind w:right="119"/>
              <w:spacing w:after="0" w:line="183" w:lineRule="exact"/>
              <w:rPr>
                <w:sz w:val="20"/>
                <w:szCs w:val="20"/>
                <w:color w:val="auto"/>
              </w:rPr>
            </w:pPr>
            <w:r>
              <w:rPr>
                <w:rFonts w:ascii="Arial" w:cs="Arial" w:eastAsia="Arial" w:hAnsi="Arial"/>
                <w:sz w:val="16"/>
                <w:szCs w:val="16"/>
                <w:color w:val="auto"/>
              </w:rPr>
              <w:t>240,338</w:t>
            </w:r>
          </w:p>
        </w:tc>
        <w:tc>
          <w:tcPr>
            <w:tcW w:w="110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1,387,906</w:t>
            </w:r>
          </w:p>
        </w:tc>
        <w:tc>
          <w:tcPr>
            <w:tcW w:w="0" w:type="dxa"/>
            <w:vAlign w:val="bottom"/>
          </w:tcPr>
          <w:p>
            <w:pPr>
              <w:spacing w:after="0"/>
              <w:rPr>
                <w:sz w:val="1"/>
                <w:szCs w:val="1"/>
                <w:color w:val="auto"/>
              </w:rPr>
            </w:pPr>
          </w:p>
        </w:tc>
      </w:tr>
      <w:tr>
        <w:trPr>
          <w:trHeight w:val="183"/>
        </w:trPr>
        <w:tc>
          <w:tcPr>
            <w:tcW w:w="1200" w:type="dxa"/>
            <w:vAlign w:val="bottom"/>
            <w:tcBorders>
              <w:bottom w:val="single" w:sz="8" w:color="CB233C"/>
            </w:tcBorders>
          </w:tcPr>
          <w:p>
            <w:pPr>
              <w:spacing w:after="0"/>
              <w:rPr>
                <w:sz w:val="15"/>
                <w:szCs w:val="15"/>
                <w:color w:val="auto"/>
              </w:rPr>
            </w:pPr>
          </w:p>
        </w:tc>
        <w:tc>
          <w:tcPr>
            <w:tcW w:w="680" w:type="dxa"/>
            <w:vAlign w:val="bottom"/>
            <w:tcBorders>
              <w:bottom w:val="single" w:sz="8" w:color="CB233C"/>
            </w:tcBorders>
          </w:tcPr>
          <w:p>
            <w:pPr>
              <w:spacing w:after="0"/>
              <w:rPr>
                <w:sz w:val="15"/>
                <w:szCs w:val="15"/>
                <w:color w:val="auto"/>
              </w:rPr>
            </w:pPr>
          </w:p>
        </w:tc>
        <w:tc>
          <w:tcPr>
            <w:tcW w:w="1880" w:type="dxa"/>
            <w:vAlign w:val="bottom"/>
            <w:tcBorders>
              <w:bottom w:val="single" w:sz="8" w:color="CB233C"/>
            </w:tcBorders>
          </w:tcPr>
          <w:p>
            <w:pPr>
              <w:ind w:left="60"/>
              <w:spacing w:after="0" w:line="183" w:lineRule="exact"/>
              <w:rPr>
                <w:sz w:val="20"/>
                <w:szCs w:val="20"/>
                <w:color w:val="auto"/>
              </w:rPr>
            </w:pPr>
            <w:r>
              <w:rPr>
                <w:rFonts w:ascii="Arial" w:cs="Arial" w:eastAsia="Arial" w:hAnsi="Arial"/>
                <w:sz w:val="16"/>
                <w:szCs w:val="16"/>
                <w:b w:val="1"/>
                <w:bCs w:val="1"/>
                <w:color w:val="CB233C"/>
              </w:rPr>
              <w:t>TOTAL</w:t>
            </w:r>
          </w:p>
        </w:tc>
        <w:tc>
          <w:tcPr>
            <w:tcW w:w="136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4,070,217</w:t>
            </w:r>
          </w:p>
        </w:tc>
        <w:tc>
          <w:tcPr>
            <w:tcW w:w="126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0</w:t>
            </w:r>
          </w:p>
        </w:tc>
        <w:tc>
          <w:tcPr>
            <w:tcW w:w="1340" w:type="dxa"/>
            <w:vAlign w:val="bottom"/>
            <w:tcBorders>
              <w:bottom w:val="single" w:sz="8" w:color="CB233C"/>
            </w:tcBorders>
          </w:tcPr>
          <w:p>
            <w:pPr>
              <w:jc w:val="right"/>
              <w:ind w:right="79"/>
              <w:spacing w:after="0" w:line="183" w:lineRule="exact"/>
              <w:rPr>
                <w:sz w:val="20"/>
                <w:szCs w:val="20"/>
                <w:color w:val="auto"/>
              </w:rPr>
            </w:pPr>
            <w:r>
              <w:rPr>
                <w:rFonts w:ascii="Arial" w:cs="Arial" w:eastAsia="Arial" w:hAnsi="Arial"/>
                <w:sz w:val="16"/>
                <w:szCs w:val="16"/>
                <w:b w:val="1"/>
                <w:bCs w:val="1"/>
                <w:color w:val="CB233C"/>
              </w:rPr>
              <w:t>1,223,400</w:t>
            </w:r>
          </w:p>
        </w:tc>
        <w:tc>
          <w:tcPr>
            <w:tcW w:w="11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298,495</w:t>
            </w:r>
          </w:p>
        </w:tc>
        <w:tc>
          <w:tcPr>
            <w:tcW w:w="1300" w:type="dxa"/>
            <w:vAlign w:val="bottom"/>
            <w:tcBorders>
              <w:bottom w:val="single" w:sz="8" w:color="CB233C"/>
            </w:tcBorders>
          </w:tcPr>
          <w:p>
            <w:pPr>
              <w:jc w:val="right"/>
              <w:ind w:right="119"/>
              <w:spacing w:after="0" w:line="183" w:lineRule="exact"/>
              <w:rPr>
                <w:sz w:val="20"/>
                <w:szCs w:val="20"/>
                <w:color w:val="auto"/>
              </w:rPr>
            </w:pPr>
            <w:r>
              <w:rPr>
                <w:rFonts w:ascii="Arial" w:cs="Arial" w:eastAsia="Arial" w:hAnsi="Arial"/>
                <w:sz w:val="16"/>
                <w:szCs w:val="16"/>
                <w:b w:val="1"/>
                <w:bCs w:val="1"/>
                <w:color w:val="CB233C"/>
              </w:rPr>
              <w:t>240,338</w:t>
            </w:r>
          </w:p>
        </w:tc>
        <w:tc>
          <w:tcPr>
            <w:tcW w:w="110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b w:val="1"/>
                <w:bCs w:val="1"/>
                <w:color w:val="CB233C"/>
              </w:rPr>
              <w:t>5,351,774</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Employment Contracts and Change-in-Control Arrangements</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Contracts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All of our NEOs have employment agreements with us that contain substantial non-compete and non-solicitation provisions post separation.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employment agreements provide that if the agreement is terminated by the employee for good reason or by death, disability, or retirement or his employment is terminated by the Company for any reason other than cause or a fiduciary violation, all restrictions on restricted stock and units will lapse. In addition, in the case of a termination by the employee for good reason or termination by the Company for any reason other than cause or a fiduciary violation, the employee will receive a lump sum cash payment equal to two years of his base salary then in effect.</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Change-in-Control Arrangements</w:t>
      </w:r>
    </w:p>
    <w:p>
      <w:pPr>
        <w:spacing w:after="0" w:line="20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do not maintain individual change-in-control agreements or provide for excise tax gross-ups on any payments associated with a change-in-control. Some of our compensation plans, however, contain change-in-control provisions, which could result in payment of specific benefits.</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Under the Stock and Incentive Plan, in the event of a change-in-control, awards granted after February 13, 2019, are subject to double-trigger vesting, such that, if a participant is terminated due to involuntary termination without cause, death, disability, good reason (as defined in an employment agreement, or a similar constructive termination event, in each case, only if a severance benefit is payable upon termination of employment due to such event pursuant to an employment agreement), or other event as specified in the participant’s award document within the period beginning on the date of the public announcement of a transaction that, if consummated, would constitute a corporate change and ending on the date that is the earlier of the announcement of the termination of the proposed transaction or two years after the consummation of the transaction (a Qualifying Termination), the following will occur automatically:</w:t>
      </w:r>
    </w:p>
    <w:p>
      <w:pPr>
        <w:spacing w:after="0" w:line="168" w:lineRule="exact"/>
        <w:rPr>
          <w:sz w:val="20"/>
          <w:szCs w:val="20"/>
          <w:color w:val="auto"/>
        </w:rPr>
      </w:pPr>
    </w:p>
    <w:p>
      <w:pPr>
        <w:ind w:left="180" w:hanging="172"/>
        <w:spacing w:after="0"/>
        <w:tabs>
          <w:tab w:leader="none" w:pos="180" w:val="left"/>
        </w:tabs>
        <w:numPr>
          <w:ilvl w:val="0"/>
          <w:numId w:val="79"/>
        </w:numPr>
        <w:rPr>
          <w:rFonts w:ascii="Arial" w:cs="Arial" w:eastAsia="Arial" w:hAnsi="Arial"/>
          <w:sz w:val="16"/>
          <w:szCs w:val="16"/>
          <w:color w:val="CB233C"/>
        </w:rPr>
      </w:pPr>
      <w:r>
        <w:rPr>
          <w:rFonts w:ascii="Arial" w:cs="Arial" w:eastAsia="Arial" w:hAnsi="Arial"/>
          <w:sz w:val="16"/>
          <w:szCs w:val="16"/>
          <w:color w:val="auto"/>
        </w:rPr>
        <w:t>any outstanding options and stock appreciation rights shall become immediately vested and fully exercisable for the full term thereof;</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79"/>
        </w:numPr>
        <w:rPr>
          <w:rFonts w:ascii="Arial" w:cs="Arial" w:eastAsia="Arial" w:hAnsi="Arial"/>
          <w:sz w:val="16"/>
          <w:szCs w:val="16"/>
          <w:color w:val="CB233C"/>
        </w:rPr>
      </w:pPr>
      <w:r>
        <w:rPr>
          <w:rFonts w:ascii="Arial" w:cs="Arial" w:eastAsia="Arial" w:hAnsi="Arial"/>
          <w:sz w:val="16"/>
          <w:szCs w:val="16"/>
          <w:color w:val="auto"/>
        </w:rPr>
        <w:t>any restrictions on restricted stock awards shall immediately lapse;</w:t>
      </w:r>
    </w:p>
    <w:p>
      <w:pPr>
        <w:spacing w:after="0" w:line="86" w:lineRule="exact"/>
        <w:rPr>
          <w:rFonts w:ascii="Arial" w:cs="Arial" w:eastAsia="Arial" w:hAnsi="Arial"/>
          <w:sz w:val="16"/>
          <w:szCs w:val="16"/>
          <w:color w:val="CB233C"/>
        </w:rPr>
      </w:pPr>
    </w:p>
    <w:p>
      <w:pPr>
        <w:ind w:left="180" w:hanging="172"/>
        <w:spacing w:after="0" w:line="286" w:lineRule="auto"/>
        <w:tabs>
          <w:tab w:leader="none" w:pos="180" w:val="left"/>
        </w:tabs>
        <w:numPr>
          <w:ilvl w:val="0"/>
          <w:numId w:val="79"/>
        </w:numPr>
        <w:rPr>
          <w:rFonts w:ascii="Arial" w:cs="Arial" w:eastAsia="Arial" w:hAnsi="Arial"/>
          <w:sz w:val="16"/>
          <w:szCs w:val="16"/>
          <w:color w:val="CB233C"/>
        </w:rPr>
      </w:pPr>
      <w:r>
        <w:rPr>
          <w:rFonts w:ascii="Arial" w:cs="Arial" w:eastAsia="Arial" w:hAnsi="Arial"/>
          <w:sz w:val="16"/>
          <w:szCs w:val="16"/>
          <w:color w:val="auto"/>
        </w:rPr>
        <w:t>all performance measures upon which an outstanding performance award is contingent are deemed achieved and the holder shall receive a payment equal to the target amount of the award he or she would have been entitled to receive; and</w:t>
      </w:r>
    </w:p>
    <w:p>
      <w:pPr>
        <w:spacing w:after="0" w:line="20" w:lineRule="exact"/>
        <w:rPr>
          <w:rFonts w:ascii="Arial" w:cs="Arial" w:eastAsia="Arial" w:hAnsi="Arial"/>
          <w:sz w:val="16"/>
          <w:szCs w:val="16"/>
          <w:color w:val="CB233C"/>
        </w:rPr>
      </w:pPr>
    </w:p>
    <w:p>
      <w:pPr>
        <w:ind w:left="180" w:hanging="172"/>
        <w:spacing w:after="0"/>
        <w:tabs>
          <w:tab w:leader="none" w:pos="180" w:val="left"/>
        </w:tabs>
        <w:numPr>
          <w:ilvl w:val="0"/>
          <w:numId w:val="79"/>
        </w:numPr>
        <w:rPr>
          <w:rFonts w:ascii="Arial" w:cs="Arial" w:eastAsia="Arial" w:hAnsi="Arial"/>
          <w:sz w:val="16"/>
          <w:szCs w:val="16"/>
          <w:color w:val="CB233C"/>
        </w:rPr>
      </w:pPr>
      <w:r>
        <w:rPr>
          <w:rFonts w:ascii="Arial" w:cs="Arial" w:eastAsia="Arial" w:hAnsi="Arial"/>
          <w:sz w:val="16"/>
          <w:szCs w:val="16"/>
          <w:color w:val="auto"/>
        </w:rPr>
        <w:t>any outstanding cash awards, including stock value equivalent awards, immediately vest and are paid based on the vested value of the award.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Under the Annual Performance Pay Plan:</w:t>
      </w:r>
    </w:p>
    <w:p>
      <w:pPr>
        <w:spacing w:after="0" w:line="208" w:lineRule="exact"/>
        <w:rPr>
          <w:sz w:val="20"/>
          <w:szCs w:val="20"/>
          <w:color w:val="auto"/>
        </w:rPr>
      </w:pPr>
    </w:p>
    <w:p>
      <w:pPr>
        <w:ind w:left="180" w:right="20" w:hanging="172"/>
        <w:spacing w:after="0" w:line="286" w:lineRule="auto"/>
        <w:tabs>
          <w:tab w:leader="none" w:pos="180" w:val="left"/>
        </w:tabs>
        <w:numPr>
          <w:ilvl w:val="0"/>
          <w:numId w:val="80"/>
        </w:numPr>
        <w:rPr>
          <w:rFonts w:ascii="Arial" w:cs="Arial" w:eastAsia="Arial" w:hAnsi="Arial"/>
          <w:sz w:val="16"/>
          <w:szCs w:val="16"/>
          <w:color w:val="CB233C"/>
        </w:rPr>
      </w:pPr>
      <w:r>
        <w:rPr>
          <w:rFonts w:ascii="Arial" w:cs="Arial" w:eastAsia="Arial" w:hAnsi="Arial"/>
          <w:sz w:val="16"/>
          <w:szCs w:val="16"/>
          <w:color w:val="auto"/>
        </w:rPr>
        <w:t>in the event of a change-in-control during a plan year, a participant experiencing a Qualifying Termination will be entitled to payment equal to the target amount of the award he or she would have been entitled to receive, without proration; and</w:t>
      </w:r>
    </w:p>
    <w:p>
      <w:pPr>
        <w:spacing w:after="0" w:line="20" w:lineRule="exact"/>
        <w:rPr>
          <w:rFonts w:ascii="Arial" w:cs="Arial" w:eastAsia="Arial" w:hAnsi="Arial"/>
          <w:sz w:val="16"/>
          <w:szCs w:val="16"/>
          <w:color w:val="CB233C"/>
        </w:rPr>
      </w:pPr>
    </w:p>
    <w:p>
      <w:pPr>
        <w:ind w:left="180" w:right="20" w:hanging="172"/>
        <w:spacing w:after="0" w:line="286" w:lineRule="auto"/>
        <w:tabs>
          <w:tab w:leader="none" w:pos="180" w:val="left"/>
        </w:tabs>
        <w:numPr>
          <w:ilvl w:val="0"/>
          <w:numId w:val="80"/>
        </w:numPr>
        <w:rPr>
          <w:rFonts w:ascii="Arial" w:cs="Arial" w:eastAsia="Arial" w:hAnsi="Arial"/>
          <w:sz w:val="16"/>
          <w:szCs w:val="16"/>
          <w:color w:val="CB233C"/>
        </w:rPr>
      </w:pPr>
      <w:r>
        <w:rPr>
          <w:rFonts w:ascii="Arial" w:cs="Arial" w:eastAsia="Arial" w:hAnsi="Arial"/>
          <w:sz w:val="16"/>
          <w:szCs w:val="16"/>
          <w:color w:val="auto"/>
        </w:rPr>
        <w:t>in the event of a change-in-control after the end of a plan year but before the payment date, a participant will be entitled to an immediate cash payment equal to the incentive earned for the plan year.</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Under the Performance Unit Program:</w:t>
      </w:r>
    </w:p>
    <w:p>
      <w:pPr>
        <w:spacing w:after="0" w:line="208" w:lineRule="exact"/>
        <w:rPr>
          <w:sz w:val="20"/>
          <w:szCs w:val="20"/>
          <w:color w:val="auto"/>
        </w:rPr>
      </w:pPr>
    </w:p>
    <w:p>
      <w:pPr>
        <w:jc w:val="both"/>
        <w:ind w:left="180" w:hanging="172"/>
        <w:spacing w:after="0" w:line="266" w:lineRule="auto"/>
        <w:tabs>
          <w:tab w:leader="none" w:pos="180" w:val="left"/>
        </w:tabs>
        <w:numPr>
          <w:ilvl w:val="0"/>
          <w:numId w:val="81"/>
        </w:numPr>
        <w:rPr>
          <w:rFonts w:ascii="Arial" w:cs="Arial" w:eastAsia="Arial" w:hAnsi="Arial"/>
          <w:sz w:val="16"/>
          <w:szCs w:val="16"/>
          <w:color w:val="CB233C"/>
        </w:rPr>
      </w:pPr>
      <w:r>
        <w:rPr>
          <w:rFonts w:ascii="Arial" w:cs="Arial" w:eastAsia="Arial" w:hAnsi="Arial"/>
          <w:sz w:val="16"/>
          <w:szCs w:val="16"/>
          <w:color w:val="auto"/>
        </w:rPr>
        <w:t>in the event of a change-in-control during a performance cycle, a participant experiencing a Qualifying Termination will be entitled to both a payment equal to the target amount of the cash award he or she would have been entitled to receive and the vesting of the target amount of performance shares awarded, without proration; and</w:t>
      </w:r>
    </w:p>
    <w:p>
      <w:pPr>
        <w:spacing w:after="0" w:line="158" w:lineRule="exact"/>
        <w:rPr>
          <w:sz w:val="20"/>
          <w:szCs w:val="20"/>
          <w:color w:val="auto"/>
        </w:r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754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ind w:left="180" w:hanging="172"/>
        <w:spacing w:after="0" w:line="286" w:lineRule="auto"/>
        <w:tabs>
          <w:tab w:leader="none" w:pos="180" w:val="left"/>
        </w:tabs>
        <w:numPr>
          <w:ilvl w:val="0"/>
          <w:numId w:val="82"/>
        </w:numPr>
        <w:rPr>
          <w:rFonts w:ascii="Arial" w:cs="Arial" w:eastAsia="Arial" w:hAnsi="Arial"/>
          <w:sz w:val="16"/>
          <w:szCs w:val="16"/>
          <w:color w:val="CB233C"/>
        </w:rPr>
      </w:pPr>
      <w:r>
        <w:rPr>
          <w:rFonts w:ascii="Arial" w:cs="Arial" w:eastAsia="Arial" w:hAnsi="Arial"/>
          <w:sz w:val="16"/>
          <w:szCs w:val="16"/>
          <w:color w:val="auto"/>
        </w:rPr>
        <w:t>in the event of a change-in-control after the end of a performance cycle but before the payment and vesting date, a participant will be entitled to an immediate payment equal to the cash award earned and the vesting of performance shares earned for that performance cycle.</w:t>
      </w:r>
    </w:p>
    <w:p>
      <w:pPr>
        <w:spacing w:after="0" w:line="2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Employee Stock Purchase Plan, in the event of a change-in-control, unless the successor corporation assumes or substitutes new stock purchase rights:</w:t>
      </w:r>
    </w:p>
    <w:p>
      <w:pPr>
        <w:spacing w:after="0" w:line="129" w:lineRule="exact"/>
        <w:rPr>
          <w:sz w:val="20"/>
          <w:szCs w:val="20"/>
          <w:color w:val="auto"/>
        </w:rPr>
      </w:pPr>
    </w:p>
    <w:p>
      <w:pPr>
        <w:ind w:left="180" w:hanging="172"/>
        <w:spacing w:after="0" w:line="286" w:lineRule="auto"/>
        <w:tabs>
          <w:tab w:leader="none" w:pos="180" w:val="left"/>
        </w:tabs>
        <w:numPr>
          <w:ilvl w:val="0"/>
          <w:numId w:val="83"/>
        </w:numPr>
        <w:rPr>
          <w:rFonts w:ascii="Arial" w:cs="Arial" w:eastAsia="Arial" w:hAnsi="Arial"/>
          <w:sz w:val="16"/>
          <w:szCs w:val="16"/>
          <w:color w:val="CB233C"/>
        </w:rPr>
      </w:pPr>
      <w:r>
        <w:rPr>
          <w:rFonts w:ascii="Arial" w:cs="Arial" w:eastAsia="Arial" w:hAnsi="Arial"/>
          <w:sz w:val="16"/>
          <w:szCs w:val="16"/>
          <w:color w:val="auto"/>
        </w:rPr>
        <w:t>the purchase date for the outstanding stock purchase rights will be accelerated to a date fixed by the Compensation Committee prior to the effective date of the change-in-control; and</w:t>
      </w:r>
    </w:p>
    <w:p>
      <w:pPr>
        <w:spacing w:after="0" w:line="20" w:lineRule="exact"/>
        <w:rPr>
          <w:rFonts w:ascii="Arial" w:cs="Arial" w:eastAsia="Arial" w:hAnsi="Arial"/>
          <w:sz w:val="16"/>
          <w:szCs w:val="16"/>
          <w:color w:val="CB233C"/>
        </w:rPr>
      </w:pPr>
    </w:p>
    <w:p>
      <w:pPr>
        <w:ind w:left="180" w:right="20" w:hanging="172"/>
        <w:spacing w:after="0" w:line="286" w:lineRule="auto"/>
        <w:tabs>
          <w:tab w:leader="none" w:pos="180" w:val="left"/>
        </w:tabs>
        <w:numPr>
          <w:ilvl w:val="0"/>
          <w:numId w:val="83"/>
        </w:numPr>
        <w:rPr>
          <w:rFonts w:ascii="Arial" w:cs="Arial" w:eastAsia="Arial" w:hAnsi="Arial"/>
          <w:sz w:val="16"/>
          <w:szCs w:val="16"/>
          <w:color w:val="CB233C"/>
        </w:rPr>
      </w:pPr>
      <w:r>
        <w:rPr>
          <w:rFonts w:ascii="Arial" w:cs="Arial" w:eastAsia="Arial" w:hAnsi="Arial"/>
          <w:sz w:val="16"/>
          <w:szCs w:val="16"/>
          <w:color w:val="auto"/>
        </w:rPr>
        <w:t>upon such effective date, any unexercised stock purchase rights will expire and we will refund to each participant the amount of his or her payroll deductions made for purposes of the Employee Stock Purchase Plan that have not yet been used to purchase stock.</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Post-Termination or Change-in-Control Payments</w:t>
      </w:r>
    </w:p>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tables and narratives represent the impact of certain termination events or a change-in-control on each element of compensation for NEOs as of December 31,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20" w:type="dxa"/>
            <w:vAlign w:val="bottom"/>
            <w:tcBorders>
              <w:bottom w:val="single" w:sz="8" w:color="CB233C"/>
            </w:tcBorders>
          </w:tcPr>
          <w:p>
            <w:pPr>
              <w:spacing w:after="0"/>
              <w:rPr>
                <w:sz w:val="17"/>
                <w:szCs w:val="17"/>
                <w:color w:val="auto"/>
              </w:rPr>
            </w:pPr>
          </w:p>
        </w:tc>
        <w:tc>
          <w:tcPr>
            <w:tcW w:w="1020" w:type="dxa"/>
            <w:vAlign w:val="bottom"/>
            <w:tcBorders>
              <w:bottom w:val="single" w:sz="8" w:color="CB233C"/>
            </w:tcBorders>
          </w:tcPr>
          <w:p>
            <w:pPr>
              <w:spacing w:after="0"/>
              <w:rPr>
                <w:sz w:val="17"/>
                <w:szCs w:val="17"/>
                <w:color w:val="auto"/>
              </w:rPr>
            </w:pPr>
          </w:p>
        </w:tc>
        <w:tc>
          <w:tcPr>
            <w:tcW w:w="2100" w:type="dxa"/>
            <w:vAlign w:val="bottom"/>
            <w:tcBorders>
              <w:bottom w:val="single" w:sz="8" w:color="CB233C"/>
            </w:tcBorders>
            <w:gridSpan w:val="2"/>
          </w:tcPr>
          <w:p>
            <w:pPr>
              <w:jc w:val="right"/>
              <w:ind w:right="339"/>
              <w:spacing w:after="0"/>
              <w:rPr>
                <w:sz w:val="20"/>
                <w:szCs w:val="20"/>
                <w:color w:val="auto"/>
              </w:rPr>
            </w:pPr>
            <w:r>
              <w:rPr>
                <w:rFonts w:ascii="Arial" w:cs="Arial" w:eastAsia="Arial" w:hAnsi="Arial"/>
                <w:sz w:val="16"/>
                <w:szCs w:val="16"/>
                <w:b w:val="1"/>
                <w:bCs w:val="1"/>
                <w:color w:val="auto"/>
              </w:rPr>
              <w:t>Termination Event</w:t>
            </w:r>
          </w:p>
        </w:tc>
        <w:tc>
          <w:tcPr>
            <w:tcW w:w="1020" w:type="dxa"/>
            <w:vAlign w:val="bottom"/>
            <w:tcBorders>
              <w:bottom w:val="single" w:sz="8" w:color="CB233C"/>
            </w:tcBorders>
          </w:tcPr>
          <w:p>
            <w:pPr>
              <w:spacing w:after="0"/>
              <w:rPr>
                <w:sz w:val="17"/>
                <w:szCs w:val="17"/>
                <w:color w:val="auto"/>
              </w:rPr>
            </w:pPr>
          </w:p>
        </w:tc>
        <w:tc>
          <w:tcPr>
            <w:tcW w:w="900" w:type="dxa"/>
            <w:vAlign w:val="bottom"/>
            <w:tcBorders>
              <w:bottom w:val="single" w:sz="8" w:color="CB233C"/>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19"/>
              <w:spacing w:after="0" w:line="168" w:lineRule="exact"/>
              <w:rPr>
                <w:sz w:val="20"/>
                <w:szCs w:val="20"/>
                <w:color w:val="auto"/>
              </w:rPr>
            </w:pPr>
            <w:r>
              <w:rPr>
                <w:rFonts w:ascii="Arial" w:cs="Arial" w:eastAsia="Arial" w:hAnsi="Arial"/>
                <w:sz w:val="16"/>
                <w:szCs w:val="16"/>
                <w:b w:val="1"/>
                <w:bCs w:val="1"/>
                <w:color w:val="auto"/>
              </w:rPr>
              <w:t>Early</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Retirement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Early</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Term</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w/o</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Retirement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Normal</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Term</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w/o</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Change-in-</w:t>
            </w:r>
          </w:p>
        </w:tc>
        <w:tc>
          <w:tcPr>
            <w:tcW w:w="0" w:type="dxa"/>
            <w:vAlign w:val="bottom"/>
          </w:tcPr>
          <w:p>
            <w:pPr>
              <w:spacing w:after="0"/>
              <w:rPr>
                <w:sz w:val="1"/>
                <w:szCs w:val="1"/>
                <w:color w:val="auto"/>
              </w:rPr>
            </w:pPr>
          </w:p>
        </w:tc>
      </w:tr>
      <w:tr>
        <w:trPr>
          <w:trHeight w:val="189"/>
        </w:trPr>
        <w:tc>
          <w:tcPr>
            <w:tcW w:w="18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Name</w:t>
            </w:r>
          </w:p>
        </w:tc>
        <w:tc>
          <w:tcPr>
            <w:tcW w:w="226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w w:val="98"/>
              </w:rPr>
              <w:t>Resignation</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Approval</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w/Approval</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Retirement</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for Cause</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Cause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Control</w:t>
            </w:r>
          </w:p>
        </w:tc>
        <w:tc>
          <w:tcPr>
            <w:tcW w:w="0" w:type="dxa"/>
            <w:vAlign w:val="bottom"/>
          </w:tcPr>
          <w:p>
            <w:pPr>
              <w:spacing w:after="0"/>
              <w:rPr>
                <w:sz w:val="1"/>
                <w:szCs w:val="1"/>
                <w:color w:val="auto"/>
              </w:rPr>
            </w:pPr>
          </w:p>
        </w:tc>
      </w:tr>
      <w:tr>
        <w:trPr>
          <w:trHeight w:val="203"/>
        </w:trPr>
        <w:tc>
          <w:tcPr>
            <w:tcW w:w="1820" w:type="dxa"/>
            <w:vAlign w:val="bottom"/>
            <w:tcBorders>
              <w:bottom w:val="single" w:sz="8" w:color="CB233C"/>
            </w:tcBorders>
            <w:vMerge w:val="continue"/>
          </w:tcPr>
          <w:p>
            <w:pPr>
              <w:spacing w:after="0"/>
              <w:rPr>
                <w:sz w:val="17"/>
                <w:szCs w:val="17"/>
                <w:color w:val="auto"/>
              </w:rPr>
            </w:pPr>
          </w:p>
        </w:tc>
        <w:tc>
          <w:tcPr>
            <w:tcW w:w="2260" w:type="dxa"/>
            <w:vAlign w:val="bottom"/>
            <w:tcBorders>
              <w:bottom w:val="single" w:sz="8" w:color="CB233C"/>
            </w:tcBorders>
          </w:tcPr>
          <w:p>
            <w:pPr>
              <w:spacing w:after="0"/>
              <w:rPr>
                <w:sz w:val="20"/>
                <w:szCs w:val="20"/>
                <w:color w:val="auto"/>
              </w:rPr>
            </w:pPr>
            <w:r>
              <w:rPr>
                <w:rFonts w:ascii="Arial" w:cs="Arial" w:eastAsia="Arial" w:hAnsi="Arial"/>
                <w:sz w:val="16"/>
                <w:szCs w:val="16"/>
                <w:b w:val="1"/>
                <w:bCs w:val="1"/>
                <w:color w:val="auto"/>
              </w:rPr>
              <w:t>Payments</w:t>
            </w:r>
          </w:p>
        </w:tc>
        <w:tc>
          <w:tcPr>
            <w:tcW w:w="102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B233C"/>
            </w:tcBorders>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182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Jeffrey A. Miller</w:t>
            </w:r>
          </w:p>
        </w:tc>
        <w:tc>
          <w:tcPr>
            <w:tcW w:w="2260" w:type="dxa"/>
            <w:vAlign w:val="bottom"/>
            <w:tcBorders>
              <w:bottom w:val="single" w:sz="8" w:color="A7A9AC"/>
            </w:tcBorders>
          </w:tcPr>
          <w:p>
            <w:pPr>
              <w:spacing w:after="0" w:line="183" w:lineRule="exact"/>
              <w:rPr>
                <w:sz w:val="20"/>
                <w:szCs w:val="20"/>
                <w:color w:val="auto"/>
              </w:rPr>
            </w:pPr>
            <w:r>
              <w:rPr>
                <w:rFonts w:ascii="Arial" w:cs="Arial" w:eastAsia="Arial" w:hAnsi="Arial"/>
                <w:sz w:val="16"/>
                <w:szCs w:val="16"/>
                <w:color w:val="auto"/>
              </w:rPr>
              <w:t>Severance</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3,000,000</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260" w:type="dxa"/>
            <w:vAlign w:val="bottom"/>
            <w:tcBorders>
              <w:bottom w:val="single" w:sz="8" w:color="A7A9AC"/>
            </w:tcBorders>
          </w:tcPr>
          <w:p>
            <w:pPr>
              <w:spacing w:after="0" w:line="183" w:lineRule="exact"/>
              <w:rPr>
                <w:sz w:val="20"/>
                <w:szCs w:val="20"/>
                <w:color w:val="auto"/>
              </w:rPr>
            </w:pPr>
            <w:r>
              <w:rPr>
                <w:rFonts w:ascii="Arial" w:cs="Arial" w:eastAsia="Arial" w:hAnsi="Arial"/>
                <w:sz w:val="16"/>
                <w:szCs w:val="16"/>
                <w:color w:val="auto"/>
              </w:rPr>
              <w:t>Annual Perf. Pay Plan</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260" w:type="dxa"/>
            <w:vAlign w:val="bottom"/>
            <w:tcBorders>
              <w:bottom w:val="single" w:sz="8" w:color="A7A9AC"/>
            </w:tcBorders>
          </w:tcPr>
          <w:p>
            <w:pPr>
              <w:spacing w:after="0" w:line="183" w:lineRule="exact"/>
              <w:rPr>
                <w:sz w:val="20"/>
                <w:szCs w:val="20"/>
                <w:color w:val="auto"/>
              </w:rPr>
            </w:pPr>
            <w:r>
              <w:rPr>
                <w:rFonts w:ascii="Arial" w:cs="Arial" w:eastAsia="Arial" w:hAnsi="Arial"/>
                <w:sz w:val="16"/>
                <w:szCs w:val="16"/>
                <w:color w:val="auto"/>
              </w:rPr>
              <w:t>Restricted Stock</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11,860,839</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11,860,839</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11,860,839</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4,696,126</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260" w:type="dxa"/>
            <w:vAlign w:val="bottom"/>
            <w:tcBorders>
              <w:bottom w:val="single" w:sz="8" w:color="A7A9AC"/>
            </w:tcBorders>
          </w:tcPr>
          <w:p>
            <w:pPr>
              <w:spacing w:after="0" w:line="183" w:lineRule="exact"/>
              <w:rPr>
                <w:sz w:val="20"/>
                <w:szCs w:val="20"/>
                <w:color w:val="auto"/>
              </w:rPr>
            </w:pPr>
            <w:r>
              <w:rPr>
                <w:rFonts w:ascii="Arial" w:cs="Arial" w:eastAsia="Arial" w:hAnsi="Arial"/>
                <w:sz w:val="16"/>
                <w:szCs w:val="16"/>
                <w:color w:val="auto"/>
              </w:rPr>
              <w:t>Stock Options</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260" w:type="dxa"/>
            <w:vAlign w:val="bottom"/>
            <w:tcBorders>
              <w:bottom w:val="single" w:sz="8" w:color="A7A9AC"/>
            </w:tcBorders>
          </w:tcPr>
          <w:p>
            <w:pPr>
              <w:spacing w:after="0" w:line="183" w:lineRule="exact"/>
              <w:rPr>
                <w:sz w:val="20"/>
                <w:szCs w:val="20"/>
                <w:color w:val="auto"/>
              </w:rPr>
            </w:pPr>
            <w:r>
              <w:rPr>
                <w:rFonts w:ascii="Arial" w:cs="Arial" w:eastAsia="Arial" w:hAnsi="Arial"/>
                <w:sz w:val="16"/>
                <w:szCs w:val="16"/>
                <w:color w:val="auto"/>
              </w:rPr>
              <w:t>Performance Cash</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10,242,317</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10,242,317</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2"/>
        </w:trPr>
        <w:tc>
          <w:tcPr>
            <w:tcW w:w="1820" w:type="dxa"/>
            <w:vAlign w:val="bottom"/>
          </w:tcPr>
          <w:p>
            <w:pPr>
              <w:spacing w:after="0"/>
              <w:rPr>
                <w:sz w:val="15"/>
                <w:szCs w:val="15"/>
                <w:color w:val="auto"/>
              </w:rPr>
            </w:pPr>
          </w:p>
        </w:tc>
        <w:tc>
          <w:tcPr>
            <w:tcW w:w="2260" w:type="dxa"/>
            <w:vAlign w:val="bottom"/>
            <w:tcBorders>
              <w:bottom w:val="single" w:sz="8" w:color="A7A9AC"/>
            </w:tcBorders>
          </w:tcPr>
          <w:p>
            <w:pPr>
              <w:spacing w:after="0" w:line="183" w:lineRule="exact"/>
              <w:rPr>
                <w:sz w:val="20"/>
                <w:szCs w:val="20"/>
                <w:color w:val="auto"/>
              </w:rPr>
            </w:pPr>
            <w:r>
              <w:rPr>
                <w:rFonts w:ascii="Arial" w:cs="Arial" w:eastAsia="Arial" w:hAnsi="Arial"/>
                <w:sz w:val="16"/>
                <w:szCs w:val="16"/>
                <w:color w:val="auto"/>
              </w:rPr>
              <w:t>Performance Shares</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13,347,435</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13,347,435</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260" w:type="dxa"/>
            <w:vAlign w:val="bottom"/>
            <w:tcBorders>
              <w:bottom w:val="single" w:sz="8" w:color="A7A9AC"/>
            </w:tcBorders>
          </w:tcPr>
          <w:p>
            <w:pPr>
              <w:spacing w:after="0" w:line="183" w:lineRule="exact"/>
              <w:rPr>
                <w:sz w:val="20"/>
                <w:szCs w:val="20"/>
                <w:color w:val="auto"/>
              </w:rPr>
            </w:pPr>
            <w:r>
              <w:rPr>
                <w:rFonts w:ascii="Arial" w:cs="Arial" w:eastAsia="Arial" w:hAnsi="Arial"/>
                <w:sz w:val="16"/>
                <w:szCs w:val="16"/>
                <w:color w:val="auto"/>
              </w:rPr>
              <w:t>Nonqualified Plans</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10,240,303</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10,240,303</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10,240,303</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10,240,303</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10,240,303</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10,240,303</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260" w:type="dxa"/>
            <w:vAlign w:val="bottom"/>
            <w:tcBorders>
              <w:bottom w:val="single" w:sz="8" w:color="CB233C"/>
            </w:tcBorders>
          </w:tcPr>
          <w:p>
            <w:pPr>
              <w:spacing w:after="0" w:line="183" w:lineRule="exact"/>
              <w:rPr>
                <w:sz w:val="20"/>
                <w:szCs w:val="20"/>
                <w:color w:val="auto"/>
              </w:rPr>
            </w:pPr>
            <w:r>
              <w:rPr>
                <w:rFonts w:ascii="Arial" w:cs="Arial" w:eastAsia="Arial" w:hAnsi="Arial"/>
                <w:sz w:val="16"/>
                <w:szCs w:val="16"/>
                <w:color w:val="auto"/>
              </w:rPr>
              <w:t>Health Benefits</w:t>
            </w:r>
          </w:p>
        </w:tc>
        <w:tc>
          <w:tcPr>
            <w:tcW w:w="10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12,000</w:t>
            </w:r>
          </w:p>
        </w:tc>
        <w:tc>
          <w:tcPr>
            <w:tcW w:w="106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12,000</w:t>
            </w:r>
          </w:p>
        </w:tc>
        <w:tc>
          <w:tcPr>
            <w:tcW w:w="104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CB233C"/>
            </w:tcBorders>
            <w:gridSpan w:val="2"/>
          </w:tcPr>
          <w:p>
            <w:pPr>
              <w:jc w:val="right"/>
              <w:ind w:right="100"/>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1820" w:type="dxa"/>
            <w:vAlign w:val="bottom"/>
            <w:tcBorders>
              <w:bottom w:val="single" w:sz="8" w:color="CB233C"/>
            </w:tcBorders>
          </w:tcPr>
          <w:p>
            <w:pPr>
              <w:spacing w:after="0"/>
              <w:rPr>
                <w:sz w:val="15"/>
                <w:szCs w:val="15"/>
                <w:color w:val="auto"/>
              </w:rPr>
            </w:pPr>
          </w:p>
        </w:tc>
        <w:tc>
          <w:tcPr>
            <w:tcW w:w="2260" w:type="dxa"/>
            <w:vAlign w:val="bottom"/>
            <w:tcBorders>
              <w:bottom w:val="single" w:sz="8" w:color="CB233C"/>
            </w:tcBorders>
          </w:tcPr>
          <w:p>
            <w:pPr>
              <w:spacing w:after="0" w:line="183" w:lineRule="exact"/>
              <w:rPr>
                <w:sz w:val="20"/>
                <w:szCs w:val="20"/>
                <w:color w:val="auto"/>
              </w:rPr>
            </w:pPr>
            <w:r>
              <w:rPr>
                <w:rFonts w:ascii="Arial" w:cs="Arial" w:eastAsia="Arial" w:hAnsi="Arial"/>
                <w:sz w:val="16"/>
                <w:szCs w:val="16"/>
                <w:b w:val="1"/>
                <w:bCs w:val="1"/>
                <w:color w:val="CB233C"/>
              </w:rPr>
              <w:t>TOTAL</w:t>
            </w:r>
          </w:p>
        </w:tc>
        <w:tc>
          <w:tcPr>
            <w:tcW w:w="10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10,240,303</w:t>
            </w:r>
          </w:p>
        </w:tc>
        <w:tc>
          <w:tcPr>
            <w:tcW w:w="10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10,252,303</w:t>
            </w:r>
          </w:p>
        </w:tc>
        <w:tc>
          <w:tcPr>
            <w:tcW w:w="106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b w:val="1"/>
                <w:bCs w:val="1"/>
                <w:color w:val="CB233C"/>
              </w:rPr>
              <w:t>45,702,894</w:t>
            </w:r>
          </w:p>
        </w:tc>
        <w:tc>
          <w:tcPr>
            <w:tcW w:w="104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45,690,894</w:t>
            </w:r>
          </w:p>
        </w:tc>
        <w:tc>
          <w:tcPr>
            <w:tcW w:w="10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10,240,303</w:t>
            </w:r>
          </w:p>
        </w:tc>
        <w:tc>
          <w:tcPr>
            <w:tcW w:w="1000" w:type="dxa"/>
            <w:vAlign w:val="bottom"/>
            <w:tcBorders>
              <w:bottom w:val="single" w:sz="8" w:color="CB233C"/>
            </w:tcBorders>
            <w:gridSpan w:val="2"/>
          </w:tcPr>
          <w:p>
            <w:pPr>
              <w:jc w:val="right"/>
              <w:ind w:right="100"/>
              <w:spacing w:after="0" w:line="183" w:lineRule="exact"/>
              <w:rPr>
                <w:sz w:val="20"/>
                <w:szCs w:val="20"/>
                <w:color w:val="auto"/>
              </w:rPr>
            </w:pPr>
            <w:r>
              <w:rPr>
                <w:rFonts w:ascii="Arial" w:cs="Arial" w:eastAsia="Arial" w:hAnsi="Arial"/>
                <w:sz w:val="16"/>
                <w:szCs w:val="16"/>
                <w:b w:val="1"/>
                <w:bCs w:val="1"/>
                <w:color w:val="CB233C"/>
              </w:rPr>
              <w:t>25,101,142</w:t>
            </w:r>
          </w:p>
        </w:tc>
        <w:tc>
          <w:tcPr>
            <w:tcW w:w="100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b w:val="1"/>
                <w:bCs w:val="1"/>
                <w:color w:val="CB233C"/>
              </w:rPr>
              <w:t>4,696,126</w:t>
            </w:r>
          </w:p>
        </w:tc>
        <w:tc>
          <w:tcPr>
            <w:tcW w:w="0" w:type="dxa"/>
            <w:vAlign w:val="bottom"/>
          </w:tcPr>
          <w:p>
            <w:pPr>
              <w:spacing w:after="0"/>
              <w:rPr>
                <w:sz w:val="1"/>
                <w:szCs w:val="1"/>
                <w:color w:val="auto"/>
              </w:rPr>
            </w:pPr>
          </w:p>
        </w:tc>
      </w:tr>
      <w:tr>
        <w:trPr>
          <w:trHeight w:val="196"/>
        </w:trPr>
        <w:tc>
          <w:tcPr>
            <w:tcW w:w="1820" w:type="dxa"/>
            <w:vAlign w:val="bottom"/>
          </w:tcPr>
          <w:p>
            <w:pPr>
              <w:ind w:left="60"/>
              <w:spacing w:after="0"/>
              <w:rPr>
                <w:sz w:val="20"/>
                <w:szCs w:val="20"/>
                <w:color w:val="auto"/>
              </w:rPr>
            </w:pPr>
            <w:r>
              <w:rPr>
                <w:rFonts w:ascii="Arial" w:cs="Arial" w:eastAsia="Arial" w:hAnsi="Arial"/>
                <w:sz w:val="16"/>
                <w:szCs w:val="16"/>
                <w:b w:val="1"/>
                <w:bCs w:val="1"/>
                <w:color w:val="auto"/>
              </w:rPr>
              <w:t>Lance Loeffler</w:t>
            </w:r>
          </w:p>
        </w:tc>
        <w:tc>
          <w:tcPr>
            <w:tcW w:w="2260" w:type="dxa"/>
            <w:vAlign w:val="bottom"/>
            <w:tcBorders>
              <w:bottom w:val="single" w:sz="8" w:color="A7A9AC"/>
            </w:tcBorders>
          </w:tcPr>
          <w:p>
            <w:pPr>
              <w:spacing w:after="0"/>
              <w:rPr>
                <w:sz w:val="20"/>
                <w:szCs w:val="20"/>
                <w:color w:val="auto"/>
              </w:rPr>
            </w:pPr>
            <w:r>
              <w:rPr>
                <w:rFonts w:ascii="Arial" w:cs="Arial" w:eastAsia="Arial" w:hAnsi="Arial"/>
                <w:sz w:val="16"/>
                <w:szCs w:val="16"/>
                <w:color w:val="auto"/>
              </w:rPr>
              <w:t>Severance</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1,520,000</w:t>
            </w:r>
          </w:p>
        </w:tc>
        <w:tc>
          <w:tcPr>
            <w:tcW w:w="10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260" w:type="dxa"/>
            <w:vAlign w:val="bottom"/>
            <w:tcBorders>
              <w:bottom w:val="single" w:sz="8" w:color="A7A9AC"/>
            </w:tcBorders>
          </w:tcPr>
          <w:p>
            <w:pPr>
              <w:spacing w:after="0" w:line="183" w:lineRule="exact"/>
              <w:rPr>
                <w:sz w:val="20"/>
                <w:szCs w:val="20"/>
                <w:color w:val="auto"/>
              </w:rPr>
            </w:pPr>
            <w:r>
              <w:rPr>
                <w:rFonts w:ascii="Arial" w:cs="Arial" w:eastAsia="Arial" w:hAnsi="Arial"/>
                <w:sz w:val="16"/>
                <w:szCs w:val="16"/>
                <w:color w:val="auto"/>
              </w:rPr>
              <w:t>Annual Perf. Pay Plan</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260" w:type="dxa"/>
            <w:vAlign w:val="bottom"/>
            <w:tcBorders>
              <w:bottom w:val="single" w:sz="8" w:color="A7A9AC"/>
            </w:tcBorders>
          </w:tcPr>
          <w:p>
            <w:pPr>
              <w:spacing w:after="0" w:line="183" w:lineRule="exact"/>
              <w:rPr>
                <w:sz w:val="20"/>
                <w:szCs w:val="20"/>
                <w:color w:val="auto"/>
              </w:rPr>
            </w:pPr>
            <w:r>
              <w:rPr>
                <w:rFonts w:ascii="Arial" w:cs="Arial" w:eastAsia="Arial" w:hAnsi="Arial"/>
                <w:sz w:val="16"/>
                <w:szCs w:val="16"/>
                <w:color w:val="auto"/>
              </w:rPr>
              <w:t>Restricted Stock</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2,307,126</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2,307,126</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2,307,126</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372,324</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260" w:type="dxa"/>
            <w:vAlign w:val="bottom"/>
            <w:tcBorders>
              <w:bottom w:val="single" w:sz="8" w:color="A7A9AC"/>
            </w:tcBorders>
          </w:tcPr>
          <w:p>
            <w:pPr>
              <w:spacing w:after="0" w:line="183" w:lineRule="exact"/>
              <w:rPr>
                <w:sz w:val="20"/>
                <w:szCs w:val="20"/>
                <w:color w:val="auto"/>
              </w:rPr>
            </w:pPr>
            <w:r>
              <w:rPr>
                <w:rFonts w:ascii="Arial" w:cs="Arial" w:eastAsia="Arial" w:hAnsi="Arial"/>
                <w:sz w:val="16"/>
                <w:szCs w:val="16"/>
                <w:color w:val="auto"/>
              </w:rPr>
              <w:t>Stock Options</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260" w:type="dxa"/>
            <w:vAlign w:val="bottom"/>
            <w:tcBorders>
              <w:bottom w:val="single" w:sz="8" w:color="A7A9AC"/>
            </w:tcBorders>
          </w:tcPr>
          <w:p>
            <w:pPr>
              <w:spacing w:after="0" w:line="183" w:lineRule="exact"/>
              <w:rPr>
                <w:sz w:val="20"/>
                <w:szCs w:val="20"/>
                <w:color w:val="auto"/>
              </w:rPr>
            </w:pPr>
            <w:r>
              <w:rPr>
                <w:rFonts w:ascii="Arial" w:cs="Arial" w:eastAsia="Arial" w:hAnsi="Arial"/>
                <w:sz w:val="16"/>
                <w:szCs w:val="16"/>
                <w:color w:val="auto"/>
              </w:rPr>
              <w:t>Performance Cash</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2,657,809</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2,657,809</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260" w:type="dxa"/>
            <w:vAlign w:val="bottom"/>
            <w:tcBorders>
              <w:bottom w:val="single" w:sz="8" w:color="A7A9AC"/>
            </w:tcBorders>
          </w:tcPr>
          <w:p>
            <w:pPr>
              <w:spacing w:after="0" w:line="183" w:lineRule="exact"/>
              <w:rPr>
                <w:sz w:val="20"/>
                <w:szCs w:val="20"/>
                <w:color w:val="auto"/>
              </w:rPr>
            </w:pPr>
            <w:r>
              <w:rPr>
                <w:rFonts w:ascii="Arial" w:cs="Arial" w:eastAsia="Arial" w:hAnsi="Arial"/>
                <w:sz w:val="16"/>
                <w:szCs w:val="16"/>
                <w:color w:val="auto"/>
              </w:rPr>
              <w:t>Performance Shares</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3,501,008</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3,501,008</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260" w:type="dxa"/>
            <w:vAlign w:val="bottom"/>
            <w:tcBorders>
              <w:bottom w:val="single" w:sz="8" w:color="A7A9AC"/>
            </w:tcBorders>
          </w:tcPr>
          <w:p>
            <w:pPr>
              <w:spacing w:after="0" w:line="183" w:lineRule="exact"/>
              <w:rPr>
                <w:sz w:val="20"/>
                <w:szCs w:val="20"/>
                <w:color w:val="auto"/>
              </w:rPr>
            </w:pPr>
            <w:r>
              <w:rPr>
                <w:rFonts w:ascii="Arial" w:cs="Arial" w:eastAsia="Arial" w:hAnsi="Arial"/>
                <w:sz w:val="16"/>
                <w:szCs w:val="16"/>
                <w:color w:val="auto"/>
              </w:rPr>
              <w:t>Nonqualified Plans</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109,904</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109,904</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109,904</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109,904</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109,904</w:t>
            </w:r>
          </w:p>
        </w:tc>
        <w:tc>
          <w:tcPr>
            <w:tcW w:w="9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109,904</w:t>
            </w:r>
          </w:p>
        </w:tc>
        <w:tc>
          <w:tcPr>
            <w:tcW w:w="100" w:type="dxa"/>
            <w:vAlign w:val="bottom"/>
            <w:tcBorders>
              <w:bottom w:val="single" w:sz="8" w:color="A7A9AC"/>
            </w:tcBorders>
          </w:tcPr>
          <w:p>
            <w:pPr>
              <w:spacing w:after="0"/>
              <w:rPr>
                <w:sz w:val="15"/>
                <w:szCs w:val="15"/>
                <w:color w:val="auto"/>
              </w:rPr>
            </w:pP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260" w:type="dxa"/>
            <w:vAlign w:val="bottom"/>
            <w:tcBorders>
              <w:bottom w:val="single" w:sz="8" w:color="CB233C"/>
            </w:tcBorders>
          </w:tcPr>
          <w:p>
            <w:pPr>
              <w:spacing w:after="0" w:line="183" w:lineRule="exact"/>
              <w:rPr>
                <w:sz w:val="20"/>
                <w:szCs w:val="20"/>
                <w:color w:val="auto"/>
              </w:rPr>
            </w:pPr>
            <w:r>
              <w:rPr>
                <w:rFonts w:ascii="Arial" w:cs="Arial" w:eastAsia="Arial" w:hAnsi="Arial"/>
                <w:sz w:val="16"/>
                <w:szCs w:val="16"/>
                <w:color w:val="auto"/>
              </w:rPr>
              <w:t>Health Benefits</w:t>
            </w:r>
          </w:p>
        </w:tc>
        <w:tc>
          <w:tcPr>
            <w:tcW w:w="10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6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0</w:t>
            </w:r>
          </w:p>
        </w:tc>
        <w:tc>
          <w:tcPr>
            <w:tcW w:w="104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CB233C"/>
            </w:tcBorders>
            <w:gridSpan w:val="2"/>
          </w:tcPr>
          <w:p>
            <w:pPr>
              <w:jc w:val="right"/>
              <w:ind w:right="100"/>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1820" w:type="dxa"/>
            <w:vAlign w:val="bottom"/>
            <w:tcBorders>
              <w:bottom w:val="single" w:sz="8" w:color="CB233C"/>
            </w:tcBorders>
          </w:tcPr>
          <w:p>
            <w:pPr>
              <w:spacing w:after="0"/>
              <w:rPr>
                <w:sz w:val="15"/>
                <w:szCs w:val="15"/>
                <w:color w:val="auto"/>
              </w:rPr>
            </w:pPr>
          </w:p>
        </w:tc>
        <w:tc>
          <w:tcPr>
            <w:tcW w:w="2260" w:type="dxa"/>
            <w:vAlign w:val="bottom"/>
            <w:tcBorders>
              <w:bottom w:val="single" w:sz="8" w:color="CB233C"/>
            </w:tcBorders>
          </w:tcPr>
          <w:p>
            <w:pPr>
              <w:spacing w:after="0" w:line="183" w:lineRule="exact"/>
              <w:rPr>
                <w:sz w:val="20"/>
                <w:szCs w:val="20"/>
                <w:color w:val="auto"/>
              </w:rPr>
            </w:pPr>
            <w:r>
              <w:rPr>
                <w:rFonts w:ascii="Arial" w:cs="Arial" w:eastAsia="Arial" w:hAnsi="Arial"/>
                <w:sz w:val="16"/>
                <w:szCs w:val="16"/>
                <w:b w:val="1"/>
                <w:bCs w:val="1"/>
                <w:color w:val="CB233C"/>
              </w:rPr>
              <w:t>TOTAL</w:t>
            </w:r>
          </w:p>
        </w:tc>
        <w:tc>
          <w:tcPr>
            <w:tcW w:w="10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109,904</w:t>
            </w:r>
          </w:p>
        </w:tc>
        <w:tc>
          <w:tcPr>
            <w:tcW w:w="10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109,904</w:t>
            </w:r>
          </w:p>
        </w:tc>
        <w:tc>
          <w:tcPr>
            <w:tcW w:w="106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b w:val="1"/>
                <w:bCs w:val="1"/>
                <w:color w:val="CB233C"/>
              </w:rPr>
              <w:t>8,575,847</w:t>
            </w:r>
          </w:p>
        </w:tc>
        <w:tc>
          <w:tcPr>
            <w:tcW w:w="104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8,575,847</w:t>
            </w:r>
          </w:p>
        </w:tc>
        <w:tc>
          <w:tcPr>
            <w:tcW w:w="10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109,904</w:t>
            </w:r>
          </w:p>
        </w:tc>
        <w:tc>
          <w:tcPr>
            <w:tcW w:w="1000" w:type="dxa"/>
            <w:vAlign w:val="bottom"/>
            <w:tcBorders>
              <w:bottom w:val="single" w:sz="8" w:color="CB233C"/>
            </w:tcBorders>
            <w:gridSpan w:val="2"/>
          </w:tcPr>
          <w:p>
            <w:pPr>
              <w:jc w:val="right"/>
              <w:ind w:right="100"/>
              <w:spacing w:after="0" w:line="183" w:lineRule="exact"/>
              <w:rPr>
                <w:sz w:val="20"/>
                <w:szCs w:val="20"/>
                <w:color w:val="auto"/>
              </w:rPr>
            </w:pPr>
            <w:r>
              <w:rPr>
                <w:rFonts w:ascii="Arial" w:cs="Arial" w:eastAsia="Arial" w:hAnsi="Arial"/>
                <w:sz w:val="16"/>
                <w:szCs w:val="16"/>
                <w:b w:val="1"/>
                <w:bCs w:val="1"/>
                <w:color w:val="CB233C"/>
              </w:rPr>
              <w:t>3,937,030</w:t>
            </w:r>
          </w:p>
        </w:tc>
        <w:tc>
          <w:tcPr>
            <w:tcW w:w="100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b w:val="1"/>
                <w:bCs w:val="1"/>
                <w:color w:val="CB233C"/>
              </w:rPr>
              <w:t>372,324</w:t>
            </w:r>
          </w:p>
        </w:tc>
        <w:tc>
          <w:tcPr>
            <w:tcW w:w="0" w:type="dxa"/>
            <w:vAlign w:val="bottom"/>
          </w:tcPr>
          <w:p>
            <w:pPr>
              <w:spacing w:after="0"/>
              <w:rPr>
                <w:sz w:val="1"/>
                <w:szCs w:val="1"/>
                <w:color w:val="auto"/>
              </w:rPr>
            </w:pPr>
          </w:p>
        </w:tc>
      </w:tr>
      <w:tr>
        <w:trPr>
          <w:trHeight w:val="196"/>
        </w:trPr>
        <w:tc>
          <w:tcPr>
            <w:tcW w:w="1820" w:type="dxa"/>
            <w:vAlign w:val="bottom"/>
          </w:tcPr>
          <w:p>
            <w:pPr>
              <w:ind w:left="60"/>
              <w:spacing w:after="0"/>
              <w:rPr>
                <w:sz w:val="20"/>
                <w:szCs w:val="20"/>
                <w:color w:val="auto"/>
              </w:rPr>
            </w:pPr>
            <w:r>
              <w:rPr>
                <w:rFonts w:ascii="Arial" w:cs="Arial" w:eastAsia="Arial" w:hAnsi="Arial"/>
                <w:sz w:val="16"/>
                <w:szCs w:val="16"/>
                <w:b w:val="1"/>
                <w:bCs w:val="1"/>
                <w:color w:val="auto"/>
              </w:rPr>
              <w:t>Eric J. Carre</w:t>
            </w:r>
          </w:p>
        </w:tc>
        <w:tc>
          <w:tcPr>
            <w:tcW w:w="2260" w:type="dxa"/>
            <w:vAlign w:val="bottom"/>
            <w:tcBorders>
              <w:bottom w:val="single" w:sz="8" w:color="A7A9AC"/>
            </w:tcBorders>
          </w:tcPr>
          <w:p>
            <w:pPr>
              <w:spacing w:after="0"/>
              <w:rPr>
                <w:sz w:val="20"/>
                <w:szCs w:val="20"/>
                <w:color w:val="auto"/>
              </w:rPr>
            </w:pPr>
            <w:r>
              <w:rPr>
                <w:rFonts w:ascii="Arial" w:cs="Arial" w:eastAsia="Arial" w:hAnsi="Arial"/>
                <w:sz w:val="16"/>
                <w:szCs w:val="16"/>
                <w:color w:val="auto"/>
              </w:rPr>
              <w:t>Severance</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1,600,000</w:t>
            </w:r>
          </w:p>
        </w:tc>
        <w:tc>
          <w:tcPr>
            <w:tcW w:w="10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260" w:type="dxa"/>
            <w:vAlign w:val="bottom"/>
            <w:tcBorders>
              <w:bottom w:val="single" w:sz="8" w:color="A7A9AC"/>
            </w:tcBorders>
          </w:tcPr>
          <w:p>
            <w:pPr>
              <w:spacing w:after="0" w:line="183" w:lineRule="exact"/>
              <w:rPr>
                <w:sz w:val="20"/>
                <w:szCs w:val="20"/>
                <w:color w:val="auto"/>
              </w:rPr>
            </w:pPr>
            <w:r>
              <w:rPr>
                <w:rFonts w:ascii="Arial" w:cs="Arial" w:eastAsia="Arial" w:hAnsi="Arial"/>
                <w:sz w:val="16"/>
                <w:szCs w:val="16"/>
                <w:color w:val="auto"/>
              </w:rPr>
              <w:t>Annual Perf. Pay Plan</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2"/>
        </w:trPr>
        <w:tc>
          <w:tcPr>
            <w:tcW w:w="1820" w:type="dxa"/>
            <w:vAlign w:val="bottom"/>
          </w:tcPr>
          <w:p>
            <w:pPr>
              <w:spacing w:after="0"/>
              <w:rPr>
                <w:sz w:val="15"/>
                <w:szCs w:val="15"/>
                <w:color w:val="auto"/>
              </w:rPr>
            </w:pPr>
          </w:p>
        </w:tc>
        <w:tc>
          <w:tcPr>
            <w:tcW w:w="2260" w:type="dxa"/>
            <w:vAlign w:val="bottom"/>
            <w:tcBorders>
              <w:bottom w:val="single" w:sz="8" w:color="A7A9AC"/>
            </w:tcBorders>
          </w:tcPr>
          <w:p>
            <w:pPr>
              <w:spacing w:after="0" w:line="183" w:lineRule="exact"/>
              <w:rPr>
                <w:sz w:val="20"/>
                <w:szCs w:val="20"/>
                <w:color w:val="auto"/>
              </w:rPr>
            </w:pPr>
            <w:r>
              <w:rPr>
                <w:rFonts w:ascii="Arial" w:cs="Arial" w:eastAsia="Arial" w:hAnsi="Arial"/>
                <w:sz w:val="16"/>
                <w:szCs w:val="16"/>
                <w:color w:val="auto"/>
              </w:rPr>
              <w:t>Restricted Stock</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2,226,623</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2,226,623</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2,226,623</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361,803</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260" w:type="dxa"/>
            <w:vAlign w:val="bottom"/>
            <w:tcBorders>
              <w:bottom w:val="single" w:sz="8" w:color="A7A9AC"/>
            </w:tcBorders>
          </w:tcPr>
          <w:p>
            <w:pPr>
              <w:spacing w:after="0" w:line="183" w:lineRule="exact"/>
              <w:rPr>
                <w:sz w:val="20"/>
                <w:szCs w:val="20"/>
                <w:color w:val="auto"/>
              </w:rPr>
            </w:pPr>
            <w:r>
              <w:rPr>
                <w:rFonts w:ascii="Arial" w:cs="Arial" w:eastAsia="Arial" w:hAnsi="Arial"/>
                <w:sz w:val="16"/>
                <w:szCs w:val="16"/>
                <w:color w:val="auto"/>
              </w:rPr>
              <w:t>Stock Options</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260" w:type="dxa"/>
            <w:vAlign w:val="bottom"/>
            <w:tcBorders>
              <w:bottom w:val="single" w:sz="8" w:color="A7A9AC"/>
            </w:tcBorders>
          </w:tcPr>
          <w:p>
            <w:pPr>
              <w:spacing w:after="0" w:line="183" w:lineRule="exact"/>
              <w:rPr>
                <w:sz w:val="20"/>
                <w:szCs w:val="20"/>
                <w:color w:val="auto"/>
              </w:rPr>
            </w:pPr>
            <w:r>
              <w:rPr>
                <w:rFonts w:ascii="Arial" w:cs="Arial" w:eastAsia="Arial" w:hAnsi="Arial"/>
                <w:sz w:val="16"/>
                <w:szCs w:val="16"/>
                <w:color w:val="auto"/>
              </w:rPr>
              <w:t>Performance Cash</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2,546,754</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2,546,754</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260" w:type="dxa"/>
            <w:vAlign w:val="bottom"/>
            <w:tcBorders>
              <w:bottom w:val="single" w:sz="8" w:color="A7A9AC"/>
            </w:tcBorders>
          </w:tcPr>
          <w:p>
            <w:pPr>
              <w:spacing w:after="0" w:line="183" w:lineRule="exact"/>
              <w:rPr>
                <w:sz w:val="20"/>
                <w:szCs w:val="20"/>
                <w:color w:val="auto"/>
              </w:rPr>
            </w:pPr>
            <w:r>
              <w:rPr>
                <w:rFonts w:ascii="Arial" w:cs="Arial" w:eastAsia="Arial" w:hAnsi="Arial"/>
                <w:sz w:val="16"/>
                <w:szCs w:val="16"/>
                <w:color w:val="auto"/>
              </w:rPr>
              <w:t>Performance Shares</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3,365,686</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3,365,686</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260" w:type="dxa"/>
            <w:vAlign w:val="bottom"/>
            <w:tcBorders>
              <w:bottom w:val="single" w:sz="8" w:color="A7A9AC"/>
            </w:tcBorders>
          </w:tcPr>
          <w:p>
            <w:pPr>
              <w:spacing w:after="0" w:line="183" w:lineRule="exact"/>
              <w:rPr>
                <w:sz w:val="20"/>
                <w:szCs w:val="20"/>
                <w:color w:val="auto"/>
              </w:rPr>
            </w:pPr>
            <w:r>
              <w:rPr>
                <w:rFonts w:ascii="Arial" w:cs="Arial" w:eastAsia="Arial" w:hAnsi="Arial"/>
                <w:sz w:val="16"/>
                <w:szCs w:val="16"/>
                <w:color w:val="auto"/>
              </w:rPr>
              <w:t>Nonqualified Plans</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3,964,527</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3,964,527</w:t>
            </w:r>
          </w:p>
        </w:tc>
        <w:tc>
          <w:tcPr>
            <w:tcW w:w="10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3,964,527</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3,964,527</w:t>
            </w:r>
          </w:p>
        </w:tc>
        <w:tc>
          <w:tcPr>
            <w:tcW w:w="10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3,964,527</w:t>
            </w:r>
          </w:p>
        </w:tc>
        <w:tc>
          <w:tcPr>
            <w:tcW w:w="1000" w:type="dxa"/>
            <w:vAlign w:val="bottom"/>
            <w:tcBorders>
              <w:bottom w:val="single" w:sz="8" w:color="A7A9AC"/>
            </w:tcBorders>
            <w:gridSpan w:val="2"/>
          </w:tcPr>
          <w:p>
            <w:pPr>
              <w:jc w:val="right"/>
              <w:ind w:right="100"/>
              <w:spacing w:after="0" w:line="183" w:lineRule="exact"/>
              <w:rPr>
                <w:sz w:val="20"/>
                <w:szCs w:val="20"/>
                <w:color w:val="auto"/>
              </w:rPr>
            </w:pPr>
            <w:r>
              <w:rPr>
                <w:rFonts w:ascii="Arial" w:cs="Arial" w:eastAsia="Arial" w:hAnsi="Arial"/>
                <w:sz w:val="16"/>
                <w:szCs w:val="16"/>
                <w:color w:val="auto"/>
              </w:rPr>
              <w:t>3,964,527</w:t>
            </w:r>
          </w:p>
        </w:tc>
        <w:tc>
          <w:tcPr>
            <w:tcW w:w="10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260" w:type="dxa"/>
            <w:vAlign w:val="bottom"/>
            <w:tcBorders>
              <w:bottom w:val="single" w:sz="8" w:color="CB233C"/>
            </w:tcBorders>
          </w:tcPr>
          <w:p>
            <w:pPr>
              <w:spacing w:after="0" w:line="183" w:lineRule="exact"/>
              <w:rPr>
                <w:sz w:val="20"/>
                <w:szCs w:val="20"/>
                <w:color w:val="auto"/>
              </w:rPr>
            </w:pPr>
            <w:r>
              <w:rPr>
                <w:rFonts w:ascii="Arial" w:cs="Arial" w:eastAsia="Arial" w:hAnsi="Arial"/>
                <w:sz w:val="16"/>
                <w:szCs w:val="16"/>
                <w:color w:val="auto"/>
              </w:rPr>
              <w:t>Health Benefits</w:t>
            </w:r>
          </w:p>
        </w:tc>
        <w:tc>
          <w:tcPr>
            <w:tcW w:w="10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6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0</w:t>
            </w:r>
          </w:p>
        </w:tc>
        <w:tc>
          <w:tcPr>
            <w:tcW w:w="104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CB233C"/>
            </w:tcBorders>
            <w:gridSpan w:val="2"/>
          </w:tcPr>
          <w:p>
            <w:pPr>
              <w:jc w:val="right"/>
              <w:ind w:right="100"/>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1820" w:type="dxa"/>
            <w:vAlign w:val="bottom"/>
            <w:tcBorders>
              <w:bottom w:val="single" w:sz="8" w:color="CB233C"/>
            </w:tcBorders>
          </w:tcPr>
          <w:p>
            <w:pPr>
              <w:spacing w:after="0"/>
              <w:rPr>
                <w:sz w:val="15"/>
                <w:szCs w:val="15"/>
                <w:color w:val="auto"/>
              </w:rPr>
            </w:pPr>
          </w:p>
        </w:tc>
        <w:tc>
          <w:tcPr>
            <w:tcW w:w="2260" w:type="dxa"/>
            <w:vAlign w:val="bottom"/>
            <w:tcBorders>
              <w:bottom w:val="single" w:sz="8" w:color="CB233C"/>
            </w:tcBorders>
          </w:tcPr>
          <w:p>
            <w:pPr>
              <w:spacing w:after="0" w:line="183" w:lineRule="exact"/>
              <w:rPr>
                <w:sz w:val="20"/>
                <w:szCs w:val="20"/>
                <w:color w:val="auto"/>
              </w:rPr>
            </w:pPr>
            <w:r>
              <w:rPr>
                <w:rFonts w:ascii="Arial" w:cs="Arial" w:eastAsia="Arial" w:hAnsi="Arial"/>
                <w:sz w:val="16"/>
                <w:szCs w:val="16"/>
                <w:b w:val="1"/>
                <w:bCs w:val="1"/>
                <w:color w:val="CB233C"/>
              </w:rPr>
              <w:t>TOTAL</w:t>
            </w:r>
          </w:p>
        </w:tc>
        <w:tc>
          <w:tcPr>
            <w:tcW w:w="10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3,964,527</w:t>
            </w:r>
          </w:p>
        </w:tc>
        <w:tc>
          <w:tcPr>
            <w:tcW w:w="10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3,964,527</w:t>
            </w:r>
          </w:p>
        </w:tc>
        <w:tc>
          <w:tcPr>
            <w:tcW w:w="106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b w:val="1"/>
                <w:bCs w:val="1"/>
                <w:color w:val="CB233C"/>
              </w:rPr>
              <w:t>12,103,590</w:t>
            </w:r>
          </w:p>
        </w:tc>
        <w:tc>
          <w:tcPr>
            <w:tcW w:w="104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12,103,590</w:t>
            </w:r>
          </w:p>
        </w:tc>
        <w:tc>
          <w:tcPr>
            <w:tcW w:w="102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CB233C"/>
              </w:rPr>
              <w:t>3,964,527</w:t>
            </w:r>
          </w:p>
        </w:tc>
        <w:tc>
          <w:tcPr>
            <w:tcW w:w="1000" w:type="dxa"/>
            <w:vAlign w:val="bottom"/>
            <w:tcBorders>
              <w:bottom w:val="single" w:sz="8" w:color="CB233C"/>
            </w:tcBorders>
            <w:gridSpan w:val="2"/>
          </w:tcPr>
          <w:p>
            <w:pPr>
              <w:jc w:val="right"/>
              <w:ind w:right="100"/>
              <w:spacing w:after="0" w:line="183" w:lineRule="exact"/>
              <w:rPr>
                <w:sz w:val="20"/>
                <w:szCs w:val="20"/>
                <w:color w:val="auto"/>
              </w:rPr>
            </w:pPr>
            <w:r>
              <w:rPr>
                <w:rFonts w:ascii="Arial" w:cs="Arial" w:eastAsia="Arial" w:hAnsi="Arial"/>
                <w:sz w:val="16"/>
                <w:szCs w:val="16"/>
                <w:b w:val="1"/>
                <w:bCs w:val="1"/>
                <w:color w:val="CB233C"/>
              </w:rPr>
              <w:t>7,791,150</w:t>
            </w:r>
          </w:p>
        </w:tc>
        <w:tc>
          <w:tcPr>
            <w:tcW w:w="1000" w:type="dxa"/>
            <w:vAlign w:val="bottom"/>
            <w:tcBorders>
              <w:bottom w:val="single" w:sz="8" w:color="CB233C"/>
            </w:tcBorders>
          </w:tcPr>
          <w:p>
            <w:pPr>
              <w:jc w:val="right"/>
              <w:spacing w:after="0" w:line="183" w:lineRule="exact"/>
              <w:rPr>
                <w:sz w:val="20"/>
                <w:szCs w:val="20"/>
                <w:color w:val="auto"/>
              </w:rPr>
            </w:pPr>
            <w:r>
              <w:rPr>
                <w:rFonts w:ascii="Arial" w:cs="Arial" w:eastAsia="Arial" w:hAnsi="Arial"/>
                <w:sz w:val="16"/>
                <w:szCs w:val="16"/>
                <w:b w:val="1"/>
                <w:bCs w:val="1"/>
                <w:color w:val="CB233C"/>
              </w:rPr>
              <w:t>361,803</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886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1740" w:type="dxa"/>
            <w:vAlign w:val="bottom"/>
            <w:gridSpan w:val="2"/>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Back to Contents</w:t>
              </w:r>
            </w:hyperlink>
          </w:p>
        </w:tc>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2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20" w:type="dxa"/>
            <w:vAlign w:val="bottom"/>
            <w:tcBorders>
              <w:bottom w:val="single" w:sz="8" w:color="CB233C"/>
            </w:tcBorders>
          </w:tcPr>
          <w:p>
            <w:pPr>
              <w:spacing w:after="0"/>
              <w:rPr>
                <w:sz w:val="24"/>
                <w:szCs w:val="24"/>
                <w:color w:val="auto"/>
              </w:rPr>
            </w:pPr>
          </w:p>
        </w:tc>
        <w:tc>
          <w:tcPr>
            <w:tcW w:w="1040" w:type="dxa"/>
            <w:vAlign w:val="bottom"/>
            <w:tcBorders>
              <w:bottom w:val="single" w:sz="8" w:color="CB233C"/>
            </w:tcBorders>
          </w:tcPr>
          <w:p>
            <w:pPr>
              <w:spacing w:after="0"/>
              <w:rPr>
                <w:sz w:val="24"/>
                <w:szCs w:val="24"/>
                <w:color w:val="auto"/>
              </w:rPr>
            </w:pPr>
          </w:p>
        </w:tc>
        <w:tc>
          <w:tcPr>
            <w:tcW w:w="2120" w:type="dxa"/>
            <w:vAlign w:val="bottom"/>
            <w:tcBorders>
              <w:bottom w:val="single" w:sz="8" w:color="CB233C"/>
            </w:tcBorders>
            <w:gridSpan w:val="2"/>
          </w:tcPr>
          <w:p>
            <w:pPr>
              <w:jc w:val="right"/>
              <w:ind w:right="359"/>
              <w:spacing w:after="0"/>
              <w:rPr>
                <w:sz w:val="20"/>
                <w:szCs w:val="20"/>
                <w:color w:val="auto"/>
              </w:rPr>
            </w:pPr>
            <w:r>
              <w:rPr>
                <w:rFonts w:ascii="Arial" w:cs="Arial" w:eastAsia="Arial" w:hAnsi="Arial"/>
                <w:sz w:val="16"/>
                <w:szCs w:val="16"/>
                <w:b w:val="1"/>
                <w:bCs w:val="1"/>
                <w:color w:val="auto"/>
              </w:rPr>
              <w:t>Termination Event</w:t>
            </w:r>
          </w:p>
        </w:tc>
        <w:tc>
          <w:tcPr>
            <w:tcW w:w="1020" w:type="dxa"/>
            <w:vAlign w:val="bottom"/>
            <w:tcBorders>
              <w:bottom w:val="single" w:sz="8" w:color="CB233C"/>
            </w:tcBorders>
          </w:tcPr>
          <w:p>
            <w:pPr>
              <w:spacing w:after="0"/>
              <w:rPr>
                <w:sz w:val="24"/>
                <w:szCs w:val="24"/>
                <w:color w:val="auto"/>
              </w:rPr>
            </w:pPr>
          </w:p>
        </w:tc>
        <w:tc>
          <w:tcPr>
            <w:tcW w:w="900" w:type="dxa"/>
            <w:vAlign w:val="bottom"/>
            <w:tcBorders>
              <w:bottom w:val="single" w:sz="8" w:color="CB233C"/>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right"/>
              <w:ind w:right="19"/>
              <w:spacing w:after="0" w:line="168" w:lineRule="exact"/>
              <w:rPr>
                <w:sz w:val="20"/>
                <w:szCs w:val="20"/>
                <w:color w:val="auto"/>
              </w:rPr>
            </w:pPr>
            <w:r>
              <w:rPr>
                <w:rFonts w:ascii="Arial" w:cs="Arial" w:eastAsia="Arial" w:hAnsi="Arial"/>
                <w:sz w:val="16"/>
                <w:szCs w:val="16"/>
                <w:b w:val="1"/>
                <w:bCs w:val="1"/>
                <w:color w:val="auto"/>
              </w:rPr>
              <w:t>Early</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Retirement</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Early</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Term</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w/o</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Retirement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Normal</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Term</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w/o</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Change-in-</w:t>
            </w:r>
          </w:p>
        </w:tc>
        <w:tc>
          <w:tcPr>
            <w:tcW w:w="0" w:type="dxa"/>
            <w:vAlign w:val="bottom"/>
          </w:tcPr>
          <w:p>
            <w:pPr>
              <w:spacing w:after="0"/>
              <w:rPr>
                <w:sz w:val="1"/>
                <w:szCs w:val="1"/>
                <w:color w:val="auto"/>
              </w:rPr>
            </w:pPr>
          </w:p>
        </w:tc>
      </w:tr>
      <w:tr>
        <w:trPr>
          <w:trHeight w:val="189"/>
        </w:trPr>
        <w:tc>
          <w:tcPr>
            <w:tcW w:w="17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Name</w:t>
            </w:r>
          </w:p>
        </w:tc>
        <w:tc>
          <w:tcPr>
            <w:tcW w:w="23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w w:val="98"/>
              </w:rPr>
              <w:t>Resignation</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Approval</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w/Approval</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Retirement</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for Cause</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Cause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Control</w:t>
            </w:r>
          </w:p>
        </w:tc>
        <w:tc>
          <w:tcPr>
            <w:tcW w:w="0" w:type="dxa"/>
            <w:vAlign w:val="bottom"/>
          </w:tcPr>
          <w:p>
            <w:pPr>
              <w:spacing w:after="0"/>
              <w:rPr>
                <w:sz w:val="1"/>
                <w:szCs w:val="1"/>
                <w:color w:val="auto"/>
              </w:rPr>
            </w:pPr>
          </w:p>
        </w:tc>
      </w:tr>
      <w:tr>
        <w:trPr>
          <w:trHeight w:val="203"/>
        </w:trPr>
        <w:tc>
          <w:tcPr>
            <w:tcW w:w="1740" w:type="dxa"/>
            <w:vAlign w:val="bottom"/>
            <w:tcBorders>
              <w:bottom w:val="single" w:sz="8" w:color="CB233C"/>
            </w:tcBorders>
            <w:gridSpan w:val="2"/>
            <w:vMerge w:val="continue"/>
          </w:tcPr>
          <w:p>
            <w:pPr>
              <w:spacing w:after="0"/>
              <w:rPr>
                <w:sz w:val="17"/>
                <w:szCs w:val="17"/>
                <w:color w:val="auto"/>
              </w:rPr>
            </w:pPr>
          </w:p>
        </w:tc>
        <w:tc>
          <w:tcPr>
            <w:tcW w:w="2300" w:type="dxa"/>
            <w:vAlign w:val="bottom"/>
            <w:tcBorders>
              <w:bottom w:val="single" w:sz="8" w:color="CB233C"/>
            </w:tcBorders>
          </w:tcPr>
          <w:p>
            <w:pPr>
              <w:spacing w:after="0"/>
              <w:rPr>
                <w:sz w:val="20"/>
                <w:szCs w:val="20"/>
                <w:color w:val="auto"/>
              </w:rPr>
            </w:pPr>
            <w:r>
              <w:rPr>
                <w:rFonts w:ascii="Arial" w:cs="Arial" w:eastAsia="Arial" w:hAnsi="Arial"/>
                <w:sz w:val="16"/>
                <w:szCs w:val="16"/>
                <w:b w:val="1"/>
                <w:bCs w:val="1"/>
                <w:color w:val="auto"/>
              </w:rPr>
              <w:t>Payments</w:t>
            </w:r>
          </w:p>
        </w:tc>
        <w:tc>
          <w:tcPr>
            <w:tcW w:w="102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B233C"/>
            </w:tcBorders>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6"/>
        </w:trPr>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Joe D. Rainey</w:t>
            </w:r>
          </w:p>
        </w:tc>
        <w:tc>
          <w:tcPr>
            <w:tcW w:w="2300" w:type="dxa"/>
            <w:vAlign w:val="bottom"/>
            <w:tcBorders>
              <w:bottom w:val="single" w:sz="8" w:color="A7A9AC"/>
            </w:tcBorders>
          </w:tcPr>
          <w:p>
            <w:pPr>
              <w:spacing w:after="0"/>
              <w:rPr>
                <w:sz w:val="20"/>
                <w:szCs w:val="20"/>
                <w:color w:val="auto"/>
              </w:rPr>
            </w:pPr>
            <w:r>
              <w:rPr>
                <w:rFonts w:ascii="Arial" w:cs="Arial" w:eastAsia="Arial" w:hAnsi="Arial"/>
                <w:sz w:val="16"/>
                <w:szCs w:val="16"/>
                <w:color w:val="auto"/>
              </w:rPr>
              <w:t>Severance</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1,820,000</w:t>
            </w:r>
          </w:p>
        </w:tc>
        <w:tc>
          <w:tcPr>
            <w:tcW w:w="10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tcBorders>
              <w:bottom w:val="single" w:sz="8" w:color="A7A9AC"/>
            </w:tcBorders>
          </w:tcPr>
          <w:p>
            <w:pPr>
              <w:spacing w:after="0"/>
              <w:rPr>
                <w:sz w:val="20"/>
                <w:szCs w:val="20"/>
                <w:color w:val="auto"/>
              </w:rPr>
            </w:pPr>
            <w:r>
              <w:rPr>
                <w:rFonts w:ascii="Arial" w:cs="Arial" w:eastAsia="Arial" w:hAnsi="Arial"/>
                <w:sz w:val="16"/>
                <w:szCs w:val="16"/>
                <w:color w:val="auto"/>
              </w:rPr>
              <w:t>Annual Perf. Pay Plan</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tcBorders>
              <w:bottom w:val="single" w:sz="8" w:color="A7A9AC"/>
            </w:tcBorders>
          </w:tcPr>
          <w:p>
            <w:pPr>
              <w:spacing w:after="0"/>
              <w:rPr>
                <w:sz w:val="20"/>
                <w:szCs w:val="20"/>
                <w:color w:val="auto"/>
              </w:rPr>
            </w:pPr>
            <w:r>
              <w:rPr>
                <w:rFonts w:ascii="Arial" w:cs="Arial" w:eastAsia="Arial" w:hAnsi="Arial"/>
                <w:sz w:val="16"/>
                <w:szCs w:val="16"/>
                <w:color w:val="auto"/>
              </w:rPr>
              <w:t>Restricted Stock</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4,188,160</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4,188,160</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4,188,160</w:t>
            </w:r>
          </w:p>
        </w:tc>
        <w:tc>
          <w:tcPr>
            <w:tcW w:w="10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1,719,115</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tcBorders>
              <w:bottom w:val="single" w:sz="8" w:color="A7A9AC"/>
            </w:tcBorders>
          </w:tcPr>
          <w:p>
            <w:pPr>
              <w:spacing w:after="0"/>
              <w:rPr>
                <w:sz w:val="20"/>
                <w:szCs w:val="20"/>
                <w:color w:val="auto"/>
              </w:rPr>
            </w:pPr>
            <w:r>
              <w:rPr>
                <w:rFonts w:ascii="Arial" w:cs="Arial" w:eastAsia="Arial" w:hAnsi="Arial"/>
                <w:sz w:val="16"/>
                <w:szCs w:val="16"/>
                <w:color w:val="auto"/>
              </w:rPr>
              <w:t>Stock Options</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tcBorders>
              <w:bottom w:val="single" w:sz="8" w:color="A7A9AC"/>
            </w:tcBorders>
          </w:tcPr>
          <w:p>
            <w:pPr>
              <w:spacing w:after="0"/>
              <w:rPr>
                <w:sz w:val="20"/>
                <w:szCs w:val="20"/>
                <w:color w:val="auto"/>
              </w:rPr>
            </w:pPr>
            <w:r>
              <w:rPr>
                <w:rFonts w:ascii="Arial" w:cs="Arial" w:eastAsia="Arial" w:hAnsi="Arial"/>
                <w:sz w:val="16"/>
                <w:szCs w:val="16"/>
                <w:color w:val="auto"/>
              </w:rPr>
              <w:t>Performance Cash</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3,384,279</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3,384,279</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tcBorders>
              <w:bottom w:val="single" w:sz="8" w:color="A7A9AC"/>
            </w:tcBorders>
          </w:tcPr>
          <w:p>
            <w:pPr>
              <w:spacing w:after="0"/>
              <w:rPr>
                <w:sz w:val="20"/>
                <w:szCs w:val="20"/>
                <w:color w:val="auto"/>
              </w:rPr>
            </w:pPr>
            <w:r>
              <w:rPr>
                <w:rFonts w:ascii="Arial" w:cs="Arial" w:eastAsia="Arial" w:hAnsi="Arial"/>
                <w:sz w:val="16"/>
                <w:szCs w:val="16"/>
                <w:color w:val="auto"/>
              </w:rPr>
              <w:t>Performance Shares</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4,463,446</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4,463,446</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tcBorders>
              <w:bottom w:val="single" w:sz="8" w:color="A7A9AC"/>
            </w:tcBorders>
          </w:tcPr>
          <w:p>
            <w:pPr>
              <w:spacing w:after="0"/>
              <w:rPr>
                <w:sz w:val="20"/>
                <w:szCs w:val="20"/>
                <w:color w:val="auto"/>
              </w:rPr>
            </w:pPr>
            <w:r>
              <w:rPr>
                <w:rFonts w:ascii="Arial" w:cs="Arial" w:eastAsia="Arial" w:hAnsi="Arial"/>
                <w:sz w:val="16"/>
                <w:szCs w:val="16"/>
                <w:color w:val="auto"/>
              </w:rPr>
              <w:t>Nonqualified Plans</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13,935,416</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13,935,416</w:t>
            </w:r>
          </w:p>
        </w:tc>
        <w:tc>
          <w:tcPr>
            <w:tcW w:w="10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13,935,416</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13,935,416</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13,935,416</w:t>
            </w:r>
          </w:p>
        </w:tc>
        <w:tc>
          <w:tcPr>
            <w:tcW w:w="1000" w:type="dxa"/>
            <w:vAlign w:val="bottom"/>
            <w:tcBorders>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13,935,416</w:t>
            </w:r>
          </w:p>
        </w:tc>
        <w:tc>
          <w:tcPr>
            <w:tcW w:w="10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tcBorders>
              <w:bottom w:val="single" w:sz="8" w:color="CB233C"/>
            </w:tcBorders>
          </w:tcPr>
          <w:p>
            <w:pPr>
              <w:spacing w:after="0"/>
              <w:rPr>
                <w:sz w:val="20"/>
                <w:szCs w:val="20"/>
                <w:color w:val="auto"/>
              </w:rPr>
            </w:pPr>
            <w:r>
              <w:rPr>
                <w:rFonts w:ascii="Arial" w:cs="Arial" w:eastAsia="Arial" w:hAnsi="Arial"/>
                <w:sz w:val="16"/>
                <w:szCs w:val="16"/>
                <w:color w:val="auto"/>
              </w:rPr>
              <w:t>Health Benefits</w:t>
            </w:r>
          </w:p>
        </w:tc>
        <w:tc>
          <w:tcPr>
            <w:tcW w:w="102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12,000</w:t>
            </w:r>
          </w:p>
        </w:tc>
        <w:tc>
          <w:tcPr>
            <w:tcW w:w="108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12,000</w:t>
            </w:r>
          </w:p>
        </w:tc>
        <w:tc>
          <w:tcPr>
            <w:tcW w:w="104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CB233C"/>
            </w:tcBorders>
            <w:gridSpan w:val="2"/>
          </w:tcPr>
          <w:p>
            <w:pPr>
              <w:jc w:val="right"/>
              <w:ind w:right="100"/>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200" w:type="dxa"/>
            <w:vAlign w:val="bottom"/>
            <w:tcBorders>
              <w:bottom w:val="single" w:sz="8" w:color="CB233C"/>
            </w:tcBorders>
          </w:tcPr>
          <w:p>
            <w:pPr>
              <w:spacing w:after="0"/>
              <w:rPr>
                <w:sz w:val="17"/>
                <w:szCs w:val="17"/>
                <w:color w:val="auto"/>
              </w:rPr>
            </w:pPr>
          </w:p>
        </w:tc>
        <w:tc>
          <w:tcPr>
            <w:tcW w:w="540" w:type="dxa"/>
            <w:vAlign w:val="bottom"/>
            <w:tcBorders>
              <w:bottom w:val="single" w:sz="8" w:color="CB233C"/>
            </w:tcBorders>
          </w:tcPr>
          <w:p>
            <w:pPr>
              <w:spacing w:after="0"/>
              <w:rPr>
                <w:sz w:val="17"/>
                <w:szCs w:val="17"/>
                <w:color w:val="auto"/>
              </w:rPr>
            </w:pPr>
          </w:p>
        </w:tc>
        <w:tc>
          <w:tcPr>
            <w:tcW w:w="2300" w:type="dxa"/>
            <w:vAlign w:val="bottom"/>
            <w:tcBorders>
              <w:bottom w:val="single" w:sz="8" w:color="CB233C"/>
            </w:tcBorders>
          </w:tcPr>
          <w:p>
            <w:pPr>
              <w:spacing w:after="0"/>
              <w:rPr>
                <w:sz w:val="20"/>
                <w:szCs w:val="20"/>
                <w:color w:val="auto"/>
              </w:rPr>
            </w:pPr>
            <w:r>
              <w:rPr>
                <w:rFonts w:ascii="Arial" w:cs="Arial" w:eastAsia="Arial" w:hAnsi="Arial"/>
                <w:sz w:val="16"/>
                <w:szCs w:val="16"/>
                <w:b w:val="1"/>
                <w:bCs w:val="1"/>
                <w:color w:val="CB233C"/>
              </w:rPr>
              <w:t>TOTAL</w:t>
            </w:r>
          </w:p>
        </w:tc>
        <w:tc>
          <w:tcPr>
            <w:tcW w:w="102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CB233C"/>
              </w:rPr>
              <w:t>13,935,416</w:t>
            </w:r>
          </w:p>
        </w:tc>
        <w:tc>
          <w:tcPr>
            <w:tcW w:w="104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CB233C"/>
              </w:rPr>
              <w:t>13,947,416</w:t>
            </w:r>
          </w:p>
        </w:tc>
        <w:tc>
          <w:tcPr>
            <w:tcW w:w="108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CB233C"/>
              </w:rPr>
              <w:t>25,983,301</w:t>
            </w:r>
          </w:p>
        </w:tc>
        <w:tc>
          <w:tcPr>
            <w:tcW w:w="104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CB233C"/>
              </w:rPr>
              <w:t>25,971,301</w:t>
            </w:r>
          </w:p>
        </w:tc>
        <w:tc>
          <w:tcPr>
            <w:tcW w:w="102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CB233C"/>
              </w:rPr>
              <w:t>13,935,416</w:t>
            </w:r>
          </w:p>
        </w:tc>
        <w:tc>
          <w:tcPr>
            <w:tcW w:w="1000" w:type="dxa"/>
            <w:vAlign w:val="bottom"/>
            <w:tcBorders>
              <w:bottom w:val="single" w:sz="8" w:color="CB233C"/>
            </w:tcBorders>
            <w:gridSpan w:val="2"/>
          </w:tcPr>
          <w:p>
            <w:pPr>
              <w:jc w:val="right"/>
              <w:ind w:right="100"/>
              <w:spacing w:after="0"/>
              <w:rPr>
                <w:sz w:val="20"/>
                <w:szCs w:val="20"/>
                <w:color w:val="auto"/>
              </w:rPr>
            </w:pPr>
            <w:r>
              <w:rPr>
                <w:rFonts w:ascii="Arial" w:cs="Arial" w:eastAsia="Arial" w:hAnsi="Arial"/>
                <w:sz w:val="16"/>
                <w:szCs w:val="16"/>
                <w:b w:val="1"/>
                <w:bCs w:val="1"/>
                <w:color w:val="CB233C"/>
              </w:rPr>
              <w:t>19,943,576</w:t>
            </w:r>
          </w:p>
        </w:tc>
        <w:tc>
          <w:tcPr>
            <w:tcW w:w="100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CB233C"/>
              </w:rPr>
              <w:t>1,719,115</w:t>
            </w:r>
          </w:p>
        </w:tc>
        <w:tc>
          <w:tcPr>
            <w:tcW w:w="0" w:type="dxa"/>
            <w:vAlign w:val="bottom"/>
          </w:tcPr>
          <w:p>
            <w:pPr>
              <w:spacing w:after="0"/>
              <w:rPr>
                <w:sz w:val="1"/>
                <w:szCs w:val="1"/>
                <w:color w:val="auto"/>
              </w:rPr>
            </w:pPr>
          </w:p>
        </w:tc>
      </w:tr>
      <w:tr>
        <w:trPr>
          <w:trHeight w:val="196"/>
        </w:trPr>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Mark J. Richard</w:t>
            </w:r>
          </w:p>
        </w:tc>
        <w:tc>
          <w:tcPr>
            <w:tcW w:w="2300" w:type="dxa"/>
            <w:vAlign w:val="bottom"/>
            <w:tcBorders>
              <w:bottom w:val="single" w:sz="8" w:color="A7A9AC"/>
            </w:tcBorders>
          </w:tcPr>
          <w:p>
            <w:pPr>
              <w:spacing w:after="0"/>
              <w:rPr>
                <w:sz w:val="20"/>
                <w:szCs w:val="20"/>
                <w:color w:val="auto"/>
              </w:rPr>
            </w:pPr>
            <w:r>
              <w:rPr>
                <w:rFonts w:ascii="Arial" w:cs="Arial" w:eastAsia="Arial" w:hAnsi="Arial"/>
                <w:sz w:val="16"/>
                <w:szCs w:val="16"/>
                <w:color w:val="auto"/>
              </w:rPr>
              <w:t>Severance</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1,620,000</w:t>
            </w:r>
          </w:p>
        </w:tc>
        <w:tc>
          <w:tcPr>
            <w:tcW w:w="10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tcBorders>
              <w:bottom w:val="single" w:sz="8" w:color="A7A9AC"/>
            </w:tcBorders>
          </w:tcPr>
          <w:p>
            <w:pPr>
              <w:spacing w:after="0"/>
              <w:rPr>
                <w:sz w:val="20"/>
                <w:szCs w:val="20"/>
                <w:color w:val="auto"/>
              </w:rPr>
            </w:pPr>
            <w:r>
              <w:rPr>
                <w:rFonts w:ascii="Arial" w:cs="Arial" w:eastAsia="Arial" w:hAnsi="Arial"/>
                <w:sz w:val="16"/>
                <w:szCs w:val="16"/>
                <w:color w:val="auto"/>
              </w:rPr>
              <w:t>Annual Perf. Pay Plan</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tcBorders>
              <w:bottom w:val="single" w:sz="8" w:color="A7A9AC"/>
            </w:tcBorders>
          </w:tcPr>
          <w:p>
            <w:pPr>
              <w:spacing w:after="0"/>
              <w:rPr>
                <w:sz w:val="20"/>
                <w:szCs w:val="20"/>
                <w:color w:val="auto"/>
              </w:rPr>
            </w:pPr>
            <w:r>
              <w:rPr>
                <w:rFonts w:ascii="Arial" w:cs="Arial" w:eastAsia="Arial" w:hAnsi="Arial"/>
                <w:sz w:val="16"/>
                <w:szCs w:val="16"/>
                <w:color w:val="auto"/>
              </w:rPr>
              <w:t>Restricted Stock</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2,850,540</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2,850,540</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2,850,540</w:t>
            </w:r>
          </w:p>
        </w:tc>
        <w:tc>
          <w:tcPr>
            <w:tcW w:w="10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412,598</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tcBorders>
              <w:bottom w:val="single" w:sz="8" w:color="A7A9AC"/>
            </w:tcBorders>
          </w:tcPr>
          <w:p>
            <w:pPr>
              <w:spacing w:after="0"/>
              <w:rPr>
                <w:sz w:val="20"/>
                <w:szCs w:val="20"/>
                <w:color w:val="auto"/>
              </w:rPr>
            </w:pPr>
            <w:r>
              <w:rPr>
                <w:rFonts w:ascii="Arial" w:cs="Arial" w:eastAsia="Arial" w:hAnsi="Arial"/>
                <w:sz w:val="16"/>
                <w:szCs w:val="16"/>
                <w:color w:val="auto"/>
              </w:rPr>
              <w:t>Stock Options</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tcBorders>
              <w:bottom w:val="single" w:sz="8" w:color="A7A9AC"/>
            </w:tcBorders>
          </w:tcPr>
          <w:p>
            <w:pPr>
              <w:spacing w:after="0"/>
              <w:rPr>
                <w:sz w:val="20"/>
                <w:szCs w:val="20"/>
                <w:color w:val="auto"/>
              </w:rPr>
            </w:pPr>
            <w:r>
              <w:rPr>
                <w:rFonts w:ascii="Arial" w:cs="Arial" w:eastAsia="Arial" w:hAnsi="Arial"/>
                <w:sz w:val="16"/>
                <w:szCs w:val="16"/>
                <w:color w:val="auto"/>
              </w:rPr>
              <w:t>Performance Cash</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3,362,817</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3,362,817</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tcBorders>
              <w:bottom w:val="single" w:sz="8" w:color="A7A9AC"/>
            </w:tcBorders>
          </w:tcPr>
          <w:p>
            <w:pPr>
              <w:spacing w:after="0"/>
              <w:rPr>
                <w:sz w:val="20"/>
                <w:szCs w:val="20"/>
                <w:color w:val="auto"/>
              </w:rPr>
            </w:pPr>
            <w:r>
              <w:rPr>
                <w:rFonts w:ascii="Arial" w:cs="Arial" w:eastAsia="Arial" w:hAnsi="Arial"/>
                <w:sz w:val="16"/>
                <w:szCs w:val="16"/>
                <w:color w:val="auto"/>
              </w:rPr>
              <w:t>Performance Shares</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4,425,345</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4,425,345</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tcBorders>
              <w:bottom w:val="single" w:sz="8" w:color="A7A9AC"/>
            </w:tcBorders>
          </w:tcPr>
          <w:p>
            <w:pPr>
              <w:spacing w:after="0"/>
              <w:rPr>
                <w:sz w:val="20"/>
                <w:szCs w:val="20"/>
                <w:color w:val="auto"/>
              </w:rPr>
            </w:pPr>
            <w:r>
              <w:rPr>
                <w:rFonts w:ascii="Arial" w:cs="Arial" w:eastAsia="Arial" w:hAnsi="Arial"/>
                <w:sz w:val="16"/>
                <w:szCs w:val="16"/>
                <w:color w:val="auto"/>
              </w:rPr>
              <w:t>Nonqualified Plans</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5,351,774</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5,351,774</w:t>
            </w:r>
          </w:p>
        </w:tc>
        <w:tc>
          <w:tcPr>
            <w:tcW w:w="10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5,351,774</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5,351,774</w:t>
            </w:r>
          </w:p>
        </w:tc>
        <w:tc>
          <w:tcPr>
            <w:tcW w:w="10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5,351,774</w:t>
            </w:r>
          </w:p>
        </w:tc>
        <w:tc>
          <w:tcPr>
            <w:tcW w:w="1000" w:type="dxa"/>
            <w:vAlign w:val="bottom"/>
            <w:tcBorders>
              <w:bottom w:val="single" w:sz="8" w:color="A7A9AC"/>
            </w:tcBorders>
            <w:gridSpan w:val="2"/>
          </w:tcPr>
          <w:p>
            <w:pPr>
              <w:jc w:val="right"/>
              <w:ind w:right="100"/>
              <w:spacing w:after="0"/>
              <w:rPr>
                <w:sz w:val="20"/>
                <w:szCs w:val="20"/>
                <w:color w:val="auto"/>
              </w:rPr>
            </w:pPr>
            <w:r>
              <w:rPr>
                <w:rFonts w:ascii="Arial" w:cs="Arial" w:eastAsia="Arial" w:hAnsi="Arial"/>
                <w:sz w:val="16"/>
                <w:szCs w:val="16"/>
                <w:color w:val="auto"/>
              </w:rPr>
              <w:t>5,351,774</w:t>
            </w:r>
          </w:p>
        </w:tc>
        <w:tc>
          <w:tcPr>
            <w:tcW w:w="10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tcBorders>
              <w:bottom w:val="single" w:sz="8" w:color="CB233C"/>
            </w:tcBorders>
          </w:tcPr>
          <w:p>
            <w:pPr>
              <w:spacing w:after="0"/>
              <w:rPr>
                <w:sz w:val="20"/>
                <w:szCs w:val="20"/>
                <w:color w:val="auto"/>
              </w:rPr>
            </w:pPr>
            <w:r>
              <w:rPr>
                <w:rFonts w:ascii="Arial" w:cs="Arial" w:eastAsia="Arial" w:hAnsi="Arial"/>
                <w:sz w:val="16"/>
                <w:szCs w:val="16"/>
                <w:color w:val="auto"/>
              </w:rPr>
              <w:t>Health Benefits</w:t>
            </w:r>
          </w:p>
        </w:tc>
        <w:tc>
          <w:tcPr>
            <w:tcW w:w="102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12,000</w:t>
            </w:r>
          </w:p>
        </w:tc>
        <w:tc>
          <w:tcPr>
            <w:tcW w:w="108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12,000</w:t>
            </w:r>
          </w:p>
        </w:tc>
        <w:tc>
          <w:tcPr>
            <w:tcW w:w="104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CB233C"/>
            </w:tcBorders>
            <w:gridSpan w:val="2"/>
          </w:tcPr>
          <w:p>
            <w:pPr>
              <w:jc w:val="right"/>
              <w:ind w:right="100"/>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CB233C"/>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200" w:type="dxa"/>
            <w:vAlign w:val="bottom"/>
            <w:tcBorders>
              <w:bottom w:val="single" w:sz="8" w:color="CB233C"/>
            </w:tcBorders>
          </w:tcPr>
          <w:p>
            <w:pPr>
              <w:spacing w:after="0"/>
              <w:rPr>
                <w:sz w:val="17"/>
                <w:szCs w:val="17"/>
                <w:color w:val="auto"/>
              </w:rPr>
            </w:pPr>
          </w:p>
        </w:tc>
        <w:tc>
          <w:tcPr>
            <w:tcW w:w="540" w:type="dxa"/>
            <w:vAlign w:val="bottom"/>
            <w:tcBorders>
              <w:bottom w:val="single" w:sz="8" w:color="CB233C"/>
            </w:tcBorders>
          </w:tcPr>
          <w:p>
            <w:pPr>
              <w:spacing w:after="0"/>
              <w:rPr>
                <w:sz w:val="17"/>
                <w:szCs w:val="17"/>
                <w:color w:val="auto"/>
              </w:rPr>
            </w:pPr>
          </w:p>
        </w:tc>
        <w:tc>
          <w:tcPr>
            <w:tcW w:w="2300" w:type="dxa"/>
            <w:vAlign w:val="bottom"/>
            <w:tcBorders>
              <w:bottom w:val="single" w:sz="8" w:color="CB233C"/>
            </w:tcBorders>
          </w:tcPr>
          <w:p>
            <w:pPr>
              <w:spacing w:after="0"/>
              <w:rPr>
                <w:sz w:val="20"/>
                <w:szCs w:val="20"/>
                <w:color w:val="auto"/>
              </w:rPr>
            </w:pPr>
            <w:r>
              <w:rPr>
                <w:rFonts w:ascii="Arial" w:cs="Arial" w:eastAsia="Arial" w:hAnsi="Arial"/>
                <w:sz w:val="16"/>
                <w:szCs w:val="16"/>
                <w:b w:val="1"/>
                <w:bCs w:val="1"/>
                <w:color w:val="CB233C"/>
              </w:rPr>
              <w:t>TOTAL</w:t>
            </w:r>
          </w:p>
        </w:tc>
        <w:tc>
          <w:tcPr>
            <w:tcW w:w="102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CB233C"/>
              </w:rPr>
              <w:t>5,351,774</w:t>
            </w:r>
          </w:p>
        </w:tc>
        <w:tc>
          <w:tcPr>
            <w:tcW w:w="104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CB233C"/>
              </w:rPr>
              <w:t>5,363,774</w:t>
            </w:r>
          </w:p>
        </w:tc>
        <w:tc>
          <w:tcPr>
            <w:tcW w:w="108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CB233C"/>
              </w:rPr>
              <w:t>16,002,476</w:t>
            </w:r>
          </w:p>
        </w:tc>
        <w:tc>
          <w:tcPr>
            <w:tcW w:w="104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CB233C"/>
              </w:rPr>
              <w:t>15,990,476</w:t>
            </w:r>
          </w:p>
        </w:tc>
        <w:tc>
          <w:tcPr>
            <w:tcW w:w="102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CB233C"/>
              </w:rPr>
              <w:t>5,351,774</w:t>
            </w:r>
          </w:p>
        </w:tc>
        <w:tc>
          <w:tcPr>
            <w:tcW w:w="1000" w:type="dxa"/>
            <w:vAlign w:val="bottom"/>
            <w:tcBorders>
              <w:bottom w:val="single" w:sz="8" w:color="CB233C"/>
            </w:tcBorders>
            <w:gridSpan w:val="2"/>
          </w:tcPr>
          <w:p>
            <w:pPr>
              <w:jc w:val="right"/>
              <w:ind w:right="100"/>
              <w:spacing w:after="0"/>
              <w:rPr>
                <w:sz w:val="20"/>
                <w:szCs w:val="20"/>
                <w:color w:val="auto"/>
              </w:rPr>
            </w:pPr>
            <w:r>
              <w:rPr>
                <w:rFonts w:ascii="Arial" w:cs="Arial" w:eastAsia="Arial" w:hAnsi="Arial"/>
                <w:sz w:val="16"/>
                <w:szCs w:val="16"/>
                <w:b w:val="1"/>
                <w:bCs w:val="1"/>
                <w:color w:val="CB233C"/>
              </w:rPr>
              <w:t>9,822,314</w:t>
            </w:r>
          </w:p>
        </w:tc>
        <w:tc>
          <w:tcPr>
            <w:tcW w:w="100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CB233C"/>
              </w:rPr>
              <w:t>412,598</w:t>
            </w: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Resignation. </w:t>
      </w:r>
      <w:r>
        <w:rPr>
          <w:rFonts w:ascii="Arial" w:cs="Arial" w:eastAsia="Arial" w:hAnsi="Arial"/>
          <w:sz w:val="16"/>
          <w:szCs w:val="16"/>
          <w:color w:val="auto"/>
        </w:rPr>
        <w:t>Resignation is defined as leaving employment with us voluntarily, without having attained early or normal retirement status (see the applicable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sections below for information on what constitutes these statuses). Upon resignation, the following actions will occur for the NEO’s various elements of compensation:</w:t>
      </w:r>
    </w:p>
    <w:p>
      <w:pPr>
        <w:spacing w:after="0" w:line="144" w:lineRule="exact"/>
        <w:rPr>
          <w:sz w:val="20"/>
          <w:szCs w:val="20"/>
          <w:color w:val="auto"/>
        </w:rPr>
      </w:pPr>
    </w:p>
    <w:p>
      <w:pPr>
        <w:ind w:left="180" w:hanging="172"/>
        <w:spacing w:after="0"/>
        <w:tabs>
          <w:tab w:leader="none" w:pos="180" w:val="left"/>
        </w:tabs>
        <w:numPr>
          <w:ilvl w:val="0"/>
          <w:numId w:val="84"/>
        </w:numPr>
        <w:rPr>
          <w:rFonts w:ascii="Arial" w:cs="Arial" w:eastAsia="Arial" w:hAnsi="Arial"/>
          <w:sz w:val="16"/>
          <w:szCs w:val="16"/>
          <w:color w:val="CB233C"/>
        </w:rPr>
      </w:pPr>
      <w:r>
        <w:rPr>
          <w:rFonts w:ascii="Arial" w:cs="Arial" w:eastAsia="Arial" w:hAnsi="Arial"/>
          <w:sz w:val="16"/>
          <w:szCs w:val="16"/>
          <w:i w:val="1"/>
          <w:iCs w:val="1"/>
          <w:color w:val="auto"/>
        </w:rPr>
        <w:t xml:space="preserve">Severance Pay. </w:t>
      </w:r>
      <w:r>
        <w:rPr>
          <w:rFonts w:ascii="Arial" w:cs="Arial" w:eastAsia="Arial" w:hAnsi="Arial"/>
          <w:sz w:val="16"/>
          <w:szCs w:val="16"/>
          <w:color w:val="auto"/>
        </w:rPr>
        <w:t>No severance would be paid to the NEO.</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84"/>
        </w:numPr>
        <w:rPr>
          <w:rFonts w:ascii="Arial" w:cs="Arial" w:eastAsia="Arial" w:hAnsi="Arial"/>
          <w:sz w:val="16"/>
          <w:szCs w:val="16"/>
          <w:color w:val="CB233C"/>
        </w:rPr>
      </w:pPr>
      <w:r>
        <w:rPr>
          <w:rFonts w:ascii="Arial" w:cs="Arial" w:eastAsia="Arial" w:hAnsi="Arial"/>
          <w:sz w:val="16"/>
          <w:szCs w:val="16"/>
          <w:i w:val="1"/>
          <w:iCs w:val="1"/>
          <w:color w:val="auto"/>
        </w:rPr>
        <w:t>Annual Performance Pay Plan</w:t>
      </w:r>
      <w:r>
        <w:rPr>
          <w:rFonts w:ascii="Arial" w:cs="Arial" w:eastAsia="Arial" w:hAnsi="Arial"/>
          <w:sz w:val="16"/>
          <w:szCs w:val="16"/>
          <w:color w:val="auto"/>
        </w:rPr>
        <w:t>. No payment would be made to the NEO under the Performance Pay Plan.</w:t>
      </w:r>
    </w:p>
    <w:p>
      <w:pPr>
        <w:spacing w:after="0" w:line="86" w:lineRule="exact"/>
        <w:rPr>
          <w:rFonts w:ascii="Arial" w:cs="Arial" w:eastAsia="Arial" w:hAnsi="Arial"/>
          <w:sz w:val="16"/>
          <w:szCs w:val="16"/>
          <w:color w:val="CB233C"/>
        </w:rPr>
      </w:pPr>
    </w:p>
    <w:p>
      <w:pPr>
        <w:ind w:left="180" w:right="20" w:hanging="172"/>
        <w:spacing w:after="0" w:line="286" w:lineRule="auto"/>
        <w:tabs>
          <w:tab w:leader="none" w:pos="180" w:val="left"/>
        </w:tabs>
        <w:numPr>
          <w:ilvl w:val="0"/>
          <w:numId w:val="84"/>
        </w:numPr>
        <w:rPr>
          <w:rFonts w:ascii="Arial" w:cs="Arial" w:eastAsia="Arial" w:hAnsi="Arial"/>
          <w:sz w:val="16"/>
          <w:szCs w:val="16"/>
          <w:color w:val="CB233C"/>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Any restricted stock holdings would be forfeited upon the date of resignation. Restricted stock holdings information can be found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Equity Awards at Fiscal Year End 2021 table.</w:t>
      </w:r>
    </w:p>
    <w:p>
      <w:pPr>
        <w:spacing w:after="0" w:line="20" w:lineRule="exact"/>
        <w:rPr>
          <w:rFonts w:ascii="Arial" w:cs="Arial" w:eastAsia="Arial" w:hAnsi="Arial"/>
          <w:sz w:val="16"/>
          <w:szCs w:val="16"/>
          <w:color w:val="CB233C"/>
        </w:rPr>
      </w:pPr>
    </w:p>
    <w:p>
      <w:pPr>
        <w:jc w:val="both"/>
        <w:ind w:left="180" w:hanging="172"/>
        <w:spacing w:after="0" w:line="266" w:lineRule="auto"/>
        <w:tabs>
          <w:tab w:leader="none" w:pos="180" w:val="left"/>
        </w:tabs>
        <w:numPr>
          <w:ilvl w:val="0"/>
          <w:numId w:val="84"/>
        </w:numPr>
        <w:rPr>
          <w:rFonts w:ascii="Arial" w:cs="Arial" w:eastAsia="Arial" w:hAnsi="Arial"/>
          <w:sz w:val="16"/>
          <w:szCs w:val="16"/>
          <w:color w:val="CB233C"/>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NEO must exercise outstanding, vested options within 30 to 90 days after the NEO’s resignation or the options will be forfeited as per</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terms of the stock option agreements. Any unvested stock options would be forfeited. Stock option information can be found in the Outstanding Equity Awards at Fiscal Year End 2021 table.</w:t>
      </w:r>
    </w:p>
    <w:p>
      <w:pPr>
        <w:spacing w:after="0" w:line="36" w:lineRule="exact"/>
        <w:rPr>
          <w:rFonts w:ascii="Arial" w:cs="Arial" w:eastAsia="Arial" w:hAnsi="Arial"/>
          <w:sz w:val="16"/>
          <w:szCs w:val="16"/>
          <w:color w:val="CB233C"/>
        </w:rPr>
      </w:pPr>
    </w:p>
    <w:p>
      <w:pPr>
        <w:ind w:left="180" w:hanging="172"/>
        <w:spacing w:after="0"/>
        <w:tabs>
          <w:tab w:leader="none" w:pos="180" w:val="left"/>
        </w:tabs>
        <w:numPr>
          <w:ilvl w:val="0"/>
          <w:numId w:val="84"/>
        </w:numPr>
        <w:rPr>
          <w:rFonts w:ascii="Arial" w:cs="Arial" w:eastAsia="Arial" w:hAnsi="Arial"/>
          <w:sz w:val="16"/>
          <w:szCs w:val="16"/>
          <w:color w:val="CB233C"/>
        </w:rPr>
      </w:pPr>
      <w:r>
        <w:rPr>
          <w:rFonts w:ascii="Arial" w:cs="Arial" w:eastAsia="Arial" w:hAnsi="Arial"/>
          <w:sz w:val="16"/>
          <w:szCs w:val="16"/>
          <w:i w:val="1"/>
          <w:iCs w:val="1"/>
          <w:color w:val="auto"/>
        </w:rPr>
        <w:t xml:space="preserve">Performance Cash. </w:t>
      </w:r>
      <w:r>
        <w:rPr>
          <w:rFonts w:ascii="Arial" w:cs="Arial" w:eastAsia="Arial" w:hAnsi="Arial"/>
          <w:sz w:val="16"/>
          <w:szCs w:val="16"/>
          <w:color w:val="auto"/>
        </w:rPr>
        <w:t>The NEO would not be eligible to receive payments under the Performance Unit Program.</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84"/>
        </w:numPr>
        <w:rPr>
          <w:rFonts w:ascii="Arial" w:cs="Arial" w:eastAsia="Arial" w:hAnsi="Arial"/>
          <w:sz w:val="16"/>
          <w:szCs w:val="16"/>
          <w:color w:val="CB233C"/>
        </w:rPr>
      </w:pPr>
      <w:r>
        <w:rPr>
          <w:rFonts w:ascii="Arial" w:cs="Arial" w:eastAsia="Arial" w:hAnsi="Arial"/>
          <w:sz w:val="16"/>
          <w:szCs w:val="16"/>
          <w:i w:val="1"/>
          <w:iCs w:val="1"/>
          <w:color w:val="auto"/>
        </w:rPr>
        <w:t xml:space="preserve">Performance Shares. </w:t>
      </w:r>
      <w:r>
        <w:rPr>
          <w:rFonts w:ascii="Arial" w:cs="Arial" w:eastAsia="Arial" w:hAnsi="Arial"/>
          <w:sz w:val="16"/>
          <w:szCs w:val="16"/>
          <w:color w:val="auto"/>
        </w:rPr>
        <w:t>The NEO would not be eligible to receive performance shares under the Performance Unit Program.</w:t>
      </w:r>
    </w:p>
    <w:p>
      <w:pPr>
        <w:spacing w:after="0" w:line="86" w:lineRule="exact"/>
        <w:rPr>
          <w:rFonts w:ascii="Arial" w:cs="Arial" w:eastAsia="Arial" w:hAnsi="Arial"/>
          <w:sz w:val="16"/>
          <w:szCs w:val="16"/>
          <w:color w:val="CB233C"/>
        </w:rPr>
      </w:pPr>
    </w:p>
    <w:p>
      <w:pPr>
        <w:jc w:val="both"/>
        <w:ind w:left="180" w:hanging="172"/>
        <w:spacing w:after="0" w:line="256" w:lineRule="auto"/>
        <w:tabs>
          <w:tab w:leader="none" w:pos="180" w:val="left"/>
        </w:tabs>
        <w:numPr>
          <w:ilvl w:val="0"/>
          <w:numId w:val="84"/>
        </w:numPr>
        <w:rPr>
          <w:rFonts w:ascii="Arial" w:cs="Arial" w:eastAsia="Arial" w:hAnsi="Arial"/>
          <w:sz w:val="16"/>
          <w:szCs w:val="16"/>
          <w:color w:val="CB233C"/>
        </w:rPr>
      </w:pPr>
      <w:r>
        <w:rPr>
          <w:rFonts w:ascii="Arial" w:cs="Arial" w:eastAsia="Arial" w:hAnsi="Arial"/>
          <w:sz w:val="16"/>
          <w:szCs w:val="16"/>
          <w:i w:val="1"/>
          <w:iCs w:val="1"/>
          <w:color w:val="auto"/>
        </w:rPr>
        <w:t xml:space="preserve">Nonqualified Plans. </w:t>
      </w:r>
      <w:r>
        <w:rPr>
          <w:rFonts w:ascii="Arial" w:cs="Arial" w:eastAsia="Arial" w:hAnsi="Arial"/>
          <w:sz w:val="16"/>
          <w:szCs w:val="16"/>
          <w:color w:val="auto"/>
        </w:rPr>
        <w:t>The NEO is entitled to any vested benefits under the applicable nonqualified plans as shown in the 2021 Nonqualified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table. Payments from the Supplemental Executive Retirement Plan and Benefit Restoration Plan are paid out of an irrevocable grantor trust. The principal and income of the trust are treated as our assets and income for federal income tax purposes and are subject to the claims of our general creditors to the extent provided in the plan. The Elective Deferral Plan is unfunded and we make payments from our general assets. Payments from these plans may be paid in a lump sum or in annual installments for a maximum ten-year period.</w:t>
      </w:r>
    </w:p>
    <w:p>
      <w:pPr>
        <w:spacing w:after="0" w:line="44" w:lineRule="exact"/>
        <w:rPr>
          <w:rFonts w:ascii="Arial" w:cs="Arial" w:eastAsia="Arial" w:hAnsi="Arial"/>
          <w:sz w:val="16"/>
          <w:szCs w:val="16"/>
          <w:color w:val="CB233C"/>
        </w:rPr>
      </w:pPr>
    </w:p>
    <w:p>
      <w:pPr>
        <w:ind w:left="180" w:hanging="172"/>
        <w:spacing w:after="0"/>
        <w:tabs>
          <w:tab w:leader="none" w:pos="180" w:val="left"/>
        </w:tabs>
        <w:numPr>
          <w:ilvl w:val="0"/>
          <w:numId w:val="84"/>
        </w:numPr>
        <w:rPr>
          <w:rFonts w:ascii="Arial" w:cs="Arial" w:eastAsia="Arial" w:hAnsi="Arial"/>
          <w:sz w:val="16"/>
          <w:szCs w:val="16"/>
          <w:color w:val="CB233C"/>
        </w:rPr>
      </w:pPr>
      <w:r>
        <w:rPr>
          <w:rFonts w:ascii="Arial" w:cs="Arial" w:eastAsia="Arial" w:hAnsi="Arial"/>
          <w:sz w:val="16"/>
          <w:szCs w:val="16"/>
          <w:i w:val="1"/>
          <w:iCs w:val="1"/>
          <w:color w:val="auto"/>
        </w:rPr>
        <w:t xml:space="preserve">Health Benefits. </w:t>
      </w:r>
      <w:r>
        <w:rPr>
          <w:rFonts w:ascii="Arial" w:cs="Arial" w:eastAsia="Arial" w:hAnsi="Arial"/>
          <w:sz w:val="16"/>
          <w:szCs w:val="16"/>
          <w:color w:val="auto"/>
        </w:rPr>
        <w:t>The NEO is not eligible for the $12,000 credit to assist in paying for retiree medical costs.</w:t>
      </w:r>
    </w:p>
    <w:p>
      <w:pPr>
        <w:spacing w:after="0" w:line="27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auto"/>
        </w:rPr>
        <w:t>Early Retirement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NEO becomes eligible for early retirement when the NEO has attained age 55 with ten years of service or when the NEO’s age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years of service equals 70 points. Eligibility for early retirement does not guarantee retention of stock awards (lapse of forfeiture restrictions on restricted stock and ability to exercise outstanding options for the remainder of the stated term) or the pro rata distribution of performance awards, if earned. Early retirement eligibility is a condition that must be met before the Compensation Committee will consider retention of stock awards and pro rata participation in performance awards upon separation from employment. For example, if a NEO is eligible for early retirement but is leaving us to go to work for a competitor, then the NEO’s stock awards would not be considered for retention.</w:t>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Early Retirement (Without Approval). </w:t>
      </w:r>
      <w:r>
        <w:rPr>
          <w:rFonts w:ascii="Arial" w:cs="Arial" w:eastAsia="Arial" w:hAnsi="Arial"/>
          <w:sz w:val="16"/>
          <w:szCs w:val="16"/>
          <w:color w:val="auto"/>
        </w:rPr>
        <w:t>The impact on the NEO’s various elements of compensation is the same as described under Resignation except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follows:</w:t>
      </w:r>
    </w:p>
    <w:p>
      <w:pPr>
        <w:spacing w:after="0" w:line="129" w:lineRule="exact"/>
        <w:rPr>
          <w:sz w:val="20"/>
          <w:szCs w:val="20"/>
          <w:color w:val="auto"/>
        </w:rPr>
      </w:pPr>
    </w:p>
    <w:p>
      <w:pPr>
        <w:ind w:left="180" w:right="20" w:hanging="172"/>
        <w:spacing w:after="0" w:line="286" w:lineRule="auto"/>
        <w:tabs>
          <w:tab w:leader="none" w:pos="180" w:val="left"/>
        </w:tabs>
        <w:numPr>
          <w:ilvl w:val="0"/>
          <w:numId w:val="85"/>
        </w:numPr>
        <w:rPr>
          <w:rFonts w:ascii="Arial" w:cs="Arial" w:eastAsia="Arial" w:hAnsi="Arial"/>
          <w:sz w:val="16"/>
          <w:szCs w:val="16"/>
          <w:color w:val="CB233C"/>
        </w:rPr>
      </w:pPr>
      <w:r>
        <w:rPr>
          <w:rFonts w:ascii="Arial" w:cs="Arial" w:eastAsia="Arial" w:hAnsi="Arial"/>
          <w:sz w:val="16"/>
          <w:szCs w:val="16"/>
          <w:i w:val="1"/>
          <w:iCs w:val="1"/>
          <w:color w:val="auto"/>
        </w:rPr>
        <w:t xml:space="preserve">Health Benefits. </w:t>
      </w:r>
      <w:r>
        <w:rPr>
          <w:rFonts w:ascii="Arial" w:cs="Arial" w:eastAsia="Arial" w:hAnsi="Arial"/>
          <w:sz w:val="16"/>
          <w:szCs w:val="16"/>
          <w:color w:val="auto"/>
        </w:rPr>
        <w:t>A NEO that was age 40 or older as of December 31, 2004, and qualifies for early retirement under our health and welfare plans,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that the NEO has attained age 55 with ten years of service or that the NEO’s age</w:t>
      </w:r>
    </w:p>
    <w:p>
      <w:pPr>
        <w:spacing w:after="0" w:line="210" w:lineRule="exact"/>
        <w:rPr>
          <w:sz w:val="20"/>
          <w:szCs w:val="20"/>
          <w:color w:val="auto"/>
        </w:r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both"/>
        <w:ind w:left="180"/>
        <w:spacing w:after="0" w:line="256" w:lineRule="auto"/>
        <w:rPr>
          <w:sz w:val="20"/>
          <w:szCs w:val="20"/>
          <w:color w:val="auto"/>
        </w:rPr>
      </w:pPr>
      <w:r>
        <w:rPr>
          <w:rFonts w:ascii="Arial" w:cs="Arial" w:eastAsia="Arial" w:hAnsi="Arial"/>
          <w:sz w:val="16"/>
          <w:szCs w:val="16"/>
          <w:color w:val="auto"/>
        </w:rPr>
        <w:t>and years of service equals 70 points with a minimum of ten years of service, is eligible for a $12,000 credit toward retiree medical costs incurred prior to age 65. The credit is only applicable if the NEO chooses Halliburton retiree medical coverage. This benefit is amortized as a monthly credit applied to the cost of retiree medical coverage based on the number of months from the time of early retirement to age 65. For example, if a NEO is 10 years or 120 months away from age 65 at the time of the NEO’s early retirement, the NEO will receive a monthly credit in the amount of $100 ($12,000/120 months). Should the NEO choose not to elect coverage with Halliburton after the NEO’s separation, the NEO would not receive any cash in lieu of the credit.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Early Retirement (With Approval).</w:t>
      </w:r>
      <w:r>
        <w:rPr>
          <w:rFonts w:ascii="Arial" w:cs="Arial" w:eastAsia="Arial" w:hAnsi="Arial"/>
          <w:sz w:val="16"/>
          <w:szCs w:val="16"/>
          <w:color w:val="auto"/>
        </w:rPr>
        <w:t>The following actions will occur for the NEO’s various elements of compensation:</w:t>
      </w:r>
    </w:p>
    <w:p>
      <w:pPr>
        <w:spacing w:after="0" w:line="194" w:lineRule="exact"/>
        <w:rPr>
          <w:sz w:val="20"/>
          <w:szCs w:val="20"/>
          <w:color w:val="auto"/>
        </w:rPr>
      </w:pPr>
    </w:p>
    <w:p>
      <w:pPr>
        <w:ind w:left="180" w:hanging="172"/>
        <w:spacing w:after="0"/>
        <w:tabs>
          <w:tab w:leader="none" w:pos="180" w:val="left"/>
        </w:tabs>
        <w:numPr>
          <w:ilvl w:val="0"/>
          <w:numId w:val="86"/>
        </w:numPr>
        <w:rPr>
          <w:rFonts w:ascii="Arial" w:cs="Arial" w:eastAsia="Arial" w:hAnsi="Arial"/>
          <w:sz w:val="16"/>
          <w:szCs w:val="16"/>
          <w:color w:val="CB233C"/>
        </w:rPr>
      </w:pPr>
      <w:r>
        <w:rPr>
          <w:rFonts w:ascii="Arial" w:cs="Arial" w:eastAsia="Arial" w:hAnsi="Arial"/>
          <w:sz w:val="16"/>
          <w:szCs w:val="16"/>
          <w:i w:val="1"/>
          <w:iCs w:val="1"/>
          <w:color w:val="auto"/>
        </w:rPr>
        <w:t xml:space="preserve">Severance Pay. </w:t>
      </w:r>
      <w:r>
        <w:rPr>
          <w:rFonts w:ascii="Arial" w:cs="Arial" w:eastAsia="Arial" w:hAnsi="Arial"/>
          <w:sz w:val="16"/>
          <w:szCs w:val="16"/>
          <w:color w:val="auto"/>
        </w:rPr>
        <w:t>No severance would be paid to the NEO.</w:t>
      </w:r>
    </w:p>
    <w:p>
      <w:pPr>
        <w:spacing w:after="0" w:line="86" w:lineRule="exact"/>
        <w:rPr>
          <w:rFonts w:ascii="Arial" w:cs="Arial" w:eastAsia="Arial" w:hAnsi="Arial"/>
          <w:sz w:val="16"/>
          <w:szCs w:val="16"/>
          <w:color w:val="CB233C"/>
        </w:rPr>
      </w:pPr>
    </w:p>
    <w:p>
      <w:pPr>
        <w:ind w:left="180" w:right="20" w:hanging="172"/>
        <w:spacing w:after="0" w:line="286" w:lineRule="auto"/>
        <w:tabs>
          <w:tab w:leader="none" w:pos="180" w:val="left"/>
        </w:tabs>
        <w:numPr>
          <w:ilvl w:val="0"/>
          <w:numId w:val="86"/>
        </w:numPr>
        <w:rPr>
          <w:rFonts w:ascii="Arial" w:cs="Arial" w:eastAsia="Arial" w:hAnsi="Arial"/>
          <w:sz w:val="16"/>
          <w:szCs w:val="16"/>
          <w:color w:val="CB233C"/>
        </w:rPr>
      </w:pPr>
      <w:r>
        <w:rPr>
          <w:rFonts w:ascii="Arial" w:cs="Arial" w:eastAsia="Arial" w:hAnsi="Arial"/>
          <w:sz w:val="16"/>
          <w:szCs w:val="16"/>
          <w:i w:val="1"/>
          <w:iCs w:val="1"/>
          <w:color w:val="auto"/>
        </w:rPr>
        <w:t xml:space="preserve">Annual Performance Pay Plan. </w:t>
      </w:r>
      <w:r>
        <w:rPr>
          <w:rFonts w:ascii="Arial" w:cs="Arial" w:eastAsia="Arial" w:hAnsi="Arial"/>
          <w:sz w:val="16"/>
          <w:szCs w:val="16"/>
          <w:color w:val="auto"/>
        </w:rPr>
        <w:t>If the NEO retires prior to the end of the plan year for any reason other than death or disability, he would forfeit any</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due under the plan, unless the Compensation Committee determines that the payment should be prorated for the partial plan year.</w:t>
      </w:r>
    </w:p>
    <w:p>
      <w:pPr>
        <w:spacing w:after="0" w:line="20" w:lineRule="exact"/>
        <w:rPr>
          <w:rFonts w:ascii="Arial" w:cs="Arial" w:eastAsia="Arial" w:hAnsi="Arial"/>
          <w:sz w:val="16"/>
          <w:szCs w:val="16"/>
          <w:color w:val="CB233C"/>
        </w:rPr>
      </w:pPr>
    </w:p>
    <w:p>
      <w:pPr>
        <w:ind w:left="180" w:hanging="172"/>
        <w:spacing w:after="0" w:line="286" w:lineRule="auto"/>
        <w:tabs>
          <w:tab w:leader="none" w:pos="180" w:val="left"/>
        </w:tabs>
        <w:numPr>
          <w:ilvl w:val="0"/>
          <w:numId w:val="86"/>
        </w:numPr>
        <w:rPr>
          <w:rFonts w:ascii="Arial" w:cs="Arial" w:eastAsia="Arial" w:hAnsi="Arial"/>
          <w:sz w:val="16"/>
          <w:szCs w:val="16"/>
          <w:color w:val="CB233C"/>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Any stock holdings restrictions would lapse upon the date of retirement. Restricted stock holdings information can be found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Equity Awards at Fiscal Year End 2021 table.</w:t>
      </w:r>
    </w:p>
    <w:p>
      <w:pPr>
        <w:spacing w:after="0" w:line="20" w:lineRule="exact"/>
        <w:rPr>
          <w:rFonts w:ascii="Arial" w:cs="Arial" w:eastAsia="Arial" w:hAnsi="Arial"/>
          <w:sz w:val="16"/>
          <w:szCs w:val="16"/>
          <w:color w:val="CB233C"/>
        </w:rPr>
      </w:pPr>
    </w:p>
    <w:p>
      <w:pPr>
        <w:jc w:val="both"/>
        <w:ind w:left="180" w:hanging="172"/>
        <w:spacing w:after="0" w:line="266" w:lineRule="auto"/>
        <w:tabs>
          <w:tab w:leader="none" w:pos="180" w:val="left"/>
        </w:tabs>
        <w:numPr>
          <w:ilvl w:val="0"/>
          <w:numId w:val="86"/>
        </w:numPr>
        <w:rPr>
          <w:rFonts w:ascii="Arial" w:cs="Arial" w:eastAsia="Arial" w:hAnsi="Arial"/>
          <w:sz w:val="16"/>
          <w:szCs w:val="16"/>
          <w:color w:val="CB233C"/>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NEO will be granted retention of the NEO’s option awards. The unvested awards will continue to vest per the vesting schedule outlined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NEO stock option agreements and any vested options will not expire until 10 years from the grant award date. Stock option information can be found in the Outstanding Equity Awards at Fiscal Year End 2021 table.</w:t>
      </w:r>
    </w:p>
    <w:p>
      <w:pPr>
        <w:spacing w:after="0" w:line="36" w:lineRule="exact"/>
        <w:rPr>
          <w:rFonts w:ascii="Arial" w:cs="Arial" w:eastAsia="Arial" w:hAnsi="Arial"/>
          <w:sz w:val="16"/>
          <w:szCs w:val="16"/>
          <w:color w:val="CB233C"/>
        </w:rPr>
      </w:pPr>
    </w:p>
    <w:p>
      <w:pPr>
        <w:jc w:val="both"/>
        <w:ind w:left="180" w:hanging="172"/>
        <w:spacing w:after="0" w:line="266" w:lineRule="auto"/>
        <w:tabs>
          <w:tab w:leader="none" w:pos="180" w:val="left"/>
        </w:tabs>
        <w:numPr>
          <w:ilvl w:val="0"/>
          <w:numId w:val="86"/>
        </w:numPr>
        <w:rPr>
          <w:rFonts w:ascii="Arial" w:cs="Arial" w:eastAsia="Arial" w:hAnsi="Arial"/>
          <w:sz w:val="16"/>
          <w:szCs w:val="16"/>
          <w:color w:val="CB233C"/>
        </w:rPr>
      </w:pPr>
      <w:r>
        <w:rPr>
          <w:rFonts w:ascii="Arial" w:cs="Arial" w:eastAsia="Arial" w:hAnsi="Arial"/>
          <w:sz w:val="16"/>
          <w:szCs w:val="16"/>
          <w:i w:val="1"/>
          <w:iCs w:val="1"/>
          <w:color w:val="auto"/>
        </w:rPr>
        <w:t xml:space="preserve">Performance Cash. </w:t>
      </w:r>
      <w:r>
        <w:rPr>
          <w:rFonts w:ascii="Arial" w:cs="Arial" w:eastAsia="Arial" w:hAnsi="Arial"/>
          <w:sz w:val="16"/>
          <w:szCs w:val="16"/>
          <w:color w:val="auto"/>
        </w:rPr>
        <w:t>The NEO will participate on a prorated basis for any Performance Unit Program cycles that have not been completed at the time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NEO’s retirement. These payments, if earned, are paid out and the NEO would receive payments at the same time as other participants, which is usually no later than March of the year following the close of the cycle.</w:t>
      </w:r>
    </w:p>
    <w:p>
      <w:pPr>
        <w:spacing w:after="0" w:line="36" w:lineRule="exact"/>
        <w:rPr>
          <w:rFonts w:ascii="Arial" w:cs="Arial" w:eastAsia="Arial" w:hAnsi="Arial"/>
          <w:sz w:val="16"/>
          <w:szCs w:val="16"/>
          <w:color w:val="CB233C"/>
        </w:rPr>
      </w:pPr>
    </w:p>
    <w:p>
      <w:pPr>
        <w:jc w:val="both"/>
        <w:ind w:left="180" w:hanging="172"/>
        <w:spacing w:after="0" w:line="266" w:lineRule="auto"/>
        <w:tabs>
          <w:tab w:leader="none" w:pos="180" w:val="left"/>
        </w:tabs>
        <w:numPr>
          <w:ilvl w:val="0"/>
          <w:numId w:val="86"/>
        </w:numPr>
        <w:rPr>
          <w:rFonts w:ascii="Arial" w:cs="Arial" w:eastAsia="Arial" w:hAnsi="Arial"/>
          <w:sz w:val="16"/>
          <w:szCs w:val="16"/>
          <w:color w:val="CB233C"/>
        </w:rPr>
      </w:pPr>
      <w:r>
        <w:rPr>
          <w:rFonts w:ascii="Arial" w:cs="Arial" w:eastAsia="Arial" w:hAnsi="Arial"/>
          <w:sz w:val="16"/>
          <w:szCs w:val="16"/>
          <w:i w:val="1"/>
          <w:iCs w:val="1"/>
          <w:color w:val="auto"/>
        </w:rPr>
        <w:t xml:space="preserve">Performance Shares. </w:t>
      </w:r>
      <w:r>
        <w:rPr>
          <w:rFonts w:ascii="Arial" w:cs="Arial" w:eastAsia="Arial" w:hAnsi="Arial"/>
          <w:sz w:val="16"/>
          <w:szCs w:val="16"/>
          <w:color w:val="auto"/>
        </w:rPr>
        <w:t>The NEO will participate on a prorated basis for any Performance Unit Program cycles that have not been completed at the time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NEO’s retirement. The shares, if earned, are vested and the NEO would receive the performance shares at the same time as other participants, which is usually no later than March of the year following the close of the cycle.</w:t>
      </w:r>
    </w:p>
    <w:p>
      <w:pPr>
        <w:spacing w:after="0" w:line="36" w:lineRule="exact"/>
        <w:rPr>
          <w:rFonts w:ascii="Arial" w:cs="Arial" w:eastAsia="Arial" w:hAnsi="Arial"/>
          <w:sz w:val="16"/>
          <w:szCs w:val="16"/>
          <w:color w:val="CB233C"/>
        </w:rPr>
      </w:pPr>
    </w:p>
    <w:p>
      <w:pPr>
        <w:ind w:left="180" w:right="20" w:hanging="172"/>
        <w:spacing w:after="0" w:line="286" w:lineRule="auto"/>
        <w:tabs>
          <w:tab w:leader="none" w:pos="180" w:val="left"/>
        </w:tabs>
        <w:numPr>
          <w:ilvl w:val="0"/>
          <w:numId w:val="86"/>
        </w:numPr>
        <w:rPr>
          <w:rFonts w:ascii="Arial" w:cs="Arial" w:eastAsia="Arial" w:hAnsi="Arial"/>
          <w:sz w:val="16"/>
          <w:szCs w:val="16"/>
          <w:color w:val="CB233C"/>
        </w:rPr>
      </w:pPr>
      <w:r>
        <w:rPr>
          <w:rFonts w:ascii="Arial" w:cs="Arial" w:eastAsia="Arial" w:hAnsi="Arial"/>
          <w:sz w:val="16"/>
          <w:szCs w:val="16"/>
          <w:i w:val="1"/>
          <w:iCs w:val="1"/>
          <w:color w:val="auto"/>
        </w:rPr>
        <w:t xml:space="preserve">Nonqualified Plans. </w:t>
      </w:r>
      <w:r>
        <w:rPr>
          <w:rFonts w:ascii="Arial" w:cs="Arial" w:eastAsia="Arial" w:hAnsi="Arial"/>
          <w:sz w:val="16"/>
          <w:szCs w:val="16"/>
          <w:color w:val="auto"/>
        </w:rPr>
        <w:t>The NEO is entitled to any vested benefits under the applicable nonqualified plans as shown in the 2021 Nonqualified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table. Refer above to Resignation for more information on Nonqualified Plans.</w:t>
      </w:r>
    </w:p>
    <w:p>
      <w:pPr>
        <w:spacing w:after="0" w:line="20" w:lineRule="exact"/>
        <w:rPr>
          <w:rFonts w:ascii="Arial" w:cs="Arial" w:eastAsia="Arial" w:hAnsi="Arial"/>
          <w:sz w:val="16"/>
          <w:szCs w:val="16"/>
          <w:color w:val="CB233C"/>
        </w:rPr>
      </w:pPr>
    </w:p>
    <w:p>
      <w:pPr>
        <w:ind w:left="180" w:hanging="172"/>
        <w:spacing w:after="0"/>
        <w:tabs>
          <w:tab w:leader="none" w:pos="180" w:val="left"/>
        </w:tabs>
        <w:numPr>
          <w:ilvl w:val="0"/>
          <w:numId w:val="86"/>
        </w:numPr>
        <w:rPr>
          <w:rFonts w:ascii="Arial" w:cs="Arial" w:eastAsia="Arial" w:hAnsi="Arial"/>
          <w:sz w:val="16"/>
          <w:szCs w:val="16"/>
          <w:color w:val="CB233C"/>
        </w:rPr>
      </w:pPr>
      <w:r>
        <w:rPr>
          <w:rFonts w:ascii="Arial" w:cs="Arial" w:eastAsia="Arial" w:hAnsi="Arial"/>
          <w:sz w:val="16"/>
          <w:szCs w:val="16"/>
          <w:i w:val="1"/>
          <w:iCs w:val="1"/>
          <w:color w:val="auto"/>
        </w:rPr>
        <w:t xml:space="preserve">Health Benefits. </w:t>
      </w:r>
      <w:r>
        <w:rPr>
          <w:rFonts w:ascii="Arial" w:cs="Arial" w:eastAsia="Arial" w:hAnsi="Arial"/>
          <w:sz w:val="16"/>
          <w:szCs w:val="16"/>
          <w:color w:val="auto"/>
        </w:rPr>
        <w:t>Same as described under Early Retirement (Without Approval).</w:t>
      </w:r>
    </w:p>
    <w:p>
      <w:pPr>
        <w:spacing w:after="0" w:line="27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 xml:space="preserve">Normal Retirement. </w:t>
      </w:r>
      <w:r>
        <w:rPr>
          <w:rFonts w:ascii="Arial" w:cs="Arial" w:eastAsia="Arial" w:hAnsi="Arial"/>
          <w:sz w:val="16"/>
          <w:szCs w:val="16"/>
          <w:color w:val="auto"/>
        </w:rPr>
        <w:t>A NEO would be eligible for normal retirement should the NEO cease employment at age 65 or later. The impact on the NEO’s various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elements of compensation is the same as described under Early Retirement (With Approval) except as follows:</w:t>
      </w:r>
    </w:p>
    <w:p>
      <w:pPr>
        <w:spacing w:after="0" w:line="129" w:lineRule="exact"/>
        <w:rPr>
          <w:sz w:val="20"/>
          <w:szCs w:val="20"/>
          <w:color w:val="auto"/>
        </w:rPr>
      </w:pPr>
    </w:p>
    <w:p>
      <w:pPr>
        <w:ind w:left="180" w:hanging="172"/>
        <w:spacing w:after="0"/>
        <w:tabs>
          <w:tab w:leader="none" w:pos="180" w:val="left"/>
        </w:tabs>
        <w:numPr>
          <w:ilvl w:val="0"/>
          <w:numId w:val="87"/>
        </w:numPr>
        <w:rPr>
          <w:rFonts w:ascii="Arial" w:cs="Arial" w:eastAsia="Arial" w:hAnsi="Arial"/>
          <w:sz w:val="16"/>
          <w:szCs w:val="16"/>
          <w:color w:val="CB233C"/>
        </w:rPr>
      </w:pPr>
      <w:r>
        <w:rPr>
          <w:rFonts w:ascii="Arial" w:cs="Arial" w:eastAsia="Arial" w:hAnsi="Arial"/>
          <w:sz w:val="16"/>
          <w:szCs w:val="16"/>
          <w:i w:val="1"/>
          <w:iCs w:val="1"/>
          <w:color w:val="auto"/>
        </w:rPr>
        <w:t xml:space="preserve">Health Benefits. </w:t>
      </w:r>
      <w:r>
        <w:rPr>
          <w:rFonts w:ascii="Arial" w:cs="Arial" w:eastAsia="Arial" w:hAnsi="Arial"/>
          <w:sz w:val="16"/>
          <w:szCs w:val="16"/>
          <w:color w:val="auto"/>
        </w:rPr>
        <w:t>The NEO is not eligible for the $12,000 credit to assist in paying for retiree medical costs.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Termination (For Cause). </w:t>
      </w:r>
      <w:r>
        <w:rPr>
          <w:rFonts w:ascii="Arial" w:cs="Arial" w:eastAsia="Arial" w:hAnsi="Arial"/>
          <w:sz w:val="16"/>
          <w:szCs w:val="16"/>
          <w:color w:val="auto"/>
        </w:rPr>
        <w:t>Should we terminate a NEO for cause, such as violating our Code of Business Conduct, the impact on the NEO’s various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elements of compensation is the same as described under Resignation.</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Termination (Without Cause). </w:t>
      </w:r>
      <w:r>
        <w:rPr>
          <w:rFonts w:ascii="Arial" w:cs="Arial" w:eastAsia="Arial" w:hAnsi="Arial"/>
          <w:sz w:val="16"/>
          <w:szCs w:val="16"/>
          <w:color w:val="auto"/>
        </w:rPr>
        <w:t>Should we terminate a NEO without cause, such as termination at our convenience, then the provisions of the NEO’s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employment agreement related to severance payments and lapsing of stock restrictions would apply. Payments for these items are conditioned on a release agreement being executed by the NEO. The impact on the NEO’s various elements of compensation is the same as described under Normal Retirement except as follows:</w:t>
      </w:r>
    </w:p>
    <w:p>
      <w:pPr>
        <w:spacing w:after="0" w:line="151" w:lineRule="exact"/>
        <w:rPr>
          <w:sz w:val="20"/>
          <w:szCs w:val="20"/>
          <w:color w:val="auto"/>
        </w:rPr>
      </w:pPr>
    </w:p>
    <w:p>
      <w:pPr>
        <w:ind w:left="180" w:hanging="172"/>
        <w:spacing w:after="0" w:line="286" w:lineRule="auto"/>
        <w:tabs>
          <w:tab w:leader="none" w:pos="180" w:val="left"/>
        </w:tabs>
        <w:numPr>
          <w:ilvl w:val="0"/>
          <w:numId w:val="88"/>
        </w:numPr>
        <w:rPr>
          <w:rFonts w:ascii="Arial" w:cs="Arial" w:eastAsia="Arial" w:hAnsi="Arial"/>
          <w:sz w:val="16"/>
          <w:szCs w:val="16"/>
          <w:color w:val="CB233C"/>
        </w:rPr>
      </w:pPr>
      <w:r>
        <w:rPr>
          <w:rFonts w:ascii="Arial" w:cs="Arial" w:eastAsia="Arial" w:hAnsi="Arial"/>
          <w:sz w:val="16"/>
          <w:szCs w:val="16"/>
          <w:i w:val="1"/>
          <w:iCs w:val="1"/>
          <w:color w:val="auto"/>
        </w:rPr>
        <w:t xml:space="preserve">Severance Pay. </w:t>
      </w:r>
      <w:r>
        <w:rPr>
          <w:rFonts w:ascii="Arial" w:cs="Arial" w:eastAsia="Arial" w:hAnsi="Arial"/>
          <w:sz w:val="16"/>
          <w:szCs w:val="16"/>
          <w:color w:val="auto"/>
        </w:rPr>
        <w:t>Severance is paid according to terms of the applicable employment agreement. Each NEO would receive severance in the amount of two</w:t>
      </w:r>
      <w:r>
        <w:rPr>
          <w:rFonts w:ascii="Arial" w:cs="Arial" w:eastAsia="Arial" w:hAnsi="Arial"/>
          <w:sz w:val="16"/>
          <w:szCs w:val="16"/>
          <w:i w:val="1"/>
          <w:iCs w:val="1"/>
          <w:color w:val="auto"/>
        </w:rPr>
        <w:t xml:space="preserve"> </w:t>
      </w:r>
      <w:r>
        <w:rPr>
          <w:rFonts w:ascii="Arial" w:cs="Arial" w:eastAsia="Arial" w:hAnsi="Arial"/>
          <w:sz w:val="16"/>
          <w:szCs w:val="16"/>
          <w:color w:val="auto"/>
        </w:rPr>
        <w:t>times base salary at the time of termination.</w:t>
      </w:r>
    </w:p>
    <w:p>
      <w:pPr>
        <w:spacing w:after="0" w:line="20" w:lineRule="exact"/>
        <w:rPr>
          <w:rFonts w:ascii="Arial" w:cs="Arial" w:eastAsia="Arial" w:hAnsi="Arial"/>
          <w:sz w:val="16"/>
          <w:szCs w:val="16"/>
          <w:color w:val="CB233C"/>
        </w:rPr>
      </w:pPr>
    </w:p>
    <w:p>
      <w:pPr>
        <w:ind w:left="180" w:hanging="172"/>
        <w:spacing w:after="0"/>
        <w:tabs>
          <w:tab w:leader="none" w:pos="180" w:val="left"/>
        </w:tabs>
        <w:numPr>
          <w:ilvl w:val="0"/>
          <w:numId w:val="88"/>
        </w:numPr>
        <w:rPr>
          <w:rFonts w:ascii="Arial" w:cs="Arial" w:eastAsia="Arial" w:hAnsi="Arial"/>
          <w:sz w:val="16"/>
          <w:szCs w:val="16"/>
          <w:color w:val="CB233C"/>
        </w:rPr>
      </w:pPr>
      <w:r>
        <w:rPr>
          <w:rFonts w:ascii="Arial" w:cs="Arial" w:eastAsia="Arial" w:hAnsi="Arial"/>
          <w:sz w:val="16"/>
          <w:szCs w:val="16"/>
          <w:i w:val="1"/>
          <w:iCs w:val="1"/>
          <w:color w:val="auto"/>
        </w:rPr>
        <w:t xml:space="preserve">Performance Cash. </w:t>
      </w:r>
      <w:r>
        <w:rPr>
          <w:rFonts w:ascii="Arial" w:cs="Arial" w:eastAsia="Arial" w:hAnsi="Arial"/>
          <w:sz w:val="16"/>
          <w:szCs w:val="16"/>
          <w:color w:val="auto"/>
        </w:rPr>
        <w:t>No payment would be paid to the NEO under the Performance Unit Program.</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88"/>
        </w:numPr>
        <w:rPr>
          <w:rFonts w:ascii="Arial" w:cs="Arial" w:eastAsia="Arial" w:hAnsi="Arial"/>
          <w:sz w:val="16"/>
          <w:szCs w:val="16"/>
          <w:color w:val="CB233C"/>
        </w:rPr>
      </w:pPr>
      <w:r>
        <w:rPr>
          <w:rFonts w:ascii="Arial" w:cs="Arial" w:eastAsia="Arial" w:hAnsi="Arial"/>
          <w:sz w:val="16"/>
          <w:szCs w:val="16"/>
          <w:i w:val="1"/>
          <w:iCs w:val="1"/>
          <w:color w:val="auto"/>
        </w:rPr>
        <w:t>Performance Shares</w:t>
      </w:r>
      <w:r>
        <w:rPr>
          <w:rFonts w:ascii="Arial" w:cs="Arial" w:eastAsia="Arial" w:hAnsi="Arial"/>
          <w:sz w:val="16"/>
          <w:szCs w:val="16"/>
          <w:color w:val="auto"/>
        </w:rPr>
        <w:t>. No performance shares would be vested under the Performance Unit Program.</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Change-in-Control. </w:t>
      </w:r>
      <w:r>
        <w:rPr>
          <w:rFonts w:ascii="Arial" w:cs="Arial" w:eastAsia="Arial" w:hAnsi="Arial"/>
          <w:sz w:val="16"/>
          <w:szCs w:val="16"/>
          <w:color w:val="auto"/>
        </w:rPr>
        <w:t>Should a change-in-control take place, the following actions will occur for the NEO’s various elements of compensation:</w:t>
      </w:r>
    </w:p>
    <w:p>
      <w:pPr>
        <w:spacing w:after="0" w:line="194" w:lineRule="exact"/>
        <w:rPr>
          <w:sz w:val="20"/>
          <w:szCs w:val="20"/>
          <w:color w:val="auto"/>
        </w:rPr>
      </w:pPr>
    </w:p>
    <w:p>
      <w:pPr>
        <w:ind w:left="180" w:hanging="172"/>
        <w:spacing w:after="0" w:line="286" w:lineRule="auto"/>
        <w:tabs>
          <w:tab w:leader="none" w:pos="180" w:val="left"/>
        </w:tabs>
        <w:numPr>
          <w:ilvl w:val="0"/>
          <w:numId w:val="89"/>
        </w:numPr>
        <w:rPr>
          <w:rFonts w:ascii="Arial" w:cs="Arial" w:eastAsia="Arial" w:hAnsi="Arial"/>
          <w:sz w:val="16"/>
          <w:szCs w:val="16"/>
          <w:color w:val="CB233C"/>
        </w:rPr>
      </w:pPr>
      <w:r>
        <w:rPr>
          <w:rFonts w:ascii="Arial" w:cs="Arial" w:eastAsia="Arial" w:hAnsi="Arial"/>
          <w:sz w:val="16"/>
          <w:szCs w:val="16"/>
          <w:i w:val="1"/>
          <w:iCs w:val="1"/>
          <w:color w:val="auto"/>
        </w:rPr>
        <w:t xml:space="preserve">Annual Performance Pay Plan. </w:t>
      </w:r>
      <w:r>
        <w:rPr>
          <w:rFonts w:ascii="Arial" w:cs="Arial" w:eastAsia="Arial" w:hAnsi="Arial"/>
          <w:sz w:val="16"/>
          <w:szCs w:val="16"/>
          <w:color w:val="auto"/>
        </w:rPr>
        <w:t>A NEO experiencing a Qualifying Termination will be entitled to payment equal to the target amount of the award he or she</w:t>
      </w:r>
      <w:r>
        <w:rPr>
          <w:rFonts w:ascii="Arial" w:cs="Arial" w:eastAsia="Arial" w:hAnsi="Arial"/>
          <w:sz w:val="16"/>
          <w:szCs w:val="16"/>
          <w:i w:val="1"/>
          <w:iCs w:val="1"/>
          <w:color w:val="auto"/>
        </w:rPr>
        <w:t xml:space="preserve"> </w:t>
      </w:r>
      <w:r>
        <w:rPr>
          <w:rFonts w:ascii="Arial" w:cs="Arial" w:eastAsia="Arial" w:hAnsi="Arial"/>
          <w:sz w:val="16"/>
          <w:szCs w:val="16"/>
          <w:color w:val="auto"/>
        </w:rPr>
        <w:t>would have been entitled to receive, without proration.</w:t>
      </w:r>
    </w:p>
    <w:p>
      <w:pPr>
        <w:spacing w:after="0" w:line="20" w:lineRule="exact"/>
        <w:rPr>
          <w:rFonts w:ascii="Arial" w:cs="Arial" w:eastAsia="Arial" w:hAnsi="Arial"/>
          <w:sz w:val="16"/>
          <w:szCs w:val="16"/>
          <w:color w:val="CB233C"/>
        </w:rPr>
      </w:pPr>
    </w:p>
    <w:p>
      <w:pPr>
        <w:jc w:val="both"/>
        <w:ind w:left="180" w:right="20" w:hanging="172"/>
        <w:spacing w:after="0" w:line="266" w:lineRule="auto"/>
        <w:tabs>
          <w:tab w:leader="none" w:pos="180" w:val="left"/>
        </w:tabs>
        <w:numPr>
          <w:ilvl w:val="0"/>
          <w:numId w:val="89"/>
        </w:numPr>
        <w:rPr>
          <w:rFonts w:ascii="Arial" w:cs="Arial" w:eastAsia="Arial" w:hAnsi="Arial"/>
          <w:sz w:val="16"/>
          <w:szCs w:val="16"/>
          <w:color w:val="CB233C"/>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Restricted shares granted under the Stock and Incentive Plan prior to February 13, 2019, are automatically vested. Restricted shares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on or after February 13, 2019, only vest in the event of a Qualifying Termination. Restricted stock holdings information can be found in the Outstanding Equity Awards at Fiscal Year End 2021 table.</w:t>
      </w:r>
    </w:p>
    <w:p>
      <w:pPr>
        <w:spacing w:after="0" w:line="36" w:lineRule="exact"/>
        <w:rPr>
          <w:rFonts w:ascii="Arial" w:cs="Arial" w:eastAsia="Arial" w:hAnsi="Arial"/>
          <w:sz w:val="16"/>
          <w:szCs w:val="16"/>
          <w:color w:val="CB233C"/>
        </w:rPr>
      </w:pPr>
    </w:p>
    <w:p>
      <w:pPr>
        <w:jc w:val="both"/>
        <w:ind w:left="180" w:hanging="172"/>
        <w:spacing w:after="0" w:line="266" w:lineRule="auto"/>
        <w:tabs>
          <w:tab w:leader="none" w:pos="180" w:val="left"/>
        </w:tabs>
        <w:numPr>
          <w:ilvl w:val="0"/>
          <w:numId w:val="89"/>
        </w:numPr>
        <w:rPr>
          <w:rFonts w:ascii="Arial" w:cs="Arial" w:eastAsia="Arial" w:hAnsi="Arial"/>
          <w:sz w:val="16"/>
          <w:szCs w:val="16"/>
          <w:color w:val="CB233C"/>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Any outstanding options granted under the Stock and Incentive Plan prior to February 13, 2019, shall become immediately vested and fully</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by the NEO.No stock options were granted to NEOs in 2021. Stock option information can be found in the Outstanding Equity Awards at Fiscal Year End 2021 table.</w:t>
      </w:r>
    </w:p>
    <w:p>
      <w:pPr>
        <w:spacing w:after="0" w:line="36" w:lineRule="exact"/>
        <w:rPr>
          <w:rFonts w:ascii="Arial" w:cs="Arial" w:eastAsia="Arial" w:hAnsi="Arial"/>
          <w:sz w:val="16"/>
          <w:szCs w:val="16"/>
          <w:color w:val="CB233C"/>
        </w:rPr>
      </w:pPr>
    </w:p>
    <w:p>
      <w:pPr>
        <w:jc w:val="both"/>
        <w:ind w:left="180" w:hanging="172"/>
        <w:spacing w:after="0" w:line="259" w:lineRule="auto"/>
        <w:tabs>
          <w:tab w:leader="none" w:pos="180" w:val="left"/>
        </w:tabs>
        <w:numPr>
          <w:ilvl w:val="0"/>
          <w:numId w:val="89"/>
        </w:numPr>
        <w:rPr>
          <w:rFonts w:ascii="Arial" w:cs="Arial" w:eastAsia="Arial" w:hAnsi="Arial"/>
          <w:sz w:val="16"/>
          <w:szCs w:val="16"/>
          <w:color w:val="CB233C"/>
        </w:rPr>
      </w:pPr>
      <w:r>
        <w:rPr>
          <w:rFonts w:ascii="Arial" w:cs="Arial" w:eastAsia="Arial" w:hAnsi="Arial"/>
          <w:sz w:val="16"/>
          <w:szCs w:val="16"/>
          <w:i w:val="1"/>
          <w:iCs w:val="1"/>
          <w:color w:val="auto"/>
        </w:rPr>
        <w:t xml:space="preserve">Performance Cash. </w:t>
      </w:r>
      <w:r>
        <w:rPr>
          <w:rFonts w:ascii="Arial" w:cs="Arial" w:eastAsia="Arial" w:hAnsi="Arial"/>
          <w:sz w:val="16"/>
          <w:szCs w:val="16"/>
          <w:color w:val="auto"/>
        </w:rPr>
        <w:t>For performance cycles beginning prior to 2019, in the event of a change-in-control during a performance cycle, the NEO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an immediate cash payment equal to the maximum amount he or she would have been entitled to receive for the performance cycle, prorated through the date of the change-in-control. Beginning with the 2019 performance cycle, a NEO experiencing a Qualifying Termination will be entitled to payment equal to the target amount of the award he or she would have been entitled to receive, without proration.</w:t>
      </w:r>
    </w:p>
    <w:p>
      <w:pPr>
        <w:spacing w:after="0" w:line="42" w:lineRule="exact"/>
        <w:rPr>
          <w:rFonts w:ascii="Arial" w:cs="Arial" w:eastAsia="Arial" w:hAnsi="Arial"/>
          <w:sz w:val="16"/>
          <w:szCs w:val="16"/>
          <w:color w:val="CB233C"/>
        </w:rPr>
      </w:pPr>
    </w:p>
    <w:p>
      <w:pPr>
        <w:jc w:val="both"/>
        <w:ind w:left="180" w:hanging="172"/>
        <w:spacing w:after="0" w:line="266" w:lineRule="auto"/>
        <w:tabs>
          <w:tab w:leader="none" w:pos="180" w:val="left"/>
        </w:tabs>
        <w:numPr>
          <w:ilvl w:val="0"/>
          <w:numId w:val="89"/>
        </w:numPr>
        <w:rPr>
          <w:rFonts w:ascii="Arial" w:cs="Arial" w:eastAsia="Arial" w:hAnsi="Arial"/>
          <w:sz w:val="16"/>
          <w:szCs w:val="16"/>
          <w:color w:val="CB233C"/>
        </w:rPr>
      </w:pPr>
      <w:r>
        <w:rPr>
          <w:rFonts w:ascii="Arial" w:cs="Arial" w:eastAsia="Arial" w:hAnsi="Arial"/>
          <w:sz w:val="16"/>
          <w:szCs w:val="16"/>
          <w:i w:val="1"/>
          <w:iCs w:val="1"/>
          <w:color w:val="auto"/>
        </w:rPr>
        <w:t>Performance Shares</w:t>
      </w:r>
      <w:r>
        <w:rPr>
          <w:rFonts w:ascii="Arial" w:cs="Arial" w:eastAsia="Arial" w:hAnsi="Arial"/>
          <w:sz w:val="16"/>
          <w:szCs w:val="16"/>
          <w:color w:val="auto"/>
        </w:rPr>
        <w:t>. As described in Compensation Discussion and Analysis, beginning with the 2020 performance cycle, 50% of a NEO’s opportunity</w:t>
      </w:r>
      <w:r>
        <w:rPr>
          <w:rFonts w:ascii="Arial" w:cs="Arial" w:eastAsia="Arial" w:hAnsi="Arial"/>
          <w:sz w:val="16"/>
          <w:szCs w:val="16"/>
          <w:i w:val="1"/>
          <w:iCs w:val="1"/>
          <w:color w:val="auto"/>
        </w:rPr>
        <w:t xml:space="preserve"> </w:t>
      </w:r>
      <w:r>
        <w:rPr>
          <w:rFonts w:ascii="Arial" w:cs="Arial" w:eastAsia="Arial" w:hAnsi="Arial"/>
          <w:sz w:val="16"/>
          <w:szCs w:val="16"/>
          <w:color w:val="auto"/>
        </w:rPr>
        <w:t>was granted in shares. For the 2020 performance cycle and subsequent performance cycles, a NEO experiencing a Qualifying Termination will be entitled to share vesting equal to the target amount of the award he or she would have been entitled to receive, without proration.</w:t>
      </w:r>
    </w:p>
    <w:p>
      <w:pPr>
        <w:spacing w:after="0" w:line="22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886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CB233C"/>
        </w:rPr>
        <w:t xml:space="preserve">Equity Compensation </w:t>
      </w:r>
      <w:r>
        <w:rPr>
          <w:rFonts w:ascii="Arial" w:cs="Arial" w:eastAsia="Arial" w:hAnsi="Arial"/>
          <w:sz w:val="47"/>
          <w:szCs w:val="47"/>
          <w:b w:val="1"/>
          <w:bCs w:val="1"/>
          <w:color w:val="000000"/>
        </w:rPr>
        <w:t>Plan Information</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information, as of December 31, 2021, with respect to our equity compensation plans.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9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 Securities</w:t>
            </w:r>
          </w:p>
        </w:tc>
      </w:tr>
      <w:tr>
        <w:trPr>
          <w:trHeight w:val="189"/>
        </w:trPr>
        <w:tc>
          <w:tcPr>
            <w:tcW w:w="3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920" w:type="dxa"/>
            <w:vAlign w:val="bottom"/>
          </w:tcPr>
          <w:p>
            <w:pPr>
              <w:jc w:val="right"/>
              <w:ind w:right="19"/>
              <w:spacing w:after="0"/>
              <w:rPr>
                <w:sz w:val="20"/>
                <w:szCs w:val="20"/>
                <w:color w:val="auto"/>
              </w:rPr>
            </w:pPr>
            <w:r>
              <w:rPr>
                <w:rFonts w:ascii="Arial" w:cs="Arial" w:eastAsia="Arial" w:hAnsi="Arial"/>
                <w:sz w:val="16"/>
                <w:szCs w:val="16"/>
                <w:b w:val="1"/>
                <w:bCs w:val="1"/>
                <w:color w:val="auto"/>
              </w:rPr>
              <w:t>Remaining Available for</w:t>
            </w:r>
          </w:p>
        </w:tc>
      </w:tr>
      <w:tr>
        <w:trPr>
          <w:trHeight w:val="189"/>
        </w:trPr>
        <w:tc>
          <w:tcPr>
            <w:tcW w:w="3100" w:type="dxa"/>
            <w:vAlign w:val="bottom"/>
          </w:tcPr>
          <w:p>
            <w:pPr>
              <w:spacing w:after="0"/>
              <w:rPr>
                <w:sz w:val="16"/>
                <w:szCs w:val="16"/>
                <w:color w:val="auto"/>
              </w:rPr>
            </w:pPr>
          </w:p>
        </w:tc>
        <w:tc>
          <w:tcPr>
            <w:tcW w:w="2840" w:type="dxa"/>
            <w:vAlign w:val="bottom"/>
          </w:tcPr>
          <w:p>
            <w:pPr>
              <w:jc w:val="right"/>
              <w:ind w:right="319"/>
              <w:spacing w:after="0"/>
              <w:rPr>
                <w:sz w:val="20"/>
                <w:szCs w:val="20"/>
                <w:color w:val="auto"/>
              </w:rPr>
            </w:pPr>
            <w:r>
              <w:rPr>
                <w:rFonts w:ascii="Arial" w:cs="Arial" w:eastAsia="Arial" w:hAnsi="Arial"/>
                <w:sz w:val="16"/>
                <w:szCs w:val="16"/>
                <w:b w:val="1"/>
                <w:bCs w:val="1"/>
                <w:color w:val="auto"/>
              </w:rPr>
              <w:t>Number of Securities to be</w:t>
            </w:r>
          </w:p>
        </w:tc>
        <w:tc>
          <w:tcPr>
            <w:tcW w:w="238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Weighted-Average</w:t>
            </w:r>
          </w:p>
        </w:tc>
        <w:tc>
          <w:tcPr>
            <w:tcW w:w="2920" w:type="dxa"/>
            <w:vAlign w:val="bottom"/>
          </w:tcPr>
          <w:p>
            <w:pPr>
              <w:jc w:val="right"/>
              <w:ind w:right="19"/>
              <w:spacing w:after="0"/>
              <w:rPr>
                <w:sz w:val="20"/>
                <w:szCs w:val="20"/>
                <w:color w:val="auto"/>
              </w:rPr>
            </w:pPr>
            <w:r>
              <w:rPr>
                <w:rFonts w:ascii="Arial" w:cs="Arial" w:eastAsia="Arial" w:hAnsi="Arial"/>
                <w:sz w:val="16"/>
                <w:szCs w:val="16"/>
                <w:b w:val="1"/>
                <w:bCs w:val="1"/>
                <w:color w:val="auto"/>
              </w:rPr>
              <w:t>Future Issuance Under Equity</w:t>
            </w:r>
          </w:p>
        </w:tc>
      </w:tr>
      <w:tr>
        <w:trPr>
          <w:trHeight w:val="189"/>
        </w:trPr>
        <w:tc>
          <w:tcPr>
            <w:tcW w:w="3100" w:type="dxa"/>
            <w:vAlign w:val="bottom"/>
          </w:tcPr>
          <w:p>
            <w:pPr>
              <w:spacing w:after="0"/>
              <w:rPr>
                <w:sz w:val="16"/>
                <w:szCs w:val="16"/>
                <w:color w:val="auto"/>
              </w:rPr>
            </w:pPr>
          </w:p>
        </w:tc>
        <w:tc>
          <w:tcPr>
            <w:tcW w:w="2840" w:type="dxa"/>
            <w:vAlign w:val="bottom"/>
          </w:tcPr>
          <w:p>
            <w:pPr>
              <w:jc w:val="right"/>
              <w:ind w:right="319"/>
              <w:spacing w:after="0"/>
              <w:rPr>
                <w:sz w:val="20"/>
                <w:szCs w:val="20"/>
                <w:color w:val="auto"/>
              </w:rPr>
            </w:pPr>
            <w:r>
              <w:rPr>
                <w:rFonts w:ascii="Arial" w:cs="Arial" w:eastAsia="Arial" w:hAnsi="Arial"/>
                <w:sz w:val="16"/>
                <w:szCs w:val="16"/>
                <w:b w:val="1"/>
                <w:bCs w:val="1"/>
                <w:color w:val="auto"/>
              </w:rPr>
              <w:t>Issued Upon Exercise of</w:t>
            </w:r>
          </w:p>
        </w:tc>
        <w:tc>
          <w:tcPr>
            <w:tcW w:w="238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Exercise Price of</w:t>
            </w:r>
          </w:p>
        </w:tc>
        <w:tc>
          <w:tcPr>
            <w:tcW w:w="2920" w:type="dxa"/>
            <w:vAlign w:val="bottom"/>
          </w:tcPr>
          <w:p>
            <w:pPr>
              <w:jc w:val="right"/>
              <w:ind w:right="19"/>
              <w:spacing w:after="0"/>
              <w:rPr>
                <w:sz w:val="20"/>
                <w:szCs w:val="20"/>
                <w:color w:val="auto"/>
              </w:rPr>
            </w:pPr>
            <w:r>
              <w:rPr>
                <w:rFonts w:ascii="Arial" w:cs="Arial" w:eastAsia="Arial" w:hAnsi="Arial"/>
                <w:sz w:val="16"/>
                <w:szCs w:val="16"/>
                <w:b w:val="1"/>
                <w:bCs w:val="1"/>
                <w:color w:val="auto"/>
              </w:rPr>
              <w:t>Compensation Plans (Excluding</w:t>
            </w:r>
          </w:p>
        </w:tc>
      </w:tr>
      <w:tr>
        <w:trPr>
          <w:trHeight w:val="189"/>
        </w:trPr>
        <w:tc>
          <w:tcPr>
            <w:tcW w:w="3100" w:type="dxa"/>
            <w:vAlign w:val="bottom"/>
          </w:tcPr>
          <w:p>
            <w:pPr>
              <w:spacing w:after="0"/>
              <w:rPr>
                <w:sz w:val="16"/>
                <w:szCs w:val="16"/>
                <w:color w:val="auto"/>
              </w:rPr>
            </w:pPr>
          </w:p>
        </w:tc>
        <w:tc>
          <w:tcPr>
            <w:tcW w:w="2840" w:type="dxa"/>
            <w:vAlign w:val="bottom"/>
          </w:tcPr>
          <w:p>
            <w:pPr>
              <w:jc w:val="right"/>
              <w:ind w:right="319"/>
              <w:spacing w:after="0"/>
              <w:rPr>
                <w:sz w:val="20"/>
                <w:szCs w:val="20"/>
                <w:color w:val="auto"/>
              </w:rPr>
            </w:pPr>
            <w:r>
              <w:rPr>
                <w:rFonts w:ascii="Arial" w:cs="Arial" w:eastAsia="Arial" w:hAnsi="Arial"/>
                <w:sz w:val="16"/>
                <w:szCs w:val="16"/>
                <w:b w:val="1"/>
                <w:bCs w:val="1"/>
                <w:color w:val="auto"/>
              </w:rPr>
              <w:t>Outstanding Options,</w:t>
            </w:r>
          </w:p>
        </w:tc>
        <w:tc>
          <w:tcPr>
            <w:tcW w:w="238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Outstanding Options,</w:t>
            </w:r>
          </w:p>
        </w:tc>
        <w:tc>
          <w:tcPr>
            <w:tcW w:w="2920" w:type="dxa"/>
            <w:vAlign w:val="bottom"/>
          </w:tcPr>
          <w:p>
            <w:pPr>
              <w:jc w:val="right"/>
              <w:ind w:right="19"/>
              <w:spacing w:after="0"/>
              <w:rPr>
                <w:sz w:val="20"/>
                <w:szCs w:val="20"/>
                <w:color w:val="auto"/>
              </w:rPr>
            </w:pPr>
            <w:r>
              <w:rPr>
                <w:rFonts w:ascii="Arial" w:cs="Arial" w:eastAsia="Arial" w:hAnsi="Arial"/>
                <w:sz w:val="16"/>
                <w:szCs w:val="16"/>
                <w:b w:val="1"/>
                <w:bCs w:val="1"/>
                <w:color w:val="auto"/>
              </w:rPr>
              <w:t>Securities Reflected in</w:t>
            </w:r>
          </w:p>
        </w:tc>
      </w:tr>
      <w:tr>
        <w:trPr>
          <w:trHeight w:val="189"/>
        </w:trPr>
        <w:tc>
          <w:tcPr>
            <w:tcW w:w="3100" w:type="dxa"/>
            <w:vAlign w:val="bottom"/>
          </w:tcPr>
          <w:p>
            <w:pPr>
              <w:spacing w:after="0"/>
              <w:rPr>
                <w:sz w:val="16"/>
                <w:szCs w:val="16"/>
                <w:color w:val="auto"/>
              </w:rPr>
            </w:pPr>
          </w:p>
        </w:tc>
        <w:tc>
          <w:tcPr>
            <w:tcW w:w="2840" w:type="dxa"/>
            <w:vAlign w:val="bottom"/>
          </w:tcPr>
          <w:p>
            <w:pPr>
              <w:jc w:val="right"/>
              <w:ind w:right="319"/>
              <w:spacing w:after="0"/>
              <w:rPr>
                <w:sz w:val="20"/>
                <w:szCs w:val="20"/>
                <w:color w:val="auto"/>
              </w:rPr>
            </w:pPr>
            <w:r>
              <w:rPr>
                <w:rFonts w:ascii="Arial" w:cs="Arial" w:eastAsia="Arial" w:hAnsi="Arial"/>
                <w:sz w:val="16"/>
                <w:szCs w:val="16"/>
                <w:b w:val="1"/>
                <w:bCs w:val="1"/>
                <w:color w:val="auto"/>
              </w:rPr>
              <w:t>Warrants and Rights</w:t>
            </w:r>
          </w:p>
        </w:tc>
        <w:tc>
          <w:tcPr>
            <w:tcW w:w="238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Warrants and Rights</w:t>
            </w:r>
          </w:p>
        </w:tc>
        <w:tc>
          <w:tcPr>
            <w:tcW w:w="2920" w:type="dxa"/>
            <w:vAlign w:val="bottom"/>
          </w:tcPr>
          <w:p>
            <w:pPr>
              <w:jc w:val="right"/>
              <w:ind w:right="19"/>
              <w:spacing w:after="0"/>
              <w:rPr>
                <w:sz w:val="20"/>
                <w:szCs w:val="20"/>
                <w:color w:val="auto"/>
              </w:rPr>
            </w:pPr>
            <w:r>
              <w:rPr>
                <w:rFonts w:ascii="Arial" w:cs="Arial" w:eastAsia="Arial" w:hAnsi="Arial"/>
                <w:sz w:val="16"/>
                <w:szCs w:val="16"/>
                <w:b w:val="1"/>
                <w:bCs w:val="1"/>
                <w:color w:val="auto"/>
              </w:rPr>
              <w:t>Column (a))</w:t>
            </w:r>
          </w:p>
        </w:tc>
      </w:tr>
      <w:tr>
        <w:trPr>
          <w:trHeight w:val="203"/>
        </w:trPr>
        <w:tc>
          <w:tcPr>
            <w:tcW w:w="3100" w:type="dxa"/>
            <w:vAlign w:val="bottom"/>
            <w:tcBorders>
              <w:bottom w:val="single" w:sz="8" w:color="CB233C"/>
            </w:tcBorders>
          </w:tcPr>
          <w:p>
            <w:pPr>
              <w:ind w:left="40"/>
              <w:spacing w:after="0"/>
              <w:rPr>
                <w:sz w:val="20"/>
                <w:szCs w:val="20"/>
                <w:color w:val="auto"/>
              </w:rPr>
            </w:pPr>
            <w:r>
              <w:rPr>
                <w:rFonts w:ascii="Arial" w:cs="Arial" w:eastAsia="Arial" w:hAnsi="Arial"/>
                <w:sz w:val="16"/>
                <w:szCs w:val="16"/>
                <w:b w:val="1"/>
                <w:bCs w:val="1"/>
                <w:color w:val="auto"/>
              </w:rPr>
              <w:t>Plan Category</w:t>
            </w:r>
          </w:p>
        </w:tc>
        <w:tc>
          <w:tcPr>
            <w:tcW w:w="2840" w:type="dxa"/>
            <w:vAlign w:val="bottom"/>
            <w:tcBorders>
              <w:bottom w:val="single" w:sz="8" w:color="CB233C"/>
            </w:tcBorders>
          </w:tcPr>
          <w:p>
            <w:pPr>
              <w:jc w:val="right"/>
              <w:ind w:right="319"/>
              <w:spacing w:after="0"/>
              <w:rPr>
                <w:sz w:val="20"/>
                <w:szCs w:val="20"/>
                <w:color w:val="auto"/>
              </w:rPr>
            </w:pPr>
            <w:r>
              <w:rPr>
                <w:rFonts w:ascii="Arial" w:cs="Arial" w:eastAsia="Arial" w:hAnsi="Arial"/>
                <w:sz w:val="16"/>
                <w:szCs w:val="16"/>
                <w:b w:val="1"/>
                <w:bCs w:val="1"/>
                <w:color w:val="auto"/>
              </w:rPr>
              <w:t>(a)</w:t>
            </w:r>
          </w:p>
        </w:tc>
        <w:tc>
          <w:tcPr>
            <w:tcW w:w="1580" w:type="dxa"/>
            <w:vAlign w:val="bottom"/>
            <w:tcBorders>
              <w:bottom w:val="single" w:sz="8" w:color="CB233C"/>
            </w:tcBorders>
          </w:tcPr>
          <w:p>
            <w:pPr>
              <w:spacing w:after="0"/>
              <w:rPr>
                <w:sz w:val="17"/>
                <w:szCs w:val="17"/>
                <w:color w:val="auto"/>
              </w:rPr>
            </w:pPr>
          </w:p>
        </w:tc>
        <w:tc>
          <w:tcPr>
            <w:tcW w:w="800" w:type="dxa"/>
            <w:vAlign w:val="bottom"/>
            <w:tcBorders>
              <w:bottom w:val="single" w:sz="8" w:color="CB233C"/>
            </w:tcBorders>
          </w:tcPr>
          <w:p>
            <w:pPr>
              <w:jc w:val="right"/>
              <w:ind w:right="239"/>
              <w:spacing w:after="0"/>
              <w:rPr>
                <w:sz w:val="20"/>
                <w:szCs w:val="20"/>
                <w:color w:val="auto"/>
              </w:rPr>
            </w:pPr>
            <w:r>
              <w:rPr>
                <w:rFonts w:ascii="Arial" w:cs="Arial" w:eastAsia="Arial" w:hAnsi="Arial"/>
                <w:sz w:val="16"/>
                <w:szCs w:val="16"/>
                <w:b w:val="1"/>
                <w:bCs w:val="1"/>
                <w:color w:val="auto"/>
              </w:rPr>
              <w:t>(b)</w:t>
            </w:r>
          </w:p>
        </w:tc>
        <w:tc>
          <w:tcPr>
            <w:tcW w:w="292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auto"/>
              </w:rPr>
              <w:t>(c)</w:t>
            </w:r>
          </w:p>
        </w:tc>
      </w:tr>
      <w:tr>
        <w:trPr>
          <w:trHeight w:val="168"/>
        </w:trPr>
        <w:tc>
          <w:tcPr>
            <w:tcW w:w="3100" w:type="dxa"/>
            <w:vAlign w:val="bottom"/>
          </w:tcPr>
          <w:p>
            <w:pPr>
              <w:ind w:left="40"/>
              <w:spacing w:after="0" w:line="168" w:lineRule="exact"/>
              <w:rPr>
                <w:sz w:val="20"/>
                <w:szCs w:val="20"/>
                <w:color w:val="auto"/>
              </w:rPr>
            </w:pPr>
            <w:r>
              <w:rPr>
                <w:rFonts w:ascii="Arial" w:cs="Arial" w:eastAsia="Arial" w:hAnsi="Arial"/>
                <w:sz w:val="16"/>
                <w:szCs w:val="16"/>
                <w:color w:val="auto"/>
              </w:rPr>
              <w:t>Equity compensation plans approved</w:t>
            </w:r>
          </w:p>
        </w:tc>
        <w:tc>
          <w:tcPr>
            <w:tcW w:w="2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203"/>
        </w:trPr>
        <w:tc>
          <w:tcPr>
            <w:tcW w:w="3100" w:type="dxa"/>
            <w:vAlign w:val="bottom"/>
            <w:tcBorders>
              <w:bottom w:val="single" w:sz="8" w:color="A7A9AC"/>
            </w:tcBorders>
          </w:tcPr>
          <w:p>
            <w:pPr>
              <w:ind w:left="220"/>
              <w:spacing w:after="0"/>
              <w:rPr>
                <w:sz w:val="20"/>
                <w:szCs w:val="20"/>
                <w:color w:val="auto"/>
              </w:rPr>
            </w:pPr>
            <w:r>
              <w:rPr>
                <w:rFonts w:ascii="Arial" w:cs="Arial" w:eastAsia="Arial" w:hAnsi="Arial"/>
                <w:sz w:val="16"/>
                <w:szCs w:val="16"/>
                <w:color w:val="auto"/>
              </w:rPr>
              <w:t>by security holders</w:t>
            </w:r>
          </w:p>
        </w:tc>
        <w:tc>
          <w:tcPr>
            <w:tcW w:w="2840" w:type="dxa"/>
            <w:vAlign w:val="bottom"/>
            <w:tcBorders>
              <w:bottom w:val="single" w:sz="8" w:color="A7A9AC"/>
            </w:tcBorders>
          </w:tcPr>
          <w:p>
            <w:pPr>
              <w:jc w:val="right"/>
              <w:ind w:right="319"/>
              <w:spacing w:after="0"/>
              <w:rPr>
                <w:sz w:val="20"/>
                <w:szCs w:val="20"/>
                <w:color w:val="auto"/>
              </w:rPr>
            </w:pPr>
            <w:r>
              <w:rPr>
                <w:rFonts w:ascii="Arial" w:cs="Arial" w:eastAsia="Arial" w:hAnsi="Arial"/>
                <w:sz w:val="16"/>
                <w:szCs w:val="16"/>
                <w:color w:val="auto"/>
              </w:rPr>
              <w:t>24,173,808</w:t>
            </w:r>
          </w:p>
        </w:tc>
        <w:tc>
          <w:tcPr>
            <w:tcW w:w="15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7A9AC"/>
            </w:tcBorders>
          </w:tcPr>
          <w:p>
            <w:pPr>
              <w:jc w:val="right"/>
              <w:ind w:right="239"/>
              <w:spacing w:after="0"/>
              <w:rPr>
                <w:sz w:val="20"/>
                <w:szCs w:val="20"/>
                <w:color w:val="auto"/>
              </w:rPr>
            </w:pPr>
            <w:r>
              <w:rPr>
                <w:rFonts w:ascii="Arial" w:cs="Arial" w:eastAsia="Arial" w:hAnsi="Arial"/>
                <w:sz w:val="16"/>
                <w:szCs w:val="16"/>
                <w:color w:val="auto"/>
              </w:rPr>
              <w:t>40.42</w:t>
            </w:r>
          </w:p>
        </w:tc>
        <w:tc>
          <w:tcPr>
            <w:tcW w:w="29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auto"/>
              </w:rPr>
              <w:t>63,657,436</w:t>
            </w:r>
          </w:p>
        </w:tc>
      </w:tr>
      <w:tr>
        <w:trPr>
          <w:trHeight w:val="168"/>
        </w:trPr>
        <w:tc>
          <w:tcPr>
            <w:tcW w:w="3100" w:type="dxa"/>
            <w:vAlign w:val="bottom"/>
          </w:tcPr>
          <w:p>
            <w:pPr>
              <w:ind w:left="40"/>
              <w:spacing w:after="0" w:line="168" w:lineRule="exact"/>
              <w:rPr>
                <w:sz w:val="20"/>
                <w:szCs w:val="20"/>
                <w:color w:val="auto"/>
              </w:rPr>
            </w:pPr>
            <w:r>
              <w:rPr>
                <w:rFonts w:ascii="Arial" w:cs="Arial" w:eastAsia="Arial" w:hAnsi="Arial"/>
                <w:sz w:val="16"/>
                <w:szCs w:val="16"/>
                <w:color w:val="auto"/>
              </w:rPr>
              <w:t>Equity compensation plans not</w:t>
            </w:r>
          </w:p>
        </w:tc>
        <w:tc>
          <w:tcPr>
            <w:tcW w:w="2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203"/>
        </w:trPr>
        <w:tc>
          <w:tcPr>
            <w:tcW w:w="3100" w:type="dxa"/>
            <w:vAlign w:val="bottom"/>
            <w:tcBorders>
              <w:bottom w:val="single" w:sz="8" w:color="CB233C"/>
            </w:tcBorders>
          </w:tcPr>
          <w:p>
            <w:pPr>
              <w:ind w:left="220"/>
              <w:spacing w:after="0"/>
              <w:rPr>
                <w:sz w:val="20"/>
                <w:szCs w:val="20"/>
                <w:color w:val="auto"/>
              </w:rPr>
            </w:pPr>
            <w:r>
              <w:rPr>
                <w:rFonts w:ascii="Arial" w:cs="Arial" w:eastAsia="Arial" w:hAnsi="Arial"/>
                <w:sz w:val="16"/>
                <w:szCs w:val="16"/>
                <w:color w:val="auto"/>
              </w:rPr>
              <w:t>approved by security holders</w:t>
            </w:r>
          </w:p>
        </w:tc>
        <w:tc>
          <w:tcPr>
            <w:tcW w:w="2840" w:type="dxa"/>
            <w:vAlign w:val="bottom"/>
            <w:tcBorders>
              <w:bottom w:val="single" w:sz="8" w:color="CB233C"/>
            </w:tcBorders>
          </w:tcPr>
          <w:p>
            <w:pPr>
              <w:jc w:val="right"/>
              <w:ind w:right="3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B233C"/>
            </w:tcBorders>
          </w:tcPr>
          <w:p>
            <w:pPr>
              <w:spacing w:after="0"/>
              <w:rPr>
                <w:sz w:val="17"/>
                <w:szCs w:val="17"/>
                <w:color w:val="auto"/>
              </w:rPr>
            </w:pPr>
          </w:p>
        </w:tc>
        <w:tc>
          <w:tcPr>
            <w:tcW w:w="800" w:type="dxa"/>
            <w:vAlign w:val="bottom"/>
            <w:tcBorders>
              <w:bottom w:val="single" w:sz="8" w:color="CB233C"/>
            </w:tcBorders>
          </w:tcPr>
          <w:p>
            <w:pPr>
              <w:jc w:val="right"/>
              <w:ind w:right="239"/>
              <w:spacing w:after="0"/>
              <w:rPr>
                <w:sz w:val="20"/>
                <w:szCs w:val="20"/>
                <w:color w:val="auto"/>
              </w:rPr>
            </w:pPr>
            <w:r>
              <w:rPr>
                <w:rFonts w:ascii="Arial" w:cs="Arial" w:eastAsia="Arial" w:hAnsi="Arial"/>
                <w:sz w:val="16"/>
                <w:szCs w:val="16"/>
                <w:color w:val="auto"/>
              </w:rPr>
              <w:t>—</w:t>
            </w:r>
          </w:p>
        </w:tc>
        <w:tc>
          <w:tcPr>
            <w:tcW w:w="292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color w:val="auto"/>
              </w:rPr>
              <w:t>—</w:t>
            </w:r>
          </w:p>
        </w:tc>
      </w:tr>
      <w:tr>
        <w:trPr>
          <w:trHeight w:val="196"/>
        </w:trPr>
        <w:tc>
          <w:tcPr>
            <w:tcW w:w="3100" w:type="dxa"/>
            <w:vAlign w:val="bottom"/>
            <w:tcBorders>
              <w:bottom w:val="single" w:sz="8" w:color="CB233C"/>
            </w:tcBorders>
          </w:tcPr>
          <w:p>
            <w:pPr>
              <w:ind w:left="40"/>
              <w:spacing w:after="0"/>
              <w:rPr>
                <w:sz w:val="20"/>
                <w:szCs w:val="20"/>
                <w:color w:val="auto"/>
              </w:rPr>
            </w:pPr>
            <w:r>
              <w:rPr>
                <w:rFonts w:ascii="Arial" w:cs="Arial" w:eastAsia="Arial" w:hAnsi="Arial"/>
                <w:sz w:val="16"/>
                <w:szCs w:val="16"/>
                <w:b w:val="1"/>
                <w:bCs w:val="1"/>
                <w:color w:val="CB233C"/>
              </w:rPr>
              <w:t>TOTAL</w:t>
            </w:r>
          </w:p>
        </w:tc>
        <w:tc>
          <w:tcPr>
            <w:tcW w:w="2840" w:type="dxa"/>
            <w:vAlign w:val="bottom"/>
            <w:tcBorders>
              <w:bottom w:val="single" w:sz="8" w:color="CB233C"/>
            </w:tcBorders>
          </w:tcPr>
          <w:p>
            <w:pPr>
              <w:jc w:val="right"/>
              <w:ind w:right="319"/>
              <w:spacing w:after="0"/>
              <w:rPr>
                <w:sz w:val="20"/>
                <w:szCs w:val="20"/>
                <w:color w:val="auto"/>
              </w:rPr>
            </w:pPr>
            <w:r>
              <w:rPr>
                <w:rFonts w:ascii="Arial" w:cs="Arial" w:eastAsia="Arial" w:hAnsi="Arial"/>
                <w:sz w:val="16"/>
                <w:szCs w:val="16"/>
                <w:b w:val="1"/>
                <w:bCs w:val="1"/>
                <w:color w:val="CB233C"/>
              </w:rPr>
              <w:t>24,173,808</w:t>
            </w:r>
          </w:p>
        </w:tc>
        <w:tc>
          <w:tcPr>
            <w:tcW w:w="1580" w:type="dxa"/>
            <w:vAlign w:val="bottom"/>
            <w:tcBorders>
              <w:bottom w:val="single" w:sz="8" w:color="CB233C"/>
            </w:tcBorders>
          </w:tcPr>
          <w:p>
            <w:pPr>
              <w:jc w:val="right"/>
              <w:spacing w:after="0"/>
              <w:rPr>
                <w:sz w:val="20"/>
                <w:szCs w:val="20"/>
                <w:color w:val="auto"/>
              </w:rPr>
            </w:pPr>
            <w:r>
              <w:rPr>
                <w:rFonts w:ascii="Arial" w:cs="Arial" w:eastAsia="Arial" w:hAnsi="Arial"/>
                <w:sz w:val="16"/>
                <w:szCs w:val="16"/>
                <w:b w:val="1"/>
                <w:bCs w:val="1"/>
                <w:color w:val="CB233C"/>
              </w:rPr>
              <w:t>$</w:t>
            </w:r>
          </w:p>
        </w:tc>
        <w:tc>
          <w:tcPr>
            <w:tcW w:w="800" w:type="dxa"/>
            <w:vAlign w:val="bottom"/>
            <w:tcBorders>
              <w:bottom w:val="single" w:sz="8" w:color="CB233C"/>
            </w:tcBorders>
          </w:tcPr>
          <w:p>
            <w:pPr>
              <w:jc w:val="right"/>
              <w:ind w:right="239"/>
              <w:spacing w:after="0"/>
              <w:rPr>
                <w:sz w:val="20"/>
                <w:szCs w:val="20"/>
                <w:color w:val="auto"/>
              </w:rPr>
            </w:pPr>
            <w:r>
              <w:rPr>
                <w:rFonts w:ascii="Arial" w:cs="Arial" w:eastAsia="Arial" w:hAnsi="Arial"/>
                <w:sz w:val="16"/>
                <w:szCs w:val="16"/>
                <w:b w:val="1"/>
                <w:bCs w:val="1"/>
                <w:color w:val="CB233C"/>
              </w:rPr>
              <w:t>40.42</w:t>
            </w:r>
          </w:p>
        </w:tc>
        <w:tc>
          <w:tcPr>
            <w:tcW w:w="2920" w:type="dxa"/>
            <w:vAlign w:val="bottom"/>
            <w:tcBorders>
              <w:bottom w:val="single" w:sz="8" w:color="CB233C"/>
            </w:tcBorders>
          </w:tcPr>
          <w:p>
            <w:pPr>
              <w:jc w:val="right"/>
              <w:ind w:right="19"/>
              <w:spacing w:after="0"/>
              <w:rPr>
                <w:sz w:val="20"/>
                <w:szCs w:val="20"/>
                <w:color w:val="auto"/>
              </w:rPr>
            </w:pPr>
            <w:r>
              <w:rPr>
                <w:rFonts w:ascii="Arial" w:cs="Arial" w:eastAsia="Arial" w:hAnsi="Arial"/>
                <w:sz w:val="16"/>
                <w:szCs w:val="16"/>
                <w:b w:val="1"/>
                <w:bCs w:val="1"/>
                <w:color w:val="CB233C"/>
              </w:rPr>
              <w:t>63,657,436</w:t>
            </w:r>
          </w:p>
        </w:tc>
      </w:tr>
    </w:tbl>
    <w:p>
      <w:pPr>
        <w:spacing w:after="0" w:line="366" w:lineRule="exact"/>
        <w:rPr>
          <w:sz w:val="20"/>
          <w:szCs w:val="20"/>
          <w:color w:val="auto"/>
        </w:rPr>
      </w:pPr>
    </w:p>
    <w:p>
      <w:pPr>
        <w:spacing w:after="0"/>
        <w:rPr>
          <w:sz w:val="20"/>
          <w:szCs w:val="20"/>
          <w:color w:val="auto"/>
        </w:rPr>
      </w:pPr>
      <w:r>
        <w:rPr>
          <w:rFonts w:ascii="Arial" w:cs="Arial" w:eastAsia="Arial" w:hAnsi="Arial"/>
          <w:sz w:val="47"/>
          <w:szCs w:val="47"/>
          <w:b w:val="1"/>
          <w:bCs w:val="1"/>
          <w:color w:val="CB233C"/>
        </w:rPr>
        <w:t xml:space="preserve">CEO </w:t>
      </w:r>
      <w:r>
        <w:rPr>
          <w:rFonts w:ascii="Arial" w:cs="Arial" w:eastAsia="Arial" w:hAnsi="Arial"/>
          <w:sz w:val="47"/>
          <w:szCs w:val="47"/>
          <w:b w:val="1"/>
          <w:bCs w:val="1"/>
          <w:color w:val="000000"/>
        </w:rPr>
        <w:t>Pay Ratio</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For 2021, the annual total compensation of our CEO was 291 times the median of the annual total compensation of all employees, based on annual total compensation of $23,607,166 for the CEO and $81,076 for the median employee. There was no material change in our employee demographics and compensation structure; therefore, the median employee identified in 2020 was utilized in our 2021 analysis. What follows is a description of the methodology used from 2020.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This disclosure is based on an October 1, 2020, employee population of 40,853, of which 11,226 were U.S. employees and 29,627 were non-U.S.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employees. We excluded from this employee population 2,020 non-U.S. employees from 47 countries as the total number of employees from these non-U.S.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jurisdictions was less than 5% of our total employee population. After applying the exclusion, the total employee population was 38,833.</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Non-U.S. Employee Country Exclusions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20" w:type="dxa"/>
            <w:vAlign w:val="bottom"/>
            <w:tcBorders>
              <w:top w:val="single" w:sz="8" w:color="CB233C"/>
              <w:bottom w:val="single" w:sz="8" w:color="CB233C"/>
            </w:tcBorders>
          </w:tcPr>
          <w:p>
            <w:pPr>
              <w:ind w:left="40"/>
              <w:spacing w:after="0" w:line="183" w:lineRule="exact"/>
              <w:rPr>
                <w:sz w:val="20"/>
                <w:szCs w:val="20"/>
                <w:color w:val="auto"/>
              </w:rPr>
            </w:pPr>
            <w:r>
              <w:rPr>
                <w:rFonts w:ascii="Arial" w:cs="Arial" w:eastAsia="Arial" w:hAnsi="Arial"/>
                <w:sz w:val="16"/>
                <w:szCs w:val="16"/>
                <w:b w:val="1"/>
                <w:bCs w:val="1"/>
                <w:color w:val="auto"/>
              </w:rPr>
              <w:t>Country</w:t>
            </w:r>
          </w:p>
        </w:tc>
        <w:tc>
          <w:tcPr>
            <w:tcW w:w="1040" w:type="dxa"/>
            <w:vAlign w:val="bottom"/>
            <w:tcBorders>
              <w:top w:val="single" w:sz="8" w:color="CB233C"/>
              <w:bottom w:val="single" w:sz="8" w:color="CB233C"/>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Headcount</w:t>
            </w:r>
          </w:p>
        </w:tc>
        <w:tc>
          <w:tcPr>
            <w:tcW w:w="1720" w:type="dxa"/>
            <w:vAlign w:val="bottom"/>
            <w:tcBorders>
              <w:top w:val="single" w:sz="8" w:color="CB233C"/>
              <w:bottom w:val="single" w:sz="8" w:color="CB233C"/>
            </w:tcBorders>
          </w:tcPr>
          <w:p>
            <w:pPr>
              <w:ind w:left="80"/>
              <w:spacing w:after="0" w:line="183" w:lineRule="exact"/>
              <w:rPr>
                <w:sz w:val="20"/>
                <w:szCs w:val="20"/>
                <w:color w:val="auto"/>
              </w:rPr>
            </w:pPr>
            <w:r>
              <w:rPr>
                <w:rFonts w:ascii="Arial" w:cs="Arial" w:eastAsia="Arial" w:hAnsi="Arial"/>
                <w:sz w:val="16"/>
                <w:szCs w:val="16"/>
                <w:b w:val="1"/>
                <w:bCs w:val="1"/>
                <w:color w:val="auto"/>
              </w:rPr>
              <w:t>Country</w:t>
            </w:r>
          </w:p>
        </w:tc>
        <w:tc>
          <w:tcPr>
            <w:tcW w:w="1160" w:type="dxa"/>
            <w:vAlign w:val="bottom"/>
            <w:tcBorders>
              <w:top w:val="single" w:sz="8" w:color="CB233C"/>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Headcount</w:t>
            </w:r>
          </w:p>
        </w:tc>
        <w:tc>
          <w:tcPr>
            <w:tcW w:w="1500" w:type="dxa"/>
            <w:vAlign w:val="bottom"/>
            <w:tcBorders>
              <w:top w:val="single" w:sz="8" w:color="CB233C"/>
              <w:bottom w:val="single" w:sz="8" w:color="CB233C"/>
            </w:tcBorders>
          </w:tcPr>
          <w:p>
            <w:pPr>
              <w:ind w:left="120"/>
              <w:spacing w:after="0" w:line="183" w:lineRule="exact"/>
              <w:rPr>
                <w:sz w:val="20"/>
                <w:szCs w:val="20"/>
                <w:color w:val="auto"/>
              </w:rPr>
            </w:pPr>
            <w:r>
              <w:rPr>
                <w:rFonts w:ascii="Arial" w:cs="Arial" w:eastAsia="Arial" w:hAnsi="Arial"/>
                <w:sz w:val="16"/>
                <w:szCs w:val="16"/>
                <w:b w:val="1"/>
                <w:bCs w:val="1"/>
                <w:color w:val="auto"/>
              </w:rPr>
              <w:t>Country</w:t>
            </w:r>
          </w:p>
        </w:tc>
        <w:tc>
          <w:tcPr>
            <w:tcW w:w="1380" w:type="dxa"/>
            <w:vAlign w:val="bottom"/>
            <w:tcBorders>
              <w:top w:val="single" w:sz="8" w:color="CB233C"/>
              <w:bottom w:val="single" w:sz="8" w:color="CB233C"/>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Headcount</w:t>
            </w:r>
          </w:p>
        </w:tc>
        <w:tc>
          <w:tcPr>
            <w:tcW w:w="1660" w:type="dxa"/>
            <w:vAlign w:val="bottom"/>
            <w:tcBorders>
              <w:top w:val="single" w:sz="8" w:color="CB233C"/>
              <w:bottom w:val="single" w:sz="8" w:color="CB233C"/>
            </w:tcBorders>
          </w:tcPr>
          <w:p>
            <w:pPr>
              <w:ind w:left="100"/>
              <w:spacing w:after="0" w:line="183" w:lineRule="exact"/>
              <w:rPr>
                <w:sz w:val="20"/>
                <w:szCs w:val="20"/>
                <w:color w:val="auto"/>
              </w:rPr>
            </w:pPr>
            <w:r>
              <w:rPr>
                <w:rFonts w:ascii="Arial" w:cs="Arial" w:eastAsia="Arial" w:hAnsi="Arial"/>
                <w:sz w:val="16"/>
                <w:szCs w:val="16"/>
                <w:b w:val="1"/>
                <w:bCs w:val="1"/>
                <w:color w:val="auto"/>
              </w:rPr>
              <w:t>Country</w:t>
            </w:r>
          </w:p>
        </w:tc>
        <w:tc>
          <w:tcPr>
            <w:tcW w:w="1160" w:type="dxa"/>
            <w:vAlign w:val="bottom"/>
            <w:tcBorders>
              <w:top w:val="single" w:sz="8" w:color="CB233C"/>
              <w:bottom w:val="single" w:sz="8" w:color="CB233C"/>
            </w:tcBorders>
          </w:tcPr>
          <w:p>
            <w:pPr>
              <w:jc w:val="right"/>
              <w:spacing w:after="0" w:line="183" w:lineRule="exact"/>
              <w:rPr>
                <w:sz w:val="20"/>
                <w:szCs w:val="20"/>
                <w:color w:val="auto"/>
              </w:rPr>
            </w:pPr>
            <w:r>
              <w:rPr>
                <w:rFonts w:ascii="Arial" w:cs="Arial" w:eastAsia="Arial" w:hAnsi="Arial"/>
                <w:sz w:val="16"/>
                <w:szCs w:val="16"/>
                <w:b w:val="1"/>
                <w:bCs w:val="1"/>
                <w:color w:val="auto"/>
              </w:rPr>
              <w:t>Headcount</w:t>
            </w:r>
          </w:p>
        </w:tc>
      </w:tr>
      <w:tr>
        <w:trPr>
          <w:trHeight w:val="183"/>
        </w:trPr>
        <w:tc>
          <w:tcPr>
            <w:tcW w:w="1620" w:type="dxa"/>
            <w:vAlign w:val="bottom"/>
            <w:tcBorders>
              <w:bottom w:val="single" w:sz="8" w:color="A7A9AC"/>
            </w:tcBorders>
          </w:tcPr>
          <w:p>
            <w:pPr>
              <w:ind w:left="40"/>
              <w:spacing w:after="0" w:line="183" w:lineRule="exact"/>
              <w:rPr>
                <w:sz w:val="20"/>
                <w:szCs w:val="20"/>
                <w:color w:val="auto"/>
              </w:rPr>
            </w:pPr>
            <w:r>
              <w:rPr>
                <w:rFonts w:ascii="Arial" w:cs="Arial" w:eastAsia="Arial" w:hAnsi="Arial"/>
                <w:sz w:val="16"/>
                <w:szCs w:val="16"/>
                <w:color w:val="auto"/>
              </w:rPr>
              <w:t>Ecuador</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335</w:t>
            </w:r>
          </w:p>
        </w:tc>
        <w:tc>
          <w:tcPr>
            <w:tcW w:w="1720" w:type="dxa"/>
            <w:vAlign w:val="bottom"/>
            <w:tcBorders>
              <w:bottom w:val="single" w:sz="8" w:color="A7A9AC"/>
            </w:tcBorders>
          </w:tcPr>
          <w:p>
            <w:pPr>
              <w:ind w:left="80"/>
              <w:spacing w:after="0" w:line="183" w:lineRule="exact"/>
              <w:rPr>
                <w:sz w:val="20"/>
                <w:szCs w:val="20"/>
                <w:color w:val="auto"/>
              </w:rPr>
            </w:pPr>
            <w:r>
              <w:rPr>
                <w:rFonts w:ascii="Arial" w:cs="Arial" w:eastAsia="Arial" w:hAnsi="Arial"/>
                <w:sz w:val="16"/>
                <w:szCs w:val="16"/>
                <w:color w:val="auto"/>
              </w:rPr>
              <w:t>Vietnam</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58</w:t>
            </w:r>
          </w:p>
        </w:tc>
        <w:tc>
          <w:tcPr>
            <w:tcW w:w="1500" w:type="dxa"/>
            <w:vAlign w:val="bottom"/>
            <w:tcBorders>
              <w:bottom w:val="single" w:sz="8" w:color="A7A9AC"/>
            </w:tcBorders>
          </w:tcPr>
          <w:p>
            <w:pPr>
              <w:ind w:left="120"/>
              <w:spacing w:after="0" w:line="183" w:lineRule="exact"/>
              <w:rPr>
                <w:sz w:val="20"/>
                <w:szCs w:val="20"/>
                <w:color w:val="auto"/>
              </w:rPr>
            </w:pPr>
            <w:r>
              <w:rPr>
                <w:rFonts w:ascii="Arial" w:cs="Arial" w:eastAsia="Arial" w:hAnsi="Arial"/>
                <w:sz w:val="16"/>
                <w:szCs w:val="16"/>
                <w:color w:val="auto"/>
              </w:rPr>
              <w:t>Spain</w:t>
            </w:r>
          </w:p>
        </w:tc>
        <w:tc>
          <w:tcPr>
            <w:tcW w:w="138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14</w:t>
            </w:r>
          </w:p>
        </w:tc>
        <w:tc>
          <w:tcPr>
            <w:tcW w:w="1660" w:type="dxa"/>
            <w:vAlign w:val="bottom"/>
            <w:tcBorders>
              <w:bottom w:val="single" w:sz="8" w:color="A7A9AC"/>
            </w:tcBorders>
          </w:tcPr>
          <w:p>
            <w:pPr>
              <w:ind w:left="100"/>
              <w:spacing w:after="0" w:line="183" w:lineRule="exact"/>
              <w:rPr>
                <w:sz w:val="20"/>
                <w:szCs w:val="20"/>
                <w:color w:val="auto"/>
              </w:rPr>
            </w:pPr>
            <w:r>
              <w:rPr>
                <w:rFonts w:ascii="Arial" w:cs="Arial" w:eastAsia="Arial" w:hAnsi="Arial"/>
                <w:sz w:val="16"/>
                <w:szCs w:val="16"/>
                <w:color w:val="auto"/>
              </w:rPr>
              <w:t>Equatorial Guinea</w:t>
            </w:r>
          </w:p>
        </w:tc>
        <w:tc>
          <w:tcPr>
            <w:tcW w:w="11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w:t>
            </w:r>
          </w:p>
        </w:tc>
      </w:tr>
      <w:tr>
        <w:trPr>
          <w:trHeight w:val="183"/>
        </w:trPr>
        <w:tc>
          <w:tcPr>
            <w:tcW w:w="1620" w:type="dxa"/>
            <w:vAlign w:val="bottom"/>
            <w:tcBorders>
              <w:bottom w:val="single" w:sz="8" w:color="A7A9AC"/>
            </w:tcBorders>
          </w:tcPr>
          <w:p>
            <w:pPr>
              <w:ind w:left="40"/>
              <w:spacing w:after="0" w:line="183" w:lineRule="exact"/>
              <w:rPr>
                <w:sz w:val="20"/>
                <w:szCs w:val="20"/>
                <w:color w:val="auto"/>
              </w:rPr>
            </w:pPr>
            <w:r>
              <w:rPr>
                <w:rFonts w:ascii="Arial" w:cs="Arial" w:eastAsia="Arial" w:hAnsi="Arial"/>
                <w:sz w:val="16"/>
                <w:szCs w:val="16"/>
                <w:color w:val="auto"/>
              </w:rPr>
              <w:t>Kazakhstan</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217</w:t>
            </w:r>
          </w:p>
        </w:tc>
        <w:tc>
          <w:tcPr>
            <w:tcW w:w="1720" w:type="dxa"/>
            <w:vAlign w:val="bottom"/>
            <w:tcBorders>
              <w:bottom w:val="single" w:sz="8" w:color="A7A9AC"/>
            </w:tcBorders>
          </w:tcPr>
          <w:p>
            <w:pPr>
              <w:ind w:left="80"/>
              <w:spacing w:after="0" w:line="183" w:lineRule="exact"/>
              <w:rPr>
                <w:sz w:val="20"/>
                <w:szCs w:val="20"/>
                <w:color w:val="auto"/>
              </w:rPr>
            </w:pPr>
            <w:r>
              <w:rPr>
                <w:rFonts w:ascii="Arial" w:cs="Arial" w:eastAsia="Arial" w:hAnsi="Arial"/>
                <w:sz w:val="16"/>
                <w:szCs w:val="16"/>
                <w:color w:val="auto"/>
              </w:rPr>
              <w:t>New Zealand</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57</w:t>
            </w:r>
          </w:p>
        </w:tc>
        <w:tc>
          <w:tcPr>
            <w:tcW w:w="1500" w:type="dxa"/>
            <w:vAlign w:val="bottom"/>
            <w:tcBorders>
              <w:bottom w:val="single" w:sz="8" w:color="A7A9AC"/>
            </w:tcBorders>
          </w:tcPr>
          <w:p>
            <w:pPr>
              <w:ind w:left="120"/>
              <w:spacing w:after="0" w:line="183" w:lineRule="exact"/>
              <w:rPr>
                <w:sz w:val="20"/>
                <w:szCs w:val="20"/>
                <w:color w:val="auto"/>
              </w:rPr>
            </w:pPr>
            <w:r>
              <w:rPr>
                <w:rFonts w:ascii="Arial" w:cs="Arial" w:eastAsia="Arial" w:hAnsi="Arial"/>
                <w:sz w:val="16"/>
                <w:szCs w:val="16"/>
                <w:color w:val="auto"/>
              </w:rPr>
              <w:t>Mozambique</w:t>
            </w:r>
          </w:p>
        </w:tc>
        <w:tc>
          <w:tcPr>
            <w:tcW w:w="138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10</w:t>
            </w:r>
          </w:p>
        </w:tc>
        <w:tc>
          <w:tcPr>
            <w:tcW w:w="1660" w:type="dxa"/>
            <w:vAlign w:val="bottom"/>
            <w:tcBorders>
              <w:bottom w:val="single" w:sz="8" w:color="A7A9AC"/>
            </w:tcBorders>
          </w:tcPr>
          <w:p>
            <w:pPr>
              <w:ind w:left="100"/>
              <w:spacing w:after="0" w:line="183" w:lineRule="exact"/>
              <w:rPr>
                <w:sz w:val="20"/>
                <w:szCs w:val="20"/>
                <w:color w:val="auto"/>
              </w:rPr>
            </w:pPr>
            <w:r>
              <w:rPr>
                <w:rFonts w:ascii="Arial" w:cs="Arial" w:eastAsia="Arial" w:hAnsi="Arial"/>
                <w:sz w:val="16"/>
                <w:szCs w:val="16"/>
                <w:color w:val="auto"/>
              </w:rPr>
              <w:t>Kenya</w:t>
            </w:r>
          </w:p>
        </w:tc>
        <w:tc>
          <w:tcPr>
            <w:tcW w:w="11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w:t>
            </w:r>
          </w:p>
        </w:tc>
      </w:tr>
      <w:tr>
        <w:trPr>
          <w:trHeight w:val="183"/>
        </w:trPr>
        <w:tc>
          <w:tcPr>
            <w:tcW w:w="1620" w:type="dxa"/>
            <w:vAlign w:val="bottom"/>
            <w:tcBorders>
              <w:bottom w:val="single" w:sz="8" w:color="A7A9AC"/>
            </w:tcBorders>
          </w:tcPr>
          <w:p>
            <w:pPr>
              <w:ind w:left="40"/>
              <w:spacing w:after="0" w:line="183" w:lineRule="exact"/>
              <w:rPr>
                <w:sz w:val="20"/>
                <w:szCs w:val="20"/>
                <w:color w:val="auto"/>
              </w:rPr>
            </w:pPr>
            <w:r>
              <w:rPr>
                <w:rFonts w:ascii="Arial" w:cs="Arial" w:eastAsia="Arial" w:hAnsi="Arial"/>
                <w:sz w:val="16"/>
                <w:szCs w:val="16"/>
                <w:color w:val="auto"/>
              </w:rPr>
              <w:t>Congo</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134</w:t>
            </w:r>
          </w:p>
        </w:tc>
        <w:tc>
          <w:tcPr>
            <w:tcW w:w="1720" w:type="dxa"/>
            <w:vAlign w:val="bottom"/>
            <w:tcBorders>
              <w:bottom w:val="single" w:sz="8" w:color="A7A9AC"/>
            </w:tcBorders>
          </w:tcPr>
          <w:p>
            <w:pPr>
              <w:ind w:left="80"/>
              <w:spacing w:after="0" w:line="183" w:lineRule="exact"/>
              <w:rPr>
                <w:sz w:val="20"/>
                <w:szCs w:val="20"/>
                <w:color w:val="auto"/>
              </w:rPr>
            </w:pPr>
            <w:r>
              <w:rPr>
                <w:rFonts w:ascii="Arial" w:cs="Arial" w:eastAsia="Arial" w:hAnsi="Arial"/>
                <w:sz w:val="16"/>
                <w:szCs w:val="16"/>
                <w:color w:val="auto"/>
              </w:rPr>
              <w:t>Germany</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56</w:t>
            </w:r>
          </w:p>
        </w:tc>
        <w:tc>
          <w:tcPr>
            <w:tcW w:w="1500" w:type="dxa"/>
            <w:vAlign w:val="bottom"/>
            <w:tcBorders>
              <w:bottom w:val="single" w:sz="8" w:color="A7A9AC"/>
            </w:tcBorders>
          </w:tcPr>
          <w:p>
            <w:pPr>
              <w:ind w:left="120"/>
              <w:spacing w:after="0" w:line="183" w:lineRule="exact"/>
              <w:rPr>
                <w:sz w:val="20"/>
                <w:szCs w:val="20"/>
                <w:color w:val="auto"/>
              </w:rPr>
            </w:pPr>
            <w:r>
              <w:rPr>
                <w:rFonts w:ascii="Arial" w:cs="Arial" w:eastAsia="Arial" w:hAnsi="Arial"/>
                <w:sz w:val="16"/>
                <w:szCs w:val="16"/>
                <w:color w:val="auto"/>
              </w:rPr>
              <w:t>Côte d'Ivoire</w:t>
            </w:r>
          </w:p>
        </w:tc>
        <w:tc>
          <w:tcPr>
            <w:tcW w:w="138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9</w:t>
            </w:r>
          </w:p>
        </w:tc>
        <w:tc>
          <w:tcPr>
            <w:tcW w:w="1660" w:type="dxa"/>
            <w:vAlign w:val="bottom"/>
            <w:tcBorders>
              <w:bottom w:val="single" w:sz="8" w:color="A7A9AC"/>
            </w:tcBorders>
          </w:tcPr>
          <w:p>
            <w:pPr>
              <w:ind w:left="100"/>
              <w:spacing w:after="0" w:line="183" w:lineRule="exact"/>
              <w:rPr>
                <w:sz w:val="20"/>
                <w:szCs w:val="20"/>
                <w:color w:val="auto"/>
              </w:rPr>
            </w:pPr>
            <w:r>
              <w:rPr>
                <w:rFonts w:ascii="Arial" w:cs="Arial" w:eastAsia="Arial" w:hAnsi="Arial"/>
                <w:sz w:val="16"/>
                <w:szCs w:val="16"/>
                <w:color w:val="auto"/>
              </w:rPr>
              <w:t>South Korea</w:t>
            </w:r>
          </w:p>
        </w:tc>
        <w:tc>
          <w:tcPr>
            <w:tcW w:w="11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w:t>
            </w:r>
          </w:p>
        </w:tc>
      </w:tr>
      <w:tr>
        <w:trPr>
          <w:trHeight w:val="183"/>
        </w:trPr>
        <w:tc>
          <w:tcPr>
            <w:tcW w:w="1620" w:type="dxa"/>
            <w:vAlign w:val="bottom"/>
            <w:tcBorders>
              <w:bottom w:val="single" w:sz="8" w:color="A7A9AC"/>
            </w:tcBorders>
          </w:tcPr>
          <w:p>
            <w:pPr>
              <w:ind w:left="40"/>
              <w:spacing w:after="0" w:line="183" w:lineRule="exact"/>
              <w:rPr>
                <w:sz w:val="20"/>
                <w:szCs w:val="20"/>
                <w:color w:val="auto"/>
              </w:rPr>
            </w:pPr>
            <w:r>
              <w:rPr>
                <w:rFonts w:ascii="Arial" w:cs="Arial" w:eastAsia="Arial" w:hAnsi="Arial"/>
                <w:sz w:val="16"/>
                <w:szCs w:val="16"/>
                <w:color w:val="auto"/>
              </w:rPr>
              <w:t>Italy</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131</w:t>
            </w:r>
          </w:p>
        </w:tc>
        <w:tc>
          <w:tcPr>
            <w:tcW w:w="1720" w:type="dxa"/>
            <w:vAlign w:val="bottom"/>
            <w:tcBorders>
              <w:bottom w:val="single" w:sz="8" w:color="A7A9AC"/>
            </w:tcBorders>
          </w:tcPr>
          <w:p>
            <w:pPr>
              <w:ind w:left="80"/>
              <w:spacing w:after="0" w:line="183" w:lineRule="exact"/>
              <w:rPr>
                <w:sz w:val="20"/>
                <w:szCs w:val="20"/>
                <w:color w:val="auto"/>
              </w:rPr>
            </w:pPr>
            <w:r>
              <w:rPr>
                <w:rFonts w:ascii="Arial" w:cs="Arial" w:eastAsia="Arial" w:hAnsi="Arial"/>
                <w:sz w:val="16"/>
                <w:szCs w:val="16"/>
                <w:color w:val="auto"/>
              </w:rPr>
              <w:t>Denmark</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50</w:t>
            </w:r>
          </w:p>
        </w:tc>
        <w:tc>
          <w:tcPr>
            <w:tcW w:w="1500" w:type="dxa"/>
            <w:vAlign w:val="bottom"/>
            <w:tcBorders>
              <w:bottom w:val="single" w:sz="8" w:color="A7A9AC"/>
            </w:tcBorders>
          </w:tcPr>
          <w:p>
            <w:pPr>
              <w:ind w:left="120"/>
              <w:spacing w:after="0" w:line="183" w:lineRule="exact"/>
              <w:rPr>
                <w:sz w:val="20"/>
                <w:szCs w:val="20"/>
                <w:color w:val="auto"/>
              </w:rPr>
            </w:pPr>
            <w:r>
              <w:rPr>
                <w:rFonts w:ascii="Arial" w:cs="Arial" w:eastAsia="Arial" w:hAnsi="Arial"/>
                <w:sz w:val="16"/>
                <w:szCs w:val="16"/>
                <w:color w:val="auto"/>
              </w:rPr>
              <w:t>Philippines</w:t>
            </w:r>
          </w:p>
        </w:tc>
        <w:tc>
          <w:tcPr>
            <w:tcW w:w="138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9</w:t>
            </w:r>
          </w:p>
        </w:tc>
        <w:tc>
          <w:tcPr>
            <w:tcW w:w="1660" w:type="dxa"/>
            <w:vAlign w:val="bottom"/>
            <w:tcBorders>
              <w:bottom w:val="single" w:sz="8" w:color="A7A9AC"/>
            </w:tcBorders>
          </w:tcPr>
          <w:p>
            <w:pPr>
              <w:ind w:left="100"/>
              <w:spacing w:after="0" w:line="183" w:lineRule="exact"/>
              <w:rPr>
                <w:sz w:val="20"/>
                <w:szCs w:val="20"/>
                <w:color w:val="auto"/>
              </w:rPr>
            </w:pPr>
            <w:r>
              <w:rPr>
                <w:rFonts w:ascii="Arial" w:cs="Arial" w:eastAsia="Arial" w:hAnsi="Arial"/>
                <w:sz w:val="16"/>
                <w:szCs w:val="16"/>
                <w:color w:val="auto"/>
              </w:rPr>
              <w:t>Peru</w:t>
            </w:r>
          </w:p>
        </w:tc>
        <w:tc>
          <w:tcPr>
            <w:tcW w:w="11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w:t>
            </w:r>
          </w:p>
        </w:tc>
      </w:tr>
      <w:tr>
        <w:trPr>
          <w:trHeight w:val="183"/>
        </w:trPr>
        <w:tc>
          <w:tcPr>
            <w:tcW w:w="1620" w:type="dxa"/>
            <w:vAlign w:val="bottom"/>
            <w:tcBorders>
              <w:bottom w:val="single" w:sz="8" w:color="A7A9AC"/>
            </w:tcBorders>
          </w:tcPr>
          <w:p>
            <w:pPr>
              <w:ind w:left="40"/>
              <w:spacing w:after="0" w:line="183" w:lineRule="exact"/>
              <w:rPr>
                <w:sz w:val="20"/>
                <w:szCs w:val="20"/>
                <w:color w:val="auto"/>
              </w:rPr>
            </w:pPr>
            <w:r>
              <w:rPr>
                <w:rFonts w:ascii="Arial" w:cs="Arial" w:eastAsia="Arial" w:hAnsi="Arial"/>
                <w:sz w:val="16"/>
                <w:szCs w:val="16"/>
                <w:color w:val="auto"/>
              </w:rPr>
              <w:t>Bolivia</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129</w:t>
            </w:r>
          </w:p>
        </w:tc>
        <w:tc>
          <w:tcPr>
            <w:tcW w:w="1720" w:type="dxa"/>
            <w:vAlign w:val="bottom"/>
            <w:tcBorders>
              <w:bottom w:val="single" w:sz="8" w:color="A7A9AC"/>
            </w:tcBorders>
          </w:tcPr>
          <w:p>
            <w:pPr>
              <w:ind w:left="80"/>
              <w:spacing w:after="0" w:line="183" w:lineRule="exact"/>
              <w:rPr>
                <w:sz w:val="20"/>
                <w:szCs w:val="20"/>
                <w:color w:val="auto"/>
              </w:rPr>
            </w:pPr>
            <w:r>
              <w:rPr>
                <w:rFonts w:ascii="Arial" w:cs="Arial" w:eastAsia="Arial" w:hAnsi="Arial"/>
                <w:sz w:val="16"/>
                <w:szCs w:val="16"/>
                <w:color w:val="auto"/>
              </w:rPr>
              <w:t>Guyana</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40</w:t>
            </w:r>
          </w:p>
        </w:tc>
        <w:tc>
          <w:tcPr>
            <w:tcW w:w="1500" w:type="dxa"/>
            <w:vAlign w:val="bottom"/>
            <w:tcBorders>
              <w:bottom w:val="single" w:sz="8" w:color="A7A9AC"/>
            </w:tcBorders>
          </w:tcPr>
          <w:p>
            <w:pPr>
              <w:ind w:left="120"/>
              <w:spacing w:after="0" w:line="183" w:lineRule="exact"/>
              <w:rPr>
                <w:sz w:val="20"/>
                <w:szCs w:val="20"/>
                <w:color w:val="auto"/>
              </w:rPr>
            </w:pPr>
            <w:r>
              <w:rPr>
                <w:rFonts w:ascii="Arial" w:cs="Arial" w:eastAsia="Arial" w:hAnsi="Arial"/>
                <w:sz w:val="16"/>
                <w:szCs w:val="16"/>
                <w:color w:val="auto"/>
              </w:rPr>
              <w:t>Austria</w:t>
            </w:r>
          </w:p>
        </w:tc>
        <w:tc>
          <w:tcPr>
            <w:tcW w:w="138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8</w:t>
            </w:r>
          </w:p>
        </w:tc>
        <w:tc>
          <w:tcPr>
            <w:tcW w:w="1660" w:type="dxa"/>
            <w:vAlign w:val="bottom"/>
            <w:tcBorders>
              <w:bottom w:val="single" w:sz="8" w:color="A7A9AC"/>
            </w:tcBorders>
          </w:tcPr>
          <w:p>
            <w:pPr>
              <w:ind w:left="100"/>
              <w:spacing w:after="0" w:line="183" w:lineRule="exact"/>
              <w:rPr>
                <w:sz w:val="20"/>
                <w:szCs w:val="20"/>
                <w:color w:val="auto"/>
              </w:rPr>
            </w:pPr>
            <w:r>
              <w:rPr>
                <w:rFonts w:ascii="Arial" w:cs="Arial" w:eastAsia="Arial" w:hAnsi="Arial"/>
                <w:sz w:val="16"/>
                <w:szCs w:val="16"/>
                <w:color w:val="auto"/>
              </w:rPr>
              <w:t>Suriname</w:t>
            </w:r>
          </w:p>
        </w:tc>
        <w:tc>
          <w:tcPr>
            <w:tcW w:w="11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w:t>
            </w:r>
          </w:p>
        </w:tc>
      </w:tr>
      <w:tr>
        <w:trPr>
          <w:trHeight w:val="183"/>
        </w:trPr>
        <w:tc>
          <w:tcPr>
            <w:tcW w:w="1620" w:type="dxa"/>
            <w:vAlign w:val="bottom"/>
            <w:tcBorders>
              <w:bottom w:val="single" w:sz="8" w:color="A7A9AC"/>
            </w:tcBorders>
          </w:tcPr>
          <w:p>
            <w:pPr>
              <w:ind w:left="40"/>
              <w:spacing w:after="0" w:line="183" w:lineRule="exact"/>
              <w:rPr>
                <w:sz w:val="20"/>
                <w:szCs w:val="20"/>
                <w:color w:val="auto"/>
              </w:rPr>
            </w:pPr>
            <w:r>
              <w:rPr>
                <w:rFonts w:ascii="Arial" w:cs="Arial" w:eastAsia="Arial" w:hAnsi="Arial"/>
                <w:sz w:val="16"/>
                <w:szCs w:val="16"/>
                <w:color w:val="auto"/>
              </w:rPr>
              <w:t>Trinidad and Tobago</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106</w:t>
            </w:r>
          </w:p>
        </w:tc>
        <w:tc>
          <w:tcPr>
            <w:tcW w:w="1720" w:type="dxa"/>
            <w:vAlign w:val="bottom"/>
            <w:tcBorders>
              <w:bottom w:val="single" w:sz="8" w:color="A7A9AC"/>
            </w:tcBorders>
          </w:tcPr>
          <w:p>
            <w:pPr>
              <w:ind w:left="80"/>
              <w:spacing w:after="0" w:line="183" w:lineRule="exact"/>
              <w:rPr>
                <w:sz w:val="20"/>
                <w:szCs w:val="20"/>
                <w:color w:val="auto"/>
              </w:rPr>
            </w:pPr>
            <w:r>
              <w:rPr>
                <w:rFonts w:ascii="Arial" w:cs="Arial" w:eastAsia="Arial" w:hAnsi="Arial"/>
                <w:sz w:val="16"/>
                <w:szCs w:val="16"/>
                <w:color w:val="auto"/>
              </w:rPr>
              <w:t>Ukraine</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38</w:t>
            </w:r>
          </w:p>
        </w:tc>
        <w:tc>
          <w:tcPr>
            <w:tcW w:w="1500" w:type="dxa"/>
            <w:vAlign w:val="bottom"/>
            <w:tcBorders>
              <w:bottom w:val="single" w:sz="8" w:color="A7A9AC"/>
            </w:tcBorders>
          </w:tcPr>
          <w:p>
            <w:pPr>
              <w:ind w:left="120"/>
              <w:spacing w:after="0" w:line="183" w:lineRule="exact"/>
              <w:rPr>
                <w:sz w:val="20"/>
                <w:szCs w:val="20"/>
                <w:color w:val="auto"/>
              </w:rPr>
            </w:pPr>
            <w:r>
              <w:rPr>
                <w:rFonts w:ascii="Arial" w:cs="Arial" w:eastAsia="Arial" w:hAnsi="Arial"/>
                <w:sz w:val="16"/>
                <w:szCs w:val="16"/>
                <w:color w:val="auto"/>
              </w:rPr>
              <w:t>Turkmenistan</w:t>
            </w:r>
          </w:p>
        </w:tc>
        <w:tc>
          <w:tcPr>
            <w:tcW w:w="138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7</w:t>
            </w:r>
          </w:p>
        </w:tc>
        <w:tc>
          <w:tcPr>
            <w:tcW w:w="1660" w:type="dxa"/>
            <w:vAlign w:val="bottom"/>
            <w:tcBorders>
              <w:bottom w:val="single" w:sz="8" w:color="A7A9AC"/>
            </w:tcBorders>
          </w:tcPr>
          <w:p>
            <w:pPr>
              <w:ind w:left="100"/>
              <w:spacing w:after="0" w:line="183" w:lineRule="exact"/>
              <w:rPr>
                <w:sz w:val="20"/>
                <w:szCs w:val="20"/>
                <w:color w:val="auto"/>
              </w:rPr>
            </w:pPr>
            <w:r>
              <w:rPr>
                <w:rFonts w:ascii="Arial" w:cs="Arial" w:eastAsia="Arial" w:hAnsi="Arial"/>
                <w:sz w:val="16"/>
                <w:szCs w:val="16"/>
                <w:color w:val="auto"/>
              </w:rPr>
              <w:t>Switzerland</w:t>
            </w:r>
          </w:p>
        </w:tc>
        <w:tc>
          <w:tcPr>
            <w:tcW w:w="11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w:t>
            </w:r>
          </w:p>
        </w:tc>
      </w:tr>
      <w:tr>
        <w:trPr>
          <w:trHeight w:val="183"/>
        </w:trPr>
        <w:tc>
          <w:tcPr>
            <w:tcW w:w="1620" w:type="dxa"/>
            <w:vAlign w:val="bottom"/>
            <w:tcBorders>
              <w:bottom w:val="single" w:sz="8" w:color="A7A9AC"/>
            </w:tcBorders>
          </w:tcPr>
          <w:p>
            <w:pPr>
              <w:ind w:left="40"/>
              <w:spacing w:after="0" w:line="183" w:lineRule="exact"/>
              <w:rPr>
                <w:sz w:val="20"/>
                <w:szCs w:val="20"/>
                <w:color w:val="auto"/>
              </w:rPr>
            </w:pPr>
            <w:r>
              <w:rPr>
                <w:rFonts w:ascii="Arial" w:cs="Arial" w:eastAsia="Arial" w:hAnsi="Arial"/>
                <w:sz w:val="16"/>
                <w:szCs w:val="16"/>
                <w:color w:val="auto"/>
              </w:rPr>
              <w:t>Romania</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94</w:t>
            </w:r>
          </w:p>
        </w:tc>
        <w:tc>
          <w:tcPr>
            <w:tcW w:w="1720" w:type="dxa"/>
            <w:vAlign w:val="bottom"/>
            <w:tcBorders>
              <w:bottom w:val="single" w:sz="8" w:color="A7A9AC"/>
            </w:tcBorders>
          </w:tcPr>
          <w:p>
            <w:pPr>
              <w:ind w:left="80"/>
              <w:spacing w:after="0" w:line="183" w:lineRule="exact"/>
              <w:rPr>
                <w:sz w:val="20"/>
                <w:szCs w:val="20"/>
                <w:color w:val="auto"/>
              </w:rPr>
            </w:pPr>
            <w:r>
              <w:rPr>
                <w:rFonts w:ascii="Arial" w:cs="Arial" w:eastAsia="Arial" w:hAnsi="Arial"/>
                <w:sz w:val="16"/>
                <w:szCs w:val="16"/>
                <w:color w:val="auto"/>
              </w:rPr>
              <w:t>Papua New Guinea</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26</w:t>
            </w:r>
          </w:p>
        </w:tc>
        <w:tc>
          <w:tcPr>
            <w:tcW w:w="1500" w:type="dxa"/>
            <w:vAlign w:val="bottom"/>
            <w:tcBorders>
              <w:bottom w:val="single" w:sz="8" w:color="A7A9AC"/>
            </w:tcBorders>
          </w:tcPr>
          <w:p>
            <w:pPr>
              <w:ind w:left="120"/>
              <w:spacing w:after="0" w:line="183" w:lineRule="exact"/>
              <w:rPr>
                <w:sz w:val="20"/>
                <w:szCs w:val="20"/>
                <w:color w:val="auto"/>
              </w:rPr>
            </w:pPr>
            <w:r>
              <w:rPr>
                <w:rFonts w:ascii="Arial" w:cs="Arial" w:eastAsia="Arial" w:hAnsi="Arial"/>
                <w:sz w:val="16"/>
                <w:szCs w:val="16"/>
                <w:color w:val="auto"/>
              </w:rPr>
              <w:t>Myanmar</w:t>
            </w:r>
          </w:p>
        </w:tc>
        <w:tc>
          <w:tcPr>
            <w:tcW w:w="138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5</w:t>
            </w:r>
          </w:p>
        </w:tc>
        <w:tc>
          <w:tcPr>
            <w:tcW w:w="1660" w:type="dxa"/>
            <w:vAlign w:val="bottom"/>
            <w:tcBorders>
              <w:bottom w:val="single" w:sz="8" w:color="A7A9AC"/>
            </w:tcBorders>
          </w:tcPr>
          <w:p>
            <w:pPr>
              <w:ind w:left="100"/>
              <w:spacing w:after="0" w:line="183" w:lineRule="exact"/>
              <w:rPr>
                <w:sz w:val="20"/>
                <w:szCs w:val="20"/>
                <w:color w:val="auto"/>
              </w:rPr>
            </w:pPr>
            <w:r>
              <w:rPr>
                <w:rFonts w:ascii="Arial" w:cs="Arial" w:eastAsia="Arial" w:hAnsi="Arial"/>
                <w:sz w:val="16"/>
                <w:szCs w:val="16"/>
                <w:color w:val="auto"/>
              </w:rPr>
              <w:t>Turkey</w:t>
            </w:r>
          </w:p>
        </w:tc>
        <w:tc>
          <w:tcPr>
            <w:tcW w:w="11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2</w:t>
            </w:r>
          </w:p>
        </w:tc>
      </w:tr>
      <w:tr>
        <w:trPr>
          <w:trHeight w:val="183"/>
        </w:trPr>
        <w:tc>
          <w:tcPr>
            <w:tcW w:w="1620" w:type="dxa"/>
            <w:vAlign w:val="bottom"/>
            <w:tcBorders>
              <w:bottom w:val="single" w:sz="8" w:color="A7A9AC"/>
            </w:tcBorders>
          </w:tcPr>
          <w:p>
            <w:pPr>
              <w:ind w:left="40"/>
              <w:spacing w:after="0" w:line="183" w:lineRule="exact"/>
              <w:rPr>
                <w:sz w:val="20"/>
                <w:szCs w:val="20"/>
                <w:color w:val="auto"/>
              </w:rPr>
            </w:pPr>
            <w:r>
              <w:rPr>
                <w:rFonts w:ascii="Arial" w:cs="Arial" w:eastAsia="Arial" w:hAnsi="Arial"/>
                <w:sz w:val="16"/>
                <w:szCs w:val="16"/>
                <w:color w:val="auto"/>
              </w:rPr>
              <w:t>Netherlands</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81</w:t>
            </w:r>
          </w:p>
        </w:tc>
        <w:tc>
          <w:tcPr>
            <w:tcW w:w="1720" w:type="dxa"/>
            <w:vAlign w:val="bottom"/>
            <w:tcBorders>
              <w:bottom w:val="single" w:sz="8" w:color="A7A9AC"/>
            </w:tcBorders>
          </w:tcPr>
          <w:p>
            <w:pPr>
              <w:ind w:left="80"/>
              <w:spacing w:after="0" w:line="183" w:lineRule="exact"/>
              <w:rPr>
                <w:sz w:val="20"/>
                <w:szCs w:val="20"/>
                <w:color w:val="auto"/>
              </w:rPr>
            </w:pPr>
            <w:r>
              <w:rPr>
                <w:rFonts w:ascii="Arial" w:cs="Arial" w:eastAsia="Arial" w:hAnsi="Arial"/>
                <w:sz w:val="16"/>
                <w:szCs w:val="16"/>
                <w:color w:val="auto"/>
              </w:rPr>
              <w:t>Bangladesh</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24</w:t>
            </w:r>
          </w:p>
        </w:tc>
        <w:tc>
          <w:tcPr>
            <w:tcW w:w="1500" w:type="dxa"/>
            <w:vAlign w:val="bottom"/>
            <w:tcBorders>
              <w:bottom w:val="single" w:sz="8" w:color="A7A9AC"/>
            </w:tcBorders>
          </w:tcPr>
          <w:p>
            <w:pPr>
              <w:ind w:left="120"/>
              <w:spacing w:after="0" w:line="183" w:lineRule="exact"/>
              <w:rPr>
                <w:sz w:val="20"/>
                <w:szCs w:val="20"/>
                <w:color w:val="auto"/>
              </w:rPr>
            </w:pPr>
            <w:r>
              <w:rPr>
                <w:rFonts w:ascii="Arial" w:cs="Arial" w:eastAsia="Arial" w:hAnsi="Arial"/>
                <w:sz w:val="16"/>
                <w:szCs w:val="16"/>
                <w:color w:val="auto"/>
              </w:rPr>
              <w:t>Cyprus</w:t>
            </w:r>
          </w:p>
        </w:tc>
        <w:tc>
          <w:tcPr>
            <w:tcW w:w="138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w:t>
            </w:r>
          </w:p>
        </w:tc>
        <w:tc>
          <w:tcPr>
            <w:tcW w:w="1660" w:type="dxa"/>
            <w:vAlign w:val="bottom"/>
            <w:tcBorders>
              <w:bottom w:val="single" w:sz="8" w:color="A7A9AC"/>
            </w:tcBorders>
          </w:tcPr>
          <w:p>
            <w:pPr>
              <w:ind w:left="100"/>
              <w:spacing w:after="0" w:line="183" w:lineRule="exact"/>
              <w:rPr>
                <w:sz w:val="20"/>
                <w:szCs w:val="20"/>
                <w:color w:val="auto"/>
              </w:rPr>
            </w:pPr>
            <w:r>
              <w:rPr>
                <w:rFonts w:ascii="Arial" w:cs="Arial" w:eastAsia="Arial" w:hAnsi="Arial"/>
                <w:sz w:val="16"/>
                <w:szCs w:val="16"/>
                <w:color w:val="auto"/>
              </w:rPr>
              <w:t>Belgium</w:t>
            </w:r>
          </w:p>
        </w:tc>
        <w:tc>
          <w:tcPr>
            <w:tcW w:w="11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w:t>
            </w:r>
          </w:p>
        </w:tc>
      </w:tr>
      <w:tr>
        <w:trPr>
          <w:trHeight w:val="183"/>
        </w:trPr>
        <w:tc>
          <w:tcPr>
            <w:tcW w:w="1620" w:type="dxa"/>
            <w:vAlign w:val="bottom"/>
            <w:tcBorders>
              <w:bottom w:val="single" w:sz="8" w:color="A7A9AC"/>
            </w:tcBorders>
          </w:tcPr>
          <w:p>
            <w:pPr>
              <w:ind w:left="40"/>
              <w:spacing w:after="0" w:line="183" w:lineRule="exact"/>
              <w:rPr>
                <w:sz w:val="20"/>
                <w:szCs w:val="20"/>
                <w:color w:val="auto"/>
              </w:rPr>
            </w:pPr>
            <w:r>
              <w:rPr>
                <w:rFonts w:ascii="Arial" w:cs="Arial" w:eastAsia="Arial" w:hAnsi="Arial"/>
                <w:sz w:val="16"/>
                <w:szCs w:val="16"/>
                <w:color w:val="auto"/>
              </w:rPr>
              <w:t>Pakistan</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76</w:t>
            </w:r>
          </w:p>
        </w:tc>
        <w:tc>
          <w:tcPr>
            <w:tcW w:w="1720" w:type="dxa"/>
            <w:vAlign w:val="bottom"/>
            <w:tcBorders>
              <w:bottom w:val="single" w:sz="8" w:color="A7A9AC"/>
            </w:tcBorders>
          </w:tcPr>
          <w:p>
            <w:pPr>
              <w:ind w:left="80"/>
              <w:spacing w:after="0" w:line="183" w:lineRule="exact"/>
              <w:rPr>
                <w:sz w:val="20"/>
                <w:szCs w:val="20"/>
                <w:color w:val="auto"/>
              </w:rPr>
            </w:pPr>
            <w:r>
              <w:rPr>
                <w:rFonts w:ascii="Arial" w:cs="Arial" w:eastAsia="Arial" w:hAnsi="Arial"/>
                <w:sz w:val="16"/>
                <w:szCs w:val="16"/>
                <w:color w:val="auto"/>
              </w:rPr>
              <w:t>Chile</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24</w:t>
            </w:r>
          </w:p>
        </w:tc>
        <w:tc>
          <w:tcPr>
            <w:tcW w:w="1500" w:type="dxa"/>
            <w:vAlign w:val="bottom"/>
            <w:tcBorders>
              <w:bottom w:val="single" w:sz="8" w:color="A7A9AC"/>
            </w:tcBorders>
          </w:tcPr>
          <w:p>
            <w:pPr>
              <w:ind w:left="120"/>
              <w:spacing w:after="0" w:line="183" w:lineRule="exact"/>
              <w:rPr>
                <w:sz w:val="20"/>
                <w:szCs w:val="20"/>
                <w:color w:val="auto"/>
              </w:rPr>
            </w:pPr>
            <w:r>
              <w:rPr>
                <w:rFonts w:ascii="Arial" w:cs="Arial" w:eastAsia="Arial" w:hAnsi="Arial"/>
                <w:sz w:val="16"/>
                <w:szCs w:val="16"/>
                <w:color w:val="auto"/>
              </w:rPr>
              <w:t>Hungary</w:t>
            </w:r>
          </w:p>
        </w:tc>
        <w:tc>
          <w:tcPr>
            <w:tcW w:w="138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w:t>
            </w:r>
          </w:p>
        </w:tc>
        <w:tc>
          <w:tcPr>
            <w:tcW w:w="1660" w:type="dxa"/>
            <w:vAlign w:val="bottom"/>
            <w:tcBorders>
              <w:bottom w:val="single" w:sz="8" w:color="A7A9AC"/>
            </w:tcBorders>
          </w:tcPr>
          <w:p>
            <w:pPr>
              <w:ind w:left="100"/>
              <w:spacing w:after="0" w:line="183" w:lineRule="exact"/>
              <w:rPr>
                <w:sz w:val="20"/>
                <w:szCs w:val="20"/>
                <w:color w:val="auto"/>
              </w:rPr>
            </w:pPr>
            <w:r>
              <w:rPr>
                <w:rFonts w:ascii="Arial" w:cs="Arial" w:eastAsia="Arial" w:hAnsi="Arial"/>
                <w:sz w:val="16"/>
                <w:szCs w:val="16"/>
                <w:color w:val="auto"/>
              </w:rPr>
              <w:t>Israel</w:t>
            </w:r>
          </w:p>
        </w:tc>
        <w:tc>
          <w:tcPr>
            <w:tcW w:w="11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w:t>
            </w:r>
          </w:p>
        </w:tc>
      </w:tr>
      <w:tr>
        <w:trPr>
          <w:trHeight w:val="183"/>
        </w:trPr>
        <w:tc>
          <w:tcPr>
            <w:tcW w:w="1620" w:type="dxa"/>
            <w:vAlign w:val="bottom"/>
            <w:tcBorders>
              <w:bottom w:val="single" w:sz="8" w:color="A7A9AC"/>
            </w:tcBorders>
          </w:tcPr>
          <w:p>
            <w:pPr>
              <w:ind w:left="40"/>
              <w:spacing w:after="0" w:line="183" w:lineRule="exact"/>
              <w:rPr>
                <w:sz w:val="20"/>
                <w:szCs w:val="20"/>
                <w:color w:val="auto"/>
              </w:rPr>
            </w:pPr>
            <w:r>
              <w:rPr>
                <w:rFonts w:ascii="Arial" w:cs="Arial" w:eastAsia="Arial" w:hAnsi="Arial"/>
                <w:sz w:val="16"/>
                <w:szCs w:val="16"/>
                <w:color w:val="auto"/>
              </w:rPr>
              <w:t>Panama</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69</w:t>
            </w:r>
          </w:p>
        </w:tc>
        <w:tc>
          <w:tcPr>
            <w:tcW w:w="1720" w:type="dxa"/>
            <w:vAlign w:val="bottom"/>
            <w:tcBorders>
              <w:bottom w:val="single" w:sz="8" w:color="A7A9AC"/>
            </w:tcBorders>
          </w:tcPr>
          <w:p>
            <w:pPr>
              <w:ind w:left="80"/>
              <w:spacing w:after="0" w:line="183" w:lineRule="exact"/>
              <w:rPr>
                <w:sz w:val="20"/>
                <w:szCs w:val="20"/>
                <w:color w:val="auto"/>
              </w:rPr>
            </w:pPr>
            <w:r>
              <w:rPr>
                <w:rFonts w:ascii="Arial" w:cs="Arial" w:eastAsia="Arial" w:hAnsi="Arial"/>
                <w:sz w:val="16"/>
                <w:szCs w:val="16"/>
                <w:color w:val="auto"/>
              </w:rPr>
              <w:t>Poland</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24</w:t>
            </w:r>
          </w:p>
        </w:tc>
        <w:tc>
          <w:tcPr>
            <w:tcW w:w="1500" w:type="dxa"/>
            <w:vAlign w:val="bottom"/>
            <w:tcBorders>
              <w:bottom w:val="single" w:sz="8" w:color="A7A9AC"/>
            </w:tcBorders>
          </w:tcPr>
          <w:p>
            <w:pPr>
              <w:ind w:left="120"/>
              <w:spacing w:after="0" w:line="183" w:lineRule="exact"/>
              <w:rPr>
                <w:sz w:val="20"/>
                <w:szCs w:val="20"/>
                <w:color w:val="auto"/>
              </w:rPr>
            </w:pPr>
            <w:r>
              <w:rPr>
                <w:rFonts w:ascii="Arial" w:cs="Arial" w:eastAsia="Arial" w:hAnsi="Arial"/>
                <w:sz w:val="16"/>
                <w:szCs w:val="16"/>
                <w:color w:val="auto"/>
              </w:rPr>
              <w:t>Yemen</w:t>
            </w:r>
          </w:p>
        </w:tc>
        <w:tc>
          <w:tcPr>
            <w:tcW w:w="138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3</w:t>
            </w:r>
          </w:p>
        </w:tc>
        <w:tc>
          <w:tcPr>
            <w:tcW w:w="1660" w:type="dxa"/>
            <w:vAlign w:val="bottom"/>
            <w:tcBorders>
              <w:bottom w:val="single" w:sz="8" w:color="A7A9AC"/>
            </w:tcBorders>
          </w:tcPr>
          <w:p>
            <w:pPr>
              <w:ind w:left="100"/>
              <w:spacing w:after="0" w:line="183" w:lineRule="exact"/>
              <w:rPr>
                <w:sz w:val="20"/>
                <w:szCs w:val="20"/>
                <w:color w:val="auto"/>
              </w:rPr>
            </w:pPr>
            <w:r>
              <w:rPr>
                <w:rFonts w:ascii="Arial" w:cs="Arial" w:eastAsia="Arial" w:hAnsi="Arial"/>
                <w:sz w:val="16"/>
                <w:szCs w:val="16"/>
                <w:color w:val="auto"/>
              </w:rPr>
              <w:t>South Africa</w:t>
            </w:r>
          </w:p>
        </w:tc>
        <w:tc>
          <w:tcPr>
            <w:tcW w:w="11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w:t>
            </w:r>
          </w:p>
        </w:tc>
      </w:tr>
      <w:tr>
        <w:trPr>
          <w:trHeight w:val="183"/>
        </w:trPr>
        <w:tc>
          <w:tcPr>
            <w:tcW w:w="1620" w:type="dxa"/>
            <w:vAlign w:val="bottom"/>
            <w:tcBorders>
              <w:bottom w:val="single" w:sz="8" w:color="A7A9AC"/>
            </w:tcBorders>
          </w:tcPr>
          <w:p>
            <w:pPr>
              <w:ind w:left="40"/>
              <w:spacing w:after="0" w:line="183" w:lineRule="exact"/>
              <w:rPr>
                <w:sz w:val="20"/>
                <w:szCs w:val="20"/>
                <w:color w:val="auto"/>
              </w:rPr>
            </w:pPr>
            <w:r>
              <w:rPr>
                <w:rFonts w:ascii="Arial" w:cs="Arial" w:eastAsia="Arial" w:hAnsi="Arial"/>
                <w:sz w:val="16"/>
                <w:szCs w:val="16"/>
                <w:color w:val="auto"/>
              </w:rPr>
              <w:t>Ghana</w:t>
            </w:r>
          </w:p>
        </w:tc>
        <w:tc>
          <w:tcPr>
            <w:tcW w:w="104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63</w:t>
            </w:r>
          </w:p>
        </w:tc>
        <w:tc>
          <w:tcPr>
            <w:tcW w:w="1720" w:type="dxa"/>
            <w:vAlign w:val="bottom"/>
            <w:tcBorders>
              <w:bottom w:val="single" w:sz="8" w:color="A7A9AC"/>
            </w:tcBorders>
          </w:tcPr>
          <w:p>
            <w:pPr>
              <w:ind w:left="80"/>
              <w:spacing w:after="0" w:line="183" w:lineRule="exact"/>
              <w:rPr>
                <w:sz w:val="20"/>
                <w:szCs w:val="20"/>
                <w:color w:val="auto"/>
              </w:rPr>
            </w:pPr>
            <w:r>
              <w:rPr>
                <w:rFonts w:ascii="Arial" w:cs="Arial" w:eastAsia="Arial" w:hAnsi="Arial"/>
                <w:sz w:val="16"/>
                <w:szCs w:val="16"/>
                <w:color w:val="auto"/>
              </w:rPr>
              <w:t>France</w:t>
            </w:r>
          </w:p>
        </w:tc>
        <w:tc>
          <w:tcPr>
            <w:tcW w:w="11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22</w:t>
            </w:r>
          </w:p>
        </w:tc>
        <w:tc>
          <w:tcPr>
            <w:tcW w:w="1500" w:type="dxa"/>
            <w:vAlign w:val="bottom"/>
            <w:tcBorders>
              <w:bottom w:val="single" w:sz="8" w:color="A7A9AC"/>
            </w:tcBorders>
          </w:tcPr>
          <w:p>
            <w:pPr>
              <w:ind w:left="120"/>
              <w:spacing w:after="0" w:line="183" w:lineRule="exact"/>
              <w:rPr>
                <w:sz w:val="20"/>
                <w:szCs w:val="20"/>
                <w:color w:val="auto"/>
              </w:rPr>
            </w:pPr>
            <w:r>
              <w:rPr>
                <w:rFonts w:ascii="Arial" w:cs="Arial" w:eastAsia="Arial" w:hAnsi="Arial"/>
                <w:sz w:val="16"/>
                <w:szCs w:val="16"/>
                <w:color w:val="auto"/>
              </w:rPr>
              <w:t>Albania</w:t>
            </w:r>
          </w:p>
        </w:tc>
        <w:tc>
          <w:tcPr>
            <w:tcW w:w="138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auto"/>
              </w:rPr>
              <w:t>2</w:t>
            </w:r>
          </w:p>
        </w:tc>
        <w:tc>
          <w:tcPr>
            <w:tcW w:w="1660" w:type="dxa"/>
            <w:vAlign w:val="bottom"/>
            <w:tcBorders>
              <w:bottom w:val="single" w:sz="8" w:color="A7A9AC"/>
            </w:tcBorders>
          </w:tcPr>
          <w:p>
            <w:pPr>
              <w:ind w:left="100"/>
              <w:spacing w:after="0" w:line="183" w:lineRule="exact"/>
              <w:rPr>
                <w:sz w:val="20"/>
                <w:szCs w:val="20"/>
                <w:color w:val="auto"/>
              </w:rPr>
            </w:pPr>
            <w:r>
              <w:rPr>
                <w:rFonts w:ascii="Arial" w:cs="Arial" w:eastAsia="Arial" w:hAnsi="Arial"/>
                <w:sz w:val="16"/>
                <w:szCs w:val="16"/>
                <w:color w:val="auto"/>
              </w:rPr>
              <w:t>Uganda</w:t>
            </w:r>
          </w:p>
        </w:tc>
        <w:tc>
          <w:tcPr>
            <w:tcW w:w="11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1</w:t>
            </w:r>
          </w:p>
        </w:tc>
      </w:tr>
      <w:tr>
        <w:trPr>
          <w:trHeight w:val="182"/>
        </w:trPr>
        <w:tc>
          <w:tcPr>
            <w:tcW w:w="1620" w:type="dxa"/>
            <w:vAlign w:val="bottom"/>
            <w:tcBorders>
              <w:bottom w:val="single" w:sz="8" w:color="CB233C"/>
            </w:tcBorders>
          </w:tcPr>
          <w:p>
            <w:pPr>
              <w:ind w:left="40"/>
              <w:spacing w:after="0" w:line="183" w:lineRule="exact"/>
              <w:rPr>
                <w:sz w:val="20"/>
                <w:szCs w:val="20"/>
                <w:color w:val="auto"/>
              </w:rPr>
            </w:pPr>
            <w:r>
              <w:rPr>
                <w:rFonts w:ascii="Arial" w:cs="Arial" w:eastAsia="Arial" w:hAnsi="Arial"/>
                <w:sz w:val="16"/>
                <w:szCs w:val="16"/>
                <w:color w:val="auto"/>
              </w:rPr>
              <w:t>Cameroon</w:t>
            </w:r>
          </w:p>
        </w:tc>
        <w:tc>
          <w:tcPr>
            <w:tcW w:w="104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58</w:t>
            </w:r>
          </w:p>
        </w:tc>
        <w:tc>
          <w:tcPr>
            <w:tcW w:w="1720" w:type="dxa"/>
            <w:vAlign w:val="bottom"/>
            <w:tcBorders>
              <w:bottom w:val="single" w:sz="8" w:color="CB233C"/>
            </w:tcBorders>
          </w:tcPr>
          <w:p>
            <w:pPr>
              <w:ind w:left="80"/>
              <w:spacing w:after="0" w:line="183" w:lineRule="exact"/>
              <w:rPr>
                <w:sz w:val="20"/>
                <w:szCs w:val="20"/>
                <w:color w:val="auto"/>
              </w:rPr>
            </w:pPr>
            <w:r>
              <w:rPr>
                <w:rFonts w:ascii="Arial" w:cs="Arial" w:eastAsia="Arial" w:hAnsi="Arial"/>
                <w:sz w:val="16"/>
                <w:szCs w:val="16"/>
                <w:color w:val="auto"/>
              </w:rPr>
              <w:t>Japan</w:t>
            </w:r>
          </w:p>
        </w:tc>
        <w:tc>
          <w:tcPr>
            <w:tcW w:w="116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15</w:t>
            </w:r>
          </w:p>
        </w:tc>
        <w:tc>
          <w:tcPr>
            <w:tcW w:w="1500" w:type="dxa"/>
            <w:vAlign w:val="bottom"/>
            <w:tcBorders>
              <w:bottom w:val="single" w:sz="8" w:color="CB233C"/>
            </w:tcBorders>
          </w:tcPr>
          <w:p>
            <w:pPr>
              <w:ind w:left="120"/>
              <w:spacing w:after="0" w:line="183" w:lineRule="exact"/>
              <w:rPr>
                <w:sz w:val="20"/>
                <w:szCs w:val="20"/>
                <w:color w:val="auto"/>
              </w:rPr>
            </w:pPr>
            <w:r>
              <w:rPr>
                <w:rFonts w:ascii="Arial" w:cs="Arial" w:eastAsia="Arial" w:hAnsi="Arial"/>
                <w:sz w:val="16"/>
                <w:szCs w:val="16"/>
                <w:color w:val="auto"/>
              </w:rPr>
              <w:t>Bulgaria</w:t>
            </w:r>
          </w:p>
        </w:tc>
        <w:tc>
          <w:tcPr>
            <w:tcW w:w="1380" w:type="dxa"/>
            <w:vAlign w:val="bottom"/>
            <w:tcBorders>
              <w:bottom w:val="single" w:sz="8" w:color="CB233C"/>
            </w:tcBorders>
          </w:tcPr>
          <w:p>
            <w:pPr>
              <w:jc w:val="right"/>
              <w:ind w:right="19"/>
              <w:spacing w:after="0" w:line="183" w:lineRule="exact"/>
              <w:rPr>
                <w:sz w:val="20"/>
                <w:szCs w:val="20"/>
                <w:color w:val="auto"/>
              </w:rPr>
            </w:pPr>
            <w:r>
              <w:rPr>
                <w:rFonts w:ascii="Arial" w:cs="Arial" w:eastAsia="Arial" w:hAnsi="Arial"/>
                <w:sz w:val="16"/>
                <w:szCs w:val="16"/>
                <w:color w:val="auto"/>
              </w:rPr>
              <w:t>2</w:t>
            </w:r>
          </w:p>
        </w:tc>
        <w:tc>
          <w:tcPr>
            <w:tcW w:w="1660" w:type="dxa"/>
            <w:vAlign w:val="bottom"/>
            <w:tcBorders>
              <w:bottom w:val="single" w:sz="8" w:color="CB233C"/>
            </w:tcBorders>
          </w:tcPr>
          <w:p>
            <w:pPr>
              <w:spacing w:after="0"/>
              <w:rPr>
                <w:sz w:val="15"/>
                <w:szCs w:val="15"/>
                <w:color w:val="auto"/>
              </w:rPr>
            </w:pPr>
          </w:p>
        </w:tc>
        <w:tc>
          <w:tcPr>
            <w:tcW w:w="1160" w:type="dxa"/>
            <w:vAlign w:val="bottom"/>
            <w:tcBorders>
              <w:bottom w:val="single" w:sz="8" w:color="CB233C"/>
            </w:tcBorders>
          </w:tcPr>
          <w:p>
            <w:pPr>
              <w:spacing w:after="0"/>
              <w:rPr>
                <w:sz w:val="15"/>
                <w:szCs w:val="15"/>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median employee was identified using base pay, overtime pay, bonuses, allowances, and premiums. We used the total gross wages of all employees as of our determination date of October 1, 2020, as a reasonable estimate of the median total gross wages for the employee population and identified all employees within 1% of the median total gross wages. From this group we selected an employee as a reasonable representative of our median employee. Annual total compensation for both the CEO and the median employee was calculated in accordance with Item 402(c)(2)(x) of Regulation S-K.</w:t>
      </w:r>
    </w:p>
    <w:p>
      <w:pPr>
        <w:spacing w:after="0" w:line="15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annual total compensation for our CEO includes both the amount reported in the “Total” column of our 2021 Summary Compensation Table, $23,591,982, and the estimated value of our CEO’s health and welfare benefits, $15,184. Due to the flexibility afforded in calculating the CEO pay ratio, the ratio may not be comparable to CEO pay ratios presented by other companies.</w:t>
      </w:r>
    </w:p>
    <w:p>
      <w:pPr>
        <w:spacing w:after="0" w:line="144" w:lineRule="exact"/>
        <w:rPr>
          <w:sz w:val="20"/>
          <w:szCs w:val="20"/>
          <w:color w:val="auto"/>
        </w:r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CB233C"/>
        </w:rPr>
        <w:t xml:space="preserve">General </w:t>
      </w:r>
      <w:r>
        <w:rPr>
          <w:rFonts w:ascii="Arial" w:cs="Arial" w:eastAsia="Arial" w:hAnsi="Arial"/>
          <w:sz w:val="47"/>
          <w:szCs w:val="47"/>
          <w:b w:val="1"/>
          <w:bCs w:val="1"/>
          <w:color w:val="000000"/>
        </w:rPr>
        <w:t>Information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are providing these proxy materials to you in connection with the solicitation by the Board of Directors of Halliburton Company of proxies to be voted at our 2022 Annual Meeting of Shareholders and at any adjournment or postponement of the meeting. By executing and returning the enclosed proxy, by following the enclosed voting instructions, or by voting via the Internet or by telephone, you authorize the persons named in the proxy to represent you and vote your shares on the matters described in the Notice of Annual Meeting.</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Notice of Internet Availability of Proxy Materials is being sent to shareholders on or about April 5, 2022. Our Annual Report on Form 10-K, including financial statements, for the fiscal year ended December 31, 2021, accompanies this proxy statement. The Annual Report on Form 10-K shall not be considered as a part of the proxy solicitation materials or as having been incorporated by reference.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Subject to space availability, all shareholders as of the record date, or their duly appointed proxies, may attend the Annual Meeting and each may be accompanied by one guest. Admission to the Annual Meeting will be on a first-come, first-served basis. Registration will begin at 8:00 a.m. and the Annual Meeting will begin at 9:00 a.m. Please note that we will ask you to present valid picture identification, such as a driver’s license or passport, when you check in at the registration desk.</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you hold your shares in “street name” (that is, through a broker or other nominee), you must bring a proxy issued in your name from the record holder to the meeting.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 may not bring cameras, recording equipment, electronic devices, large bags, briefcases, or packages into the Annual Meeting.</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If you attend the Annual Meeting, you may vote in person. If you are not present, you can only vote your shares if you have voted via the Internet, by telephone, or returned a properly executed proxy; in these cases, your shares will be voted as you specified. If you return a properly executed proxy and do not specify a vote, your shares will be voted in accordance with the recommendations of the Board. You may revoke the authorization given in your proxy at any time before the shares are voted at the Annual Meeting.</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record date for determination of the shareholders entitled to vote at the Annual Meeting is the close of business on March 21, 2022. Our common stock, par value $2.50 per share, is our only class of capital stock that is outstanding. As of March 21, 2022, there were 900,558,794 shares of our stock outstanding. Each outstanding share of common stock is entitled to one vote on each matter submitted to the shareholders for a vote at the Annual Meeting. We will keep a complete list of shareholders entitled to vote at our principal executive offices for ten days before the meeting and will have the list available at the Annual Meeting. Our principal executive offices are located at 3000 N. Sam Houston Parkway East, Administration Building, Houston, Texas 77032.</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Votes cast by proxy or in person at the Annual Meeting will be counted by the persons we appoint to act as election inspectors for the Annual Meeting. Except as set forth below, the affirmative vote of the majority of shares present in person or represented by proxy at the Annual Meeting and entitled to vote on the subject matter will be the act of the shareholders. Shares for which a shareholder has elected to abstain on a matter will count for purposes of determining the presence of a quorum and, except as set forth below, will have the effect of a vote against the matter.</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Each Director shall be elected by the vote of the majority of the votes cast by holders of shares represented in person or by proxy and entitled to vote in the election of Directors, provided that if the number of nominees exceeds the number of Directors to be elected and all shareholder-proposed nominees have</w:t>
      </w:r>
    </w:p>
    <w:p>
      <w:pPr>
        <w:jc w:val="both"/>
        <w:spacing w:after="0" w:line="236" w:lineRule="auto"/>
        <w:rPr>
          <w:sz w:val="20"/>
          <w:szCs w:val="20"/>
          <w:color w:val="auto"/>
        </w:rPr>
      </w:pPr>
      <w:r>
        <w:rPr>
          <w:rFonts w:ascii="Arial" w:cs="Arial" w:eastAsia="Arial" w:hAnsi="Arial"/>
          <w:sz w:val="16"/>
          <w:szCs w:val="16"/>
          <w:color w:val="auto"/>
        </w:rPr>
        <w:t>not been withdrawn before the tenth (10</w:t>
      </w:r>
      <w:r>
        <w:rPr>
          <w:rFonts w:ascii="Arial" w:cs="Arial" w:eastAsia="Arial" w:hAnsi="Arial"/>
          <w:sz w:val="26"/>
          <w:szCs w:val="26"/>
          <w:color w:val="auto"/>
          <w:vertAlign w:val="superscript"/>
        </w:rPr>
        <w:t>th</w:t>
      </w:r>
      <w:r>
        <w:rPr>
          <w:rFonts w:ascii="Arial" w:cs="Arial" w:eastAsia="Arial" w:hAnsi="Arial"/>
          <w:sz w:val="16"/>
          <w:szCs w:val="16"/>
          <w:color w:val="auto"/>
        </w:rPr>
        <w:t>) day preceding the day we mail the Notice of Internet Availability of Proxy Materials to shareholders for the Annual Meeting, the Directors shall be elected by the vote of a plurality of the shares represented in person or by proxy at the Annual Meeting and entitled to vote on the election of Directors. A majority of the votes cast means that the number of shares voted “for” a Director must exceed the number of votes cast “against” that Director; we will not count abstentions. As a condition of being nominated by the Board for continued service as a Director, each Director nominee has signed and delivered to the Board an irrevocable letter of resignation limited to and conditioned on that Director failing to achieve a majority of the votes cast at an election where Directors are elected by majority vote. For any Director nominee who fails to be elected by a majority of votes cast, where Directors are elected by majority vote, his or her irrevocable letter of resignation will be deemed tendered on the date the election results are certified. Such resignation shall only be effective upon acceptance by the Board.</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election inspectors will treat broker non-vote shares, which are shares held in street name that cannot be voted by a broker on specific matters in the absence of instructions from the beneficial owner of the shares, as shares that are present and entitled to vote for purposes of determining the presence of a quorum. In determining the outcome of any matter for which the broker does not have discretionary authority to vote, however, those shares will not have any effect on that matter. A broker may be entitled to vote those shares on other matters.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our confidential voting policy, no particular shareholder’s vote will be disclosed to our Directors, officers, or employees, except:</w:t>
      </w:r>
    </w:p>
    <w:p>
      <w:pPr>
        <w:spacing w:after="0" w:line="194" w:lineRule="exact"/>
        <w:rPr>
          <w:sz w:val="20"/>
          <w:szCs w:val="20"/>
          <w:color w:val="auto"/>
        </w:rPr>
      </w:pPr>
    </w:p>
    <w:p>
      <w:pPr>
        <w:ind w:left="180" w:hanging="172"/>
        <w:spacing w:after="0"/>
        <w:tabs>
          <w:tab w:leader="none" w:pos="180" w:val="left"/>
        </w:tabs>
        <w:numPr>
          <w:ilvl w:val="0"/>
          <w:numId w:val="90"/>
        </w:numPr>
        <w:rPr>
          <w:rFonts w:ascii="Arial" w:cs="Arial" w:eastAsia="Arial" w:hAnsi="Arial"/>
          <w:sz w:val="16"/>
          <w:szCs w:val="16"/>
          <w:color w:val="CB233C"/>
        </w:rPr>
      </w:pPr>
      <w:r>
        <w:rPr>
          <w:rFonts w:ascii="Arial" w:cs="Arial" w:eastAsia="Arial" w:hAnsi="Arial"/>
          <w:sz w:val="16"/>
          <w:szCs w:val="16"/>
          <w:color w:val="auto"/>
        </w:rPr>
        <w:t>as necessary to meet legal requirements and to assert claims for and defend claims against us;</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90"/>
        </w:numPr>
        <w:rPr>
          <w:rFonts w:ascii="Arial" w:cs="Arial" w:eastAsia="Arial" w:hAnsi="Arial"/>
          <w:sz w:val="16"/>
          <w:szCs w:val="16"/>
          <w:color w:val="CB233C"/>
        </w:rPr>
      </w:pPr>
      <w:r>
        <w:rPr>
          <w:rFonts w:ascii="Arial" w:cs="Arial" w:eastAsia="Arial" w:hAnsi="Arial"/>
          <w:sz w:val="16"/>
          <w:szCs w:val="16"/>
          <w:color w:val="auto"/>
        </w:rPr>
        <w:t>when disclosure is voluntarily made or requested by the shareholder;</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90"/>
        </w:numPr>
        <w:rPr>
          <w:rFonts w:ascii="Arial" w:cs="Arial" w:eastAsia="Arial" w:hAnsi="Arial"/>
          <w:sz w:val="16"/>
          <w:szCs w:val="16"/>
          <w:color w:val="CB233C"/>
        </w:rPr>
      </w:pPr>
      <w:r>
        <w:rPr>
          <w:rFonts w:ascii="Arial" w:cs="Arial" w:eastAsia="Arial" w:hAnsi="Arial"/>
          <w:sz w:val="16"/>
          <w:szCs w:val="16"/>
          <w:color w:val="auto"/>
        </w:rPr>
        <w:t>when the shareholder writes comments on the proxy card; or</w:t>
      </w:r>
    </w:p>
    <w:p>
      <w:pPr>
        <w:spacing w:after="0" w:line="86" w:lineRule="exact"/>
        <w:rPr>
          <w:rFonts w:ascii="Arial" w:cs="Arial" w:eastAsia="Arial" w:hAnsi="Arial"/>
          <w:sz w:val="16"/>
          <w:szCs w:val="16"/>
          <w:color w:val="CB233C"/>
        </w:rPr>
      </w:pPr>
    </w:p>
    <w:p>
      <w:pPr>
        <w:ind w:left="180" w:hanging="172"/>
        <w:spacing w:after="0"/>
        <w:tabs>
          <w:tab w:leader="none" w:pos="180" w:val="left"/>
        </w:tabs>
        <w:numPr>
          <w:ilvl w:val="0"/>
          <w:numId w:val="90"/>
        </w:numPr>
        <w:rPr>
          <w:rFonts w:ascii="Arial" w:cs="Arial" w:eastAsia="Arial" w:hAnsi="Arial"/>
          <w:sz w:val="16"/>
          <w:szCs w:val="16"/>
          <w:color w:val="CB233C"/>
        </w:rPr>
      </w:pPr>
      <w:r>
        <w:rPr>
          <w:rFonts w:ascii="Arial" w:cs="Arial" w:eastAsia="Arial" w:hAnsi="Arial"/>
          <w:sz w:val="16"/>
          <w:szCs w:val="16"/>
          <w:color w:val="auto"/>
        </w:rPr>
        <w:t>in the event of a proxy solicitation not approved and recommended by the Board.</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The proxy solicitor, the election inspectors, and the tabulators of all proxies, ballots, and voting tabulations are independent and are not our employees.</w:t>
      </w:r>
    </w:p>
    <w:p>
      <w:pPr>
        <w:spacing w:after="0" w:line="194" w:lineRule="exact"/>
        <w:rPr>
          <w:sz w:val="20"/>
          <w:szCs w:val="20"/>
          <w:color w:val="auto"/>
        </w:rPr>
      </w:pPr>
    </w:p>
    <w:p>
      <w:pPr>
        <w:ind w:left="7800"/>
        <w:spacing w:after="0"/>
        <w:tabs>
          <w:tab w:leader="none" w:pos="1104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886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CB233C"/>
        </w:rPr>
        <w:t xml:space="preserve">Additional </w:t>
      </w:r>
      <w:r>
        <w:rPr>
          <w:rFonts w:ascii="Arial" w:cs="Arial" w:eastAsia="Arial" w:hAnsi="Arial"/>
          <w:sz w:val="47"/>
          <w:szCs w:val="47"/>
          <w:b w:val="1"/>
          <w:bCs w:val="1"/>
          <w:color w:val="000000"/>
        </w:rPr>
        <w:t>Information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Involvement in Certain Legal Proceedings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are no legal proceedings to which any of our Directors, executive officers, or any associate of any of our Directors or executive officers is a party adverse to us or has a material interest adverse to us.</w:t>
      </w:r>
    </w:p>
    <w:p>
      <w:pPr>
        <w:spacing w:after="0" w:line="342"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Advance Notice Procedures and Shareholder Proposals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Under our By-laws, no business, including nominations of a person for election as a Director, may be brought before an Annual Meeting unless it is specified in the notice of the Annual Meeting or is otherwise brought before the Annual Meeting by or at the direction of the Board or by a shareholder who meets the requirements specified in our By-laws and has delivered notice to us (containing the information specified in the By-laws). To be timely, a shareholder’s notice for matters to be brought before the Annual Meeting of Shareholders in 2023 must be delivered to or mailed and received by our Corporate Secretary at 3000 N. Sam Houston Parkway East, Administration Building, Houston, Texas 77032, not less than 90 days nor more than 120 days prior to the anniversary date of the 2022 Annual Meeting of Shareholders, or no later than February 17, 2023, and no earlier than January 18, 2023. These requirements are separate from and in addition to the SEC’s requirements that a shareholder must meet in order to have a shareholder proposal included in our proxy statement.</w:t>
      </w: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advance notice requirement does not preclude discussion by any shareholder of any business properly brought before the Annual Meeting in accordance with these procedures.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Shareholders interested in submitting a proposal for inclusion in the proxy materials for the Annual Meeting of Shareholders in 2023 may do so by following the procedures prescribed in SEC Rule 14a-8. To be eligible for inclusion, shareholder proposals must be received by our Corporate Secretary at 3000 N. Sam Houston Parkway East, Administration Building, Houston, Texas 77032, no later than December 6, 2022. The 2023 Annual Meeting will be held on May 17, 2023.</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addition, to comply with the universal proxy rules (once effective), shareholders who intend to solicit proxies in support of director nominees other than Company nominees must provide notice that sets forth the information required by Rule 14a-19 under the Securities Exchange Act of 1934 no later than March 19, 2023.</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b w:val="1"/>
          <w:bCs w:val="1"/>
          <w:color w:val="CB233C"/>
        </w:rPr>
        <w:t>Proxy Solicitation Costs</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are soliciting the proxies accompanying this proxy statement and we will bear the cost of soliciting those proxies. We have retained Innisfree M&amp;A Incorporated to aid in the solicitation of proxies. For these services, we will pay Innisfree a fee of $17,500 and reimburse it for out-of-pocket disbursements and expenses. Our officers and employees may solicit proxies personally and by telephone or other electronic communications with some shareholders if proxies are not received promptly. We will, upon request, reimburse banks, brokers, and others for their reasonable expenses in forwarding proxies and proxy materials to beneficial owners of our stock.</w:t>
      </w:r>
    </w:p>
    <w:p>
      <w:pPr>
        <w:spacing w:after="0" w:line="153" w:lineRule="exact"/>
        <w:rPr>
          <w:sz w:val="20"/>
          <w:szCs w:val="20"/>
          <w:color w:val="auto"/>
        </w:rPr>
      </w:pPr>
    </w:p>
    <w:p>
      <w:pPr>
        <w:spacing w:after="0"/>
        <w:tabs>
          <w:tab w:leader="none" w:pos="7720" w:val="left"/>
          <w:tab w:leader="none" w:pos="11040" w:val="left"/>
        </w:tabs>
        <w:rPr>
          <w:sz w:val="20"/>
          <w:szCs w:val="20"/>
          <w:color w:val="auto"/>
        </w:rPr>
      </w:pPr>
      <w:r>
        <w:rPr>
          <w:rFonts w:ascii="Arial" w:cs="Arial" w:eastAsia="Arial" w:hAnsi="Arial"/>
          <w:sz w:val="16"/>
          <w:szCs w:val="16"/>
          <w:b w:val="1"/>
          <w:bCs w:val="1"/>
          <w:color w:val="CB233C"/>
        </w:rPr>
        <w:t>www.halliburton.com</w:t>
      </w:r>
      <w:r>
        <w:rPr>
          <w:sz w:val="20"/>
          <w:szCs w:val="20"/>
          <w:color w:val="auto"/>
        </w:rPr>
        <w:tab/>
      </w: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-46990</wp:posOffset>
            </wp:positionV>
            <wp:extent cx="37547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CB233C"/>
        </w:rPr>
        <w:t xml:space="preserve">Other </w:t>
      </w:r>
      <w:r>
        <w:rPr>
          <w:rFonts w:ascii="Arial" w:cs="Arial" w:eastAsia="Arial" w:hAnsi="Arial"/>
          <w:sz w:val="47"/>
          <w:szCs w:val="47"/>
          <w:b w:val="1"/>
          <w:bCs w:val="1"/>
          <w:color w:val="000000"/>
        </w:rPr>
        <w:t>Matters</w:t>
      </w:r>
    </w:p>
    <w:p>
      <w:pPr>
        <w:spacing w:after="0" w:line="200" w:lineRule="exact"/>
        <w:rPr>
          <w:sz w:val="20"/>
          <w:szCs w:val="20"/>
          <w:color w:val="auto"/>
        </w:rPr>
      </w:pP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the date of this proxy statement, we know of no business that will be presented for consideration at the Annual Meeting other than the matters described in this proxy statement. If any other matters should properly come before the Annual Meeting for action by shareholders, it is intended that proxies will be voted on those matters in accordance with the judgment of the person or persons voting the proxies.</w:t>
      </w:r>
    </w:p>
    <w:p>
      <w:pPr>
        <w:spacing w:after="0" w:line="144" w:lineRule="exact"/>
        <w:rPr>
          <w:sz w:val="20"/>
          <w:szCs w:val="20"/>
          <w:color w:val="auto"/>
        </w:rPr>
      </w:pPr>
    </w:p>
    <w:p>
      <w:pPr>
        <w:ind w:left="8560"/>
        <w:spacing w:after="0"/>
        <w:rPr>
          <w:sz w:val="20"/>
          <w:szCs w:val="20"/>
          <w:color w:val="auto"/>
        </w:rPr>
      </w:pPr>
      <w:r>
        <w:rPr>
          <w:rFonts w:ascii="Arial" w:cs="Arial" w:eastAsia="Arial" w:hAnsi="Arial"/>
          <w:sz w:val="16"/>
          <w:szCs w:val="16"/>
          <w:color w:val="auto"/>
        </w:rPr>
        <w:t>By Authority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12065</wp:posOffset>
            </wp:positionV>
            <wp:extent cx="1285875" cy="3689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8587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Van H. Beckwith</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Executive Vice President, Secretary and Chief Legal Officer</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5, 2022</w:t>
      </w:r>
    </w:p>
    <w:p>
      <w:pPr>
        <w:spacing w:after="0" w:line="178" w:lineRule="exact"/>
        <w:rPr>
          <w:sz w:val="20"/>
          <w:szCs w:val="20"/>
          <w:color w:val="auto"/>
        </w:rPr>
      </w:pPr>
    </w:p>
    <w:p>
      <w:pPr>
        <w:ind w:left="7800"/>
        <w:spacing w:after="0"/>
        <w:tabs>
          <w:tab w:leader="none" w:pos="11040" w:val="left"/>
        </w:tabs>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w:t>
        <w:tab/>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8863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886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342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33" w:lineRule="exact"/>
        <w:rPr>
          <w:sz w:val="20"/>
          <w:szCs w:val="20"/>
          <w:color w:val="auto"/>
        </w:rPr>
      </w:pPr>
    </w:p>
    <w:p>
      <w:pPr>
        <w:ind w:right="760"/>
        <w:spacing w:after="0" w:line="280" w:lineRule="auto"/>
        <w:rPr>
          <w:sz w:val="20"/>
          <w:szCs w:val="20"/>
          <w:color w:val="auto"/>
        </w:rPr>
      </w:pPr>
      <w:r>
        <w:rPr>
          <w:rFonts w:ascii="Arial" w:cs="Arial" w:eastAsia="Arial" w:hAnsi="Arial"/>
          <w:sz w:val="47"/>
          <w:szCs w:val="47"/>
          <w:b w:val="1"/>
          <w:bCs w:val="1"/>
          <w:color w:val="CB233C"/>
        </w:rPr>
        <w:t xml:space="preserve">Directions to the Halliburton </w:t>
      </w:r>
      <w:r>
        <w:rPr>
          <w:rFonts w:ascii="Arial" w:cs="Arial" w:eastAsia="Arial" w:hAnsi="Arial"/>
          <w:sz w:val="47"/>
          <w:szCs w:val="47"/>
          <w:b w:val="1"/>
          <w:bCs w:val="1"/>
          <w:color w:val="000000"/>
        </w:rPr>
        <w:t>Annual Meeting of</w:t>
      </w:r>
      <w:r>
        <w:rPr>
          <w:rFonts w:ascii="Arial" w:cs="Arial" w:eastAsia="Arial" w:hAnsi="Arial"/>
          <w:sz w:val="47"/>
          <w:szCs w:val="47"/>
          <w:b w:val="1"/>
          <w:bCs w:val="1"/>
          <w:color w:val="CB233C"/>
        </w:rPr>
        <w:t xml:space="preserve"> </w:t>
      </w:r>
      <w:r>
        <w:rPr>
          <w:rFonts w:ascii="Arial" w:cs="Arial" w:eastAsia="Arial" w:hAnsi="Arial"/>
          <w:sz w:val="47"/>
          <w:szCs w:val="47"/>
          <w:b w:val="1"/>
          <w:bCs w:val="1"/>
          <w:color w:val="000000"/>
        </w:rPr>
        <w:t>Shareholders</w:t>
      </w:r>
    </w:p>
    <w:p>
      <w:pPr>
        <w:spacing w:after="0" w:line="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Halliburton North Belt Facility is located on the North Sam Houston Parkway (Beltway 8 Tollway) south feeder between Aldine Westfield and JFK Boulevard.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3000 N. Sam Houston Parkway East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Houston, Texas 77032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281-871-4000</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418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From I-45</w:t>
            </w:r>
          </w:p>
        </w:tc>
        <w:tc>
          <w:tcPr>
            <w:tcW w:w="7060" w:type="dxa"/>
            <w:vAlign w:val="bottom"/>
            <w:tcBorders>
              <w:top w:val="single" w:sz="8" w:color="auto"/>
              <w:bottom w:val="single" w:sz="8" w:color="auto"/>
              <w:right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From I-69 / US 59 and IAH</w:t>
            </w:r>
          </w:p>
        </w:tc>
        <w:tc>
          <w:tcPr>
            <w:tcW w:w="0" w:type="dxa"/>
            <w:vAlign w:val="bottom"/>
          </w:tcPr>
          <w:p>
            <w:pPr>
              <w:spacing w:after="0"/>
              <w:rPr>
                <w:sz w:val="1"/>
                <w:szCs w:val="1"/>
                <w:color w:val="auto"/>
              </w:rPr>
            </w:pPr>
          </w:p>
        </w:tc>
      </w:tr>
      <w:tr>
        <w:trPr>
          <w:trHeight w:val="208"/>
        </w:trPr>
        <w:tc>
          <w:tcPr>
            <w:tcW w:w="418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6"/>
                <w:szCs w:val="16"/>
                <w:i w:val="1"/>
                <w:iCs w:val="1"/>
                <w:color w:val="CB233C"/>
              </w:rPr>
              <w:t xml:space="preserve">• </w:t>
            </w:r>
            <w:r>
              <w:rPr>
                <w:rFonts w:ascii="Arial" w:cs="Arial" w:eastAsia="Arial" w:hAnsi="Arial"/>
                <w:sz w:val="16"/>
                <w:szCs w:val="16"/>
                <w:color w:val="000000"/>
              </w:rPr>
              <w:t>Take the Sam Houston Parkway East</w:t>
            </w:r>
          </w:p>
        </w:tc>
        <w:tc>
          <w:tcPr>
            <w:tcW w:w="70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CB233C"/>
              </w:rPr>
              <w:t xml:space="preserve">• </w:t>
            </w:r>
            <w:r>
              <w:rPr>
                <w:rFonts w:ascii="Arial" w:cs="Arial" w:eastAsia="Arial" w:hAnsi="Arial"/>
                <w:sz w:val="16"/>
                <w:szCs w:val="16"/>
                <w:color w:val="000000"/>
              </w:rPr>
              <w:t>Take the Sam Houston Parkway West</w:t>
            </w:r>
          </w:p>
        </w:tc>
        <w:tc>
          <w:tcPr>
            <w:tcW w:w="0" w:type="dxa"/>
            <w:vAlign w:val="bottom"/>
          </w:tcPr>
          <w:p>
            <w:pPr>
              <w:spacing w:after="0"/>
              <w:rPr>
                <w:sz w:val="1"/>
                <w:szCs w:val="1"/>
                <w:color w:val="auto"/>
              </w:rPr>
            </w:pPr>
          </w:p>
        </w:tc>
      </w:tr>
      <w:tr>
        <w:trPr>
          <w:trHeight w:val="256"/>
        </w:trPr>
        <w:tc>
          <w:tcPr>
            <w:tcW w:w="418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6"/>
                <w:szCs w:val="16"/>
                <w:i w:val="1"/>
                <w:iCs w:val="1"/>
                <w:color w:val="CB233C"/>
              </w:rPr>
              <w:t xml:space="preserve">• </w:t>
            </w:r>
            <w:r>
              <w:rPr>
                <w:rFonts w:ascii="Arial" w:cs="Arial" w:eastAsia="Arial" w:hAnsi="Arial"/>
                <w:sz w:val="16"/>
                <w:szCs w:val="16"/>
                <w:color w:val="000000"/>
              </w:rPr>
              <w:t>Exit JFK Blvd</w:t>
            </w:r>
          </w:p>
        </w:tc>
        <w:tc>
          <w:tcPr>
            <w:tcW w:w="160" w:type="dxa"/>
            <w:vAlign w:val="bottom"/>
          </w:tcPr>
          <w:p>
            <w:pPr>
              <w:ind w:left="60"/>
              <w:spacing w:after="0"/>
              <w:rPr>
                <w:sz w:val="20"/>
                <w:szCs w:val="20"/>
                <w:color w:val="auto"/>
              </w:rPr>
            </w:pPr>
            <w:r>
              <w:rPr>
                <w:rFonts w:ascii="Arial" w:cs="Arial" w:eastAsia="Arial" w:hAnsi="Arial"/>
                <w:sz w:val="16"/>
                <w:szCs w:val="16"/>
                <w:color w:val="CB233C"/>
              </w:rPr>
              <w:t>•</w:t>
            </w:r>
          </w:p>
        </w:tc>
        <w:tc>
          <w:tcPr>
            <w:tcW w:w="690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Exit Aldine Westfield</w:t>
            </w:r>
          </w:p>
        </w:tc>
        <w:tc>
          <w:tcPr>
            <w:tcW w:w="0" w:type="dxa"/>
            <w:vAlign w:val="bottom"/>
          </w:tcPr>
          <w:p>
            <w:pPr>
              <w:spacing w:after="0"/>
              <w:rPr>
                <w:sz w:val="1"/>
                <w:szCs w:val="1"/>
                <w:color w:val="auto"/>
              </w:rPr>
            </w:pPr>
          </w:p>
        </w:tc>
      </w:tr>
      <w:tr>
        <w:trPr>
          <w:trHeight w:val="270"/>
        </w:trPr>
        <w:tc>
          <w:tcPr>
            <w:tcW w:w="1740" w:type="dxa"/>
            <w:vAlign w:val="bottom"/>
            <w:tcBorders>
              <w:left w:val="single" w:sz="8" w:color="auto"/>
            </w:tcBorders>
          </w:tcPr>
          <w:p>
            <w:pPr>
              <w:spacing w:after="0"/>
              <w:rPr>
                <w:sz w:val="23"/>
                <w:szCs w:val="23"/>
                <w:color w:val="auto"/>
              </w:rPr>
            </w:pPr>
          </w:p>
        </w:tc>
        <w:tc>
          <w:tcPr>
            <w:tcW w:w="2440" w:type="dxa"/>
            <w:vAlign w:val="bottom"/>
            <w:tcBorders>
              <w:right w:val="single" w:sz="8" w:color="auto"/>
            </w:tcBorders>
          </w:tcPr>
          <w:p>
            <w:pPr>
              <w:spacing w:after="0"/>
              <w:rPr>
                <w:sz w:val="23"/>
                <w:szCs w:val="23"/>
                <w:color w:val="auto"/>
              </w:rPr>
            </w:pPr>
          </w:p>
        </w:tc>
        <w:tc>
          <w:tcPr>
            <w:tcW w:w="160" w:type="dxa"/>
            <w:vAlign w:val="bottom"/>
          </w:tcPr>
          <w:p>
            <w:pPr>
              <w:ind w:left="60"/>
              <w:spacing w:after="0"/>
              <w:rPr>
                <w:sz w:val="20"/>
                <w:szCs w:val="20"/>
                <w:color w:val="auto"/>
              </w:rPr>
            </w:pPr>
            <w:r>
              <w:rPr>
                <w:rFonts w:ascii="Arial" w:cs="Arial" w:eastAsia="Arial" w:hAnsi="Arial"/>
                <w:sz w:val="16"/>
                <w:szCs w:val="16"/>
                <w:color w:val="CB233C"/>
              </w:rPr>
              <w:t>•</w:t>
            </w:r>
          </w:p>
        </w:tc>
        <w:tc>
          <w:tcPr>
            <w:tcW w:w="690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“U-Turn” at Aldine Westfield and proceed east on the Sam Houston Parkway feeder</w:t>
            </w:r>
          </w:p>
        </w:tc>
        <w:tc>
          <w:tcPr>
            <w:tcW w:w="0" w:type="dxa"/>
            <w:vAlign w:val="bottom"/>
          </w:tcPr>
          <w:p>
            <w:pPr>
              <w:spacing w:after="0"/>
              <w:rPr>
                <w:sz w:val="1"/>
                <w:szCs w:val="1"/>
                <w:color w:val="auto"/>
              </w:rPr>
            </w:pPr>
          </w:p>
        </w:tc>
      </w:tr>
      <w:tr>
        <w:trPr>
          <w:trHeight w:val="70"/>
        </w:trPr>
        <w:tc>
          <w:tcPr>
            <w:tcW w:w="1740" w:type="dxa"/>
            <w:vAlign w:val="bottom"/>
            <w:tcBorders>
              <w:left w:val="single" w:sz="8" w:color="auto"/>
              <w:bottom w:val="single" w:sz="8" w:color="auto"/>
            </w:tcBorders>
          </w:tcPr>
          <w:p>
            <w:pPr>
              <w:spacing w:after="0"/>
              <w:rPr>
                <w:sz w:val="6"/>
                <w:szCs w:val="6"/>
                <w:color w:val="auto"/>
              </w:rPr>
            </w:pPr>
          </w:p>
        </w:tc>
        <w:tc>
          <w:tcPr>
            <w:tcW w:w="2440" w:type="dxa"/>
            <w:vAlign w:val="bottom"/>
            <w:tcBorders>
              <w:bottom w:val="single" w:sz="8" w:color="auto"/>
              <w:right w:val="single" w:sz="8" w:color="auto"/>
            </w:tcBorders>
          </w:tcPr>
          <w:p>
            <w:pPr>
              <w:spacing w:after="0"/>
              <w:rPr>
                <w:sz w:val="6"/>
                <w:szCs w:val="6"/>
                <w:color w:val="auto"/>
              </w:rPr>
            </w:pPr>
          </w:p>
        </w:tc>
        <w:tc>
          <w:tcPr>
            <w:tcW w:w="3460" w:type="dxa"/>
            <w:vAlign w:val="bottom"/>
            <w:tcBorders>
              <w:bottom w:val="single" w:sz="8" w:color="auto"/>
            </w:tcBorders>
            <w:gridSpan w:val="2"/>
          </w:tcPr>
          <w:p>
            <w:pPr>
              <w:spacing w:after="0"/>
              <w:rPr>
                <w:sz w:val="6"/>
                <w:szCs w:val="6"/>
                <w:color w:val="auto"/>
              </w:rPr>
            </w:pPr>
          </w:p>
        </w:tc>
        <w:tc>
          <w:tcPr>
            <w:tcW w:w="3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83"/>
        </w:trPr>
        <w:tc>
          <w:tcPr>
            <w:tcW w:w="11240" w:type="dxa"/>
            <w:vAlign w:val="bottom"/>
            <w:gridSpan w:val="5"/>
          </w:tcPr>
          <w:p>
            <w:pPr>
              <w:spacing w:after="0"/>
              <w:rPr>
                <w:sz w:val="20"/>
                <w:szCs w:val="20"/>
                <w:color w:val="auto"/>
              </w:rPr>
            </w:pPr>
            <w:r>
              <w:rPr>
                <w:rFonts w:ascii="Arial" w:cs="Arial" w:eastAsia="Arial" w:hAnsi="Arial"/>
                <w:sz w:val="16"/>
                <w:szCs w:val="16"/>
                <w:color w:val="auto"/>
              </w:rPr>
              <w:t>The main entrance to the North Belt facility will be on your right, about halfway between Aldine Westfield and JFK Blvd.</w:t>
            </w:r>
          </w:p>
        </w:tc>
        <w:tc>
          <w:tcPr>
            <w:tcW w:w="0" w:type="dxa"/>
            <w:vAlign w:val="bottom"/>
          </w:tcPr>
          <w:p>
            <w:pPr>
              <w:spacing w:after="0"/>
              <w:rPr>
                <w:sz w:val="1"/>
                <w:szCs w:val="1"/>
                <w:color w:val="auto"/>
              </w:rPr>
            </w:pPr>
          </w:p>
        </w:tc>
      </w:tr>
      <w:tr>
        <w:trPr>
          <w:trHeight w:val="272"/>
        </w:trPr>
        <w:tc>
          <w:tcPr>
            <w:tcW w:w="1740" w:type="dxa"/>
            <w:vAlign w:val="bottom"/>
            <w:vMerge w:val="restart"/>
          </w:tcPr>
          <w:p>
            <w:pPr>
              <w:spacing w:after="0"/>
              <w:rPr>
                <w:sz w:val="20"/>
                <w:szCs w:val="20"/>
                <w:color w:val="auto"/>
              </w:rPr>
            </w:pPr>
            <w:r>
              <w:rPr>
                <w:rFonts w:ascii="Arial" w:cs="Arial" w:eastAsia="Arial" w:hAnsi="Arial"/>
                <w:sz w:val="16"/>
                <w:szCs w:val="16"/>
                <w:b w:val="1"/>
                <w:bCs w:val="1"/>
                <w:color w:val="CB233C"/>
              </w:rPr>
              <w:t>www.halliburton.com</w:t>
            </w:r>
          </w:p>
        </w:tc>
        <w:tc>
          <w:tcPr>
            <w:tcW w:w="24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300" w:type="dxa"/>
            <w:vAlign w:val="bottom"/>
            <w:tcBorders>
              <w:bottom w:val="single" w:sz="8" w:color="auto"/>
            </w:tcBorders>
          </w:tcPr>
          <w:p>
            <w:pPr>
              <w:spacing w:after="0"/>
              <w:rPr>
                <w:sz w:val="23"/>
                <w:szCs w:val="23"/>
                <w:color w:val="auto"/>
              </w:rPr>
            </w:pPr>
          </w:p>
        </w:tc>
        <w:tc>
          <w:tcPr>
            <w:tcW w:w="3600" w:type="dxa"/>
            <w:vAlign w:val="bottom"/>
            <w:vMerge w:val="restart"/>
          </w:tcPr>
          <w:p>
            <w:pPr>
              <w:ind w:left="100"/>
              <w:spacing w:after="0"/>
              <w:rPr>
                <w:sz w:val="20"/>
                <w:szCs w:val="20"/>
                <w:color w:val="auto"/>
              </w:rPr>
            </w:pPr>
            <w:r>
              <w:rPr>
                <w:rFonts w:ascii="Arial" w:cs="Arial" w:eastAsia="Arial" w:hAnsi="Arial"/>
                <w:sz w:val="16"/>
                <w:szCs w:val="16"/>
                <w:b w:val="1"/>
                <w:bCs w:val="1"/>
                <w:color w:val="231F20"/>
              </w:rPr>
              <w:t xml:space="preserve">HALLIBURTON | </w:t>
            </w:r>
            <w:r>
              <w:rPr>
                <w:rFonts w:ascii="Arial" w:cs="Arial" w:eastAsia="Arial" w:hAnsi="Arial"/>
                <w:sz w:val="16"/>
                <w:szCs w:val="16"/>
                <w:b w:val="1"/>
                <w:bCs w:val="1"/>
                <w:color w:val="CB233C"/>
              </w:rPr>
              <w:t>2022</w:t>
            </w:r>
            <w:r>
              <w:rPr>
                <w:rFonts w:ascii="Arial" w:cs="Arial" w:eastAsia="Arial" w:hAnsi="Arial"/>
                <w:sz w:val="16"/>
                <w:szCs w:val="16"/>
                <w:b w:val="1"/>
                <w:bCs w:val="1"/>
                <w:color w:val="231F20"/>
              </w:rPr>
              <w:t xml:space="preserve"> Proxy Statement   68</w:t>
            </w:r>
          </w:p>
        </w:tc>
        <w:tc>
          <w:tcPr>
            <w:tcW w:w="0" w:type="dxa"/>
            <w:vAlign w:val="bottom"/>
          </w:tcPr>
          <w:p>
            <w:pPr>
              <w:spacing w:after="0"/>
              <w:rPr>
                <w:sz w:val="1"/>
                <w:szCs w:val="1"/>
                <w:color w:val="auto"/>
              </w:rPr>
            </w:pPr>
          </w:p>
        </w:tc>
      </w:tr>
      <w:tr>
        <w:trPr>
          <w:trHeight w:val="94"/>
        </w:trPr>
        <w:tc>
          <w:tcPr>
            <w:tcW w:w="1740" w:type="dxa"/>
            <w:vAlign w:val="bottom"/>
            <w:vMerge w:val="continue"/>
          </w:tcPr>
          <w:p>
            <w:pPr>
              <w:spacing w:after="0"/>
              <w:rPr>
                <w:sz w:val="8"/>
                <w:szCs w:val="8"/>
                <w:color w:val="auto"/>
              </w:rPr>
            </w:pPr>
          </w:p>
        </w:tc>
        <w:tc>
          <w:tcPr>
            <w:tcW w:w="2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3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1740" w:type="dxa"/>
            <w:vAlign w:val="bottom"/>
            <w:tcBorders>
              <w:bottom w:val="single" w:sz="8" w:color="C0C0C0"/>
            </w:tcBorders>
          </w:tcPr>
          <w:p>
            <w:pPr>
              <w:spacing w:after="0"/>
              <w:rPr>
                <w:sz w:val="23"/>
                <w:szCs w:val="23"/>
                <w:color w:val="auto"/>
              </w:rPr>
            </w:pPr>
          </w:p>
        </w:tc>
        <w:tc>
          <w:tcPr>
            <w:tcW w:w="2440" w:type="dxa"/>
            <w:vAlign w:val="bottom"/>
            <w:tcBorders>
              <w:bottom w:val="single" w:sz="8" w:color="C0C0C0"/>
            </w:tcBorders>
          </w:tcPr>
          <w:p>
            <w:pPr>
              <w:spacing w:after="0"/>
              <w:rPr>
                <w:sz w:val="23"/>
                <w:szCs w:val="23"/>
                <w:color w:val="auto"/>
              </w:rPr>
            </w:pPr>
          </w:p>
        </w:tc>
        <w:tc>
          <w:tcPr>
            <w:tcW w:w="160" w:type="dxa"/>
            <w:vAlign w:val="bottom"/>
            <w:tcBorders>
              <w:bottom w:val="single" w:sz="8" w:color="C0C0C0"/>
            </w:tcBorders>
          </w:tcPr>
          <w:p>
            <w:pPr>
              <w:spacing w:after="0"/>
              <w:rPr>
                <w:sz w:val="23"/>
                <w:szCs w:val="23"/>
                <w:color w:val="auto"/>
              </w:rPr>
            </w:pPr>
          </w:p>
        </w:tc>
        <w:tc>
          <w:tcPr>
            <w:tcW w:w="3300" w:type="dxa"/>
            <w:vAlign w:val="bottom"/>
            <w:tcBorders>
              <w:bottom w:val="single" w:sz="8" w:color="C0C0C0"/>
            </w:tcBorders>
          </w:tcPr>
          <w:p>
            <w:pPr>
              <w:spacing w:after="0"/>
              <w:rPr>
                <w:sz w:val="23"/>
                <w:szCs w:val="23"/>
                <w:color w:val="auto"/>
              </w:rPr>
            </w:pPr>
          </w:p>
        </w:tc>
        <w:tc>
          <w:tcPr>
            <w:tcW w:w="360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91382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9138285"/>
                    </a:xfrm>
                    <a:prstGeom prst="rect">
                      <a:avLst/>
                    </a:prstGeom>
                    <a:noFill/>
                  </pic:spPr>
                </pic:pic>
              </a:graphicData>
            </a:graphic>
          </wp:anchor>
        </w:drawing>
      </w:r>
    </w:p>
    <w:p>
      <w:pPr>
        <w:sectPr>
          <w:pgSz w:w="11900" w:h="16838" w:orient="portrait"/>
          <w:cols w:equalWidth="0" w:num="1">
            <w:col w:w="10139"/>
          </w:cols>
          <w:pgMar w:left="320" w:top="238" w:right="1440"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90608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9060815"/>
                    </a:xfrm>
                    <a:prstGeom prst="rect">
                      <a:avLst/>
                    </a:prstGeom>
                    <a:noFill/>
                  </pic:spPr>
                </pic:pic>
              </a:graphicData>
            </a:graphic>
          </wp:anchor>
        </w:drawing>
      </w:r>
    </w:p>
    <w:p>
      <w:pPr>
        <w:sectPr>
          <w:pgSz w:w="11900" w:h="16838" w:orient="portrait"/>
          <w:cols w:equalWidth="0" w:num="1">
            <w:col w:w="10139"/>
          </w:cols>
          <w:pgMar w:left="320" w:top="238" w:right="1440"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90779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9077960"/>
                    </a:xfrm>
                    <a:prstGeom prst="rect">
                      <a:avLst/>
                    </a:prstGeom>
                    <a:noFill/>
                  </pic:spPr>
                </pic:pic>
              </a:graphicData>
            </a:graphic>
          </wp:anchor>
        </w:drawing>
      </w:r>
    </w:p>
    <w:sectPr>
      <w:pgSz w:w="11900" w:h="16838" w:orient="portrait"/>
      <w:cols w:equalWidth="0" w:num="1">
        <w:col w:w="10139"/>
      </w:cols>
      <w:pgMar w:left="320" w:top="2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decimal"/>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lvl w:ilvl="1">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1)"/>
      <w:numFmt w:val="lowerRoman"/>
      <w:start w:val="1"/>
    </w:lvl>
  </w:abstractNum>
  <w:abstractNum w:abstractNumId="11">
    <w:nsid w:val="1BA026FA"/>
    <w:multiLevelType w:val="hybridMultilevel"/>
    <w:lvl w:ilvl="0">
      <w:lvlJc w:val="left"/>
      <w:lvlText w:val="•"/>
      <w:numFmt w:val="bullet"/>
      <w:start w:val="1"/>
    </w:lvl>
    <w:lvl w:ilvl="1">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1)"/>
      <w:numFmt w:val="decimal"/>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decimal"/>
      <w:start w:val="1"/>
    </w:lvl>
  </w:abstractNum>
  <w:abstractNum w:abstractNumId="30">
    <w:nsid w:val="D34B6A8"/>
    <w:multiLevelType w:val="hybridMultilevel"/>
    <w:lvl w:ilvl="0">
      <w:lvlJc w:val="left"/>
      <w:lvlText w:val="(%1)"/>
      <w:numFmt w:val="decimal"/>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1)"/>
      <w:numFmt w:val="decimal"/>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Q"/>
      <w:numFmt w:val="bullet"/>
      <w:start w:val="1"/>
    </w:lvl>
  </w:abstractNum>
  <w:abstractNum w:abstractNumId="37">
    <w:nsid w:val="310C50B3"/>
    <w:multiLevelType w:val="hybridMultilevel"/>
    <w:lvl w:ilvl="0">
      <w:lvlJc w:val="left"/>
      <w:lvlText w:val="A"/>
      <w:numFmt w:val="bullet"/>
      <w:start w:val="1"/>
    </w:lvl>
  </w:abstractNum>
  <w:abstractNum w:abstractNumId="38">
    <w:nsid w:val="5FF87E05"/>
    <w:multiLevelType w:val="hybridMultilevel"/>
    <w:lvl w:ilvl="0">
      <w:lvlJc w:val="left"/>
      <w:lvlText w:val="Q"/>
      <w:numFmt w:val="bullet"/>
      <w:start w:val="1"/>
    </w:lvl>
  </w:abstractNum>
  <w:abstractNum w:abstractNumId="39">
    <w:nsid w:val="2F305DEF"/>
    <w:multiLevelType w:val="hybridMultilevel"/>
    <w:lvl w:ilvl="0">
      <w:lvlJc w:val="left"/>
      <w:lvlText w:val="A"/>
      <w:numFmt w:val="bullet"/>
      <w:start w:val="1"/>
    </w:lvl>
  </w:abstractNum>
  <w:abstractNum w:abstractNumId="40">
    <w:nsid w:val="25A70BF7"/>
    <w:multiLevelType w:val="hybridMultilevel"/>
    <w:lvl w:ilvl="0">
      <w:lvlJc w:val="left"/>
      <w:lvlText w:val="Q"/>
      <w:numFmt w:val="bullet"/>
      <w:start w:val="1"/>
    </w:lvl>
  </w:abstractNum>
  <w:abstractNum w:abstractNumId="41">
    <w:nsid w:val="1DBABF00"/>
    <w:multiLevelType w:val="hybridMultilevel"/>
    <w:lvl w:ilvl="0">
      <w:lvlJc w:val="left"/>
      <w:lvlText w:val="A"/>
      <w:numFmt w:val="bullet"/>
      <w:start w:val="1"/>
    </w:lvl>
  </w:abstractNum>
  <w:abstractNum w:abstractNumId="42">
    <w:nsid w:val="4AD084E9"/>
    <w:multiLevelType w:val="hybridMultilevel"/>
    <w:lvl w:ilvl="0">
      <w:lvlJc w:val="left"/>
      <w:lvlText w:val="Q"/>
      <w:numFmt w:val="bullet"/>
      <w:start w:val="1"/>
    </w:lvl>
  </w:abstractNum>
  <w:abstractNum w:abstractNumId="43">
    <w:nsid w:val="1F48EAA1"/>
    <w:multiLevelType w:val="hybridMultilevel"/>
    <w:lvl w:ilvl="0">
      <w:lvlJc w:val="left"/>
      <w:lvlText w:val="A"/>
      <w:numFmt w:val="bullet"/>
      <w:start w:val="1"/>
    </w:lvl>
  </w:abstractNum>
  <w:abstractNum w:abstractNumId="44">
    <w:nsid w:val="1381823A"/>
    <w:multiLevelType w:val="hybridMultilevel"/>
    <w:lvl w:ilvl="0">
      <w:lvlJc w:val="left"/>
      <w:lvlText w:val="Q"/>
      <w:numFmt w:val="bullet"/>
      <w:start w:val="1"/>
    </w:lvl>
  </w:abstractNum>
  <w:abstractNum w:abstractNumId="45">
    <w:nsid w:val="5DB70AE5"/>
    <w:multiLevelType w:val="hybridMultilevel"/>
    <w:lvl w:ilvl="0">
      <w:lvlJc w:val="left"/>
      <w:lvlText w:val="A"/>
      <w:numFmt w:val="bullet"/>
      <w:start w:val="1"/>
    </w:lvl>
  </w:abstractNum>
  <w:abstractNum w:abstractNumId="46">
    <w:nsid w:val="100F8FCA"/>
    <w:multiLevelType w:val="hybridMultilevel"/>
    <w:lvl w:ilvl="0">
      <w:lvlJc w:val="left"/>
      <w:lvlText w:val="Q"/>
      <w:numFmt w:val="bullet"/>
      <w:start w:val="1"/>
    </w:lvl>
  </w:abstractNum>
  <w:abstractNum w:abstractNumId="47">
    <w:nsid w:val="6590700B"/>
    <w:multiLevelType w:val="hybridMultilevel"/>
    <w:lvl w:ilvl="0">
      <w:lvlJc w:val="left"/>
      <w:lvlText w:val="A"/>
      <w:numFmt w:val="bullet"/>
      <w:start w:val="1"/>
    </w:lvl>
  </w:abstractNum>
  <w:abstractNum w:abstractNumId="48">
    <w:nsid w:val="15014ACB"/>
    <w:multiLevelType w:val="hybridMultilevel"/>
    <w:lvl w:ilvl="0">
      <w:lvlJc w:val="left"/>
      <w:lvlText w:val="Q"/>
      <w:numFmt w:val="bullet"/>
      <w:start w:val="1"/>
    </w:lvl>
  </w:abstractNum>
  <w:abstractNum w:abstractNumId="49">
    <w:nsid w:val="5F5E7FD0"/>
    <w:multiLevelType w:val="hybridMultilevel"/>
    <w:lvl w:ilvl="0">
      <w:lvlJc w:val="left"/>
      <w:lvlText w:val="A"/>
      <w:numFmt w:val="bullet"/>
      <w:start w:val="1"/>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1)"/>
      <w:numFmt w:val="decimal"/>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
      <w:numFmt w:val="bullet"/>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1)"/>
      <w:numFmt w:val="decimal"/>
      <w:start w:val="1"/>
    </w:lvl>
  </w:abstractNum>
  <w:abstractNum w:abstractNumId="69">
    <w:nsid w:val="68EB2F63"/>
    <w:multiLevelType w:val="hybridMultilevel"/>
    <w:lvl w:ilvl="0">
      <w:lvlJc w:val="left"/>
      <w:lvlText w:val="(%1)"/>
      <w:numFmt w:val="decimal"/>
      <w:start w:val="1"/>
    </w:lvl>
  </w:abstractNum>
  <w:abstractNum w:abstractNumId="70">
    <w:nsid w:val="4962813B"/>
    <w:multiLevelType w:val="hybridMultilevel"/>
    <w:lvl w:ilvl="0">
      <w:lvlJc w:val="left"/>
      <w:lvlText w:val="(%1)"/>
      <w:numFmt w:val="decimal"/>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1)"/>
      <w:numFmt w:val="decimal"/>
      <w:start w:val="1"/>
    </w:lvl>
  </w:abstractNum>
  <w:abstractNum w:abstractNumId="77">
    <w:nsid w:val="100F59DC"/>
    <w:multiLevelType w:val="hybridMultilevel"/>
    <w:lvl w:ilvl="0">
      <w:lvlJc w:val="left"/>
      <w:lvlText w:val="(%1)"/>
      <w:numFmt w:val="decimal"/>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
      <w:numFmt w:val="bullet"/>
      <w:start w:val="1"/>
    </w:lvl>
  </w:abstractNum>
  <w:abstractNum w:abstractNumId="83">
    <w:nsid w:val="76272110"/>
    <w:multiLevelType w:val="hybridMultilevel"/>
    <w:lvl w:ilvl="0">
      <w:lvlJc w:val="left"/>
      <w:lvlText w:val="•"/>
      <w:numFmt w:val="bullet"/>
      <w:start w:val="1"/>
    </w:lvl>
  </w:abstractNum>
  <w:abstractNum w:abstractNumId="84">
    <w:nsid w:val="4C04A8AF"/>
    <w:multiLevelType w:val="hybridMultilevel"/>
    <w:lvl w:ilvl="0">
      <w:lvlJc w:val="left"/>
      <w:lvlText w:val="•"/>
      <w:numFmt w:val="bullet"/>
      <w:start w:val="1"/>
    </w:lvl>
  </w:abstractNum>
  <w:abstractNum w:abstractNumId="85">
    <w:nsid w:val="1716703B"/>
    <w:multiLevelType w:val="hybridMultilevel"/>
    <w:lvl w:ilvl="0">
      <w:lvlJc w:val="left"/>
      <w:lvlText w:val="•"/>
      <w:numFmt w:val="bullet"/>
      <w:start w:val="1"/>
    </w:lvl>
  </w:abstractNum>
  <w:abstractNum w:abstractNumId="86">
    <w:nsid w:val="14E17E33"/>
    <w:multiLevelType w:val="hybridMultilevel"/>
    <w:lvl w:ilvl="0">
      <w:lvlJc w:val="left"/>
      <w:lvlText w:val="•"/>
      <w:numFmt w:val="bullet"/>
      <w:start w:val="1"/>
    </w:lvl>
  </w:abstractNum>
  <w:abstractNum w:abstractNumId="87">
    <w:nsid w:val="3222E7CD"/>
    <w:multiLevelType w:val="hybridMultilevel"/>
    <w:lvl w:ilvl="0">
      <w:lvlJc w:val="left"/>
      <w:lvlText w:val="•"/>
      <w:numFmt w:val="bullet"/>
      <w:start w:val="1"/>
    </w:lvl>
  </w:abstractNum>
  <w:abstractNum w:abstractNumId="88">
    <w:nsid w:val="74DE0EE3"/>
    <w:multiLevelType w:val="hybridMultilevel"/>
    <w:lvl w:ilvl="0">
      <w:lvlJc w:val="left"/>
      <w:lvlText w:val="•"/>
      <w:numFmt w:val="bullet"/>
      <w:start w:val="1"/>
    </w:lvl>
  </w:abstractNum>
  <w:abstractNum w:abstractNumId="89">
    <w:nsid w:val="68EBC55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2022-04-05T07:04:37Z</dcterms:created>
  <dcterms:modified xsi:type="dcterms:W3CDTF">2022-04-05T07:04:37Z</dcterms:modified>
</cp:coreProperties>
</file>