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51435</wp:posOffset>
            </wp:positionV>
            <wp:extent cx="23228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87630</wp:posOffset>
            </wp:positionV>
            <wp:extent cx="2322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102235</wp:posOffset>
            </wp:positionV>
            <wp:extent cx="2322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HALLIBURTON COMPANY</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78105</wp:posOffset>
            </wp:positionV>
            <wp:extent cx="2322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tbl>
      <w:tblPr>
        <w:tblLayout w:type="fixed"/>
        <w:tblInd w:w="600" w:type="dxa"/>
        <w:tblCellMar>
          <w:top w:w="0" w:type="dxa"/>
          <w:left w:w="0" w:type="dxa"/>
          <w:bottom w:w="0" w:type="dxa"/>
          <w:right w:w="0" w:type="dxa"/>
        </w:tblCellMar>
      </w:tblPr>
      <w:tr>
        <w:trPr>
          <w:trHeight w:val="248"/>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840" w:type="dxa"/>
            <w:vAlign w:val="bottom"/>
            <w:vMerge w:val="restart"/>
          </w:tcPr>
          <w:p>
            <w:pPr>
              <w:jc w:val="right"/>
              <w:ind w:right="1442"/>
              <w:spacing w:after="0"/>
              <w:rPr>
                <w:sz w:val="20"/>
                <w:szCs w:val="20"/>
                <w:color w:val="auto"/>
              </w:rPr>
            </w:pPr>
            <w:r>
              <w:rPr>
                <w:rFonts w:ascii="Times New Roman" w:cs="Times New Roman" w:eastAsia="Times New Roman" w:hAnsi="Times New Roman"/>
                <w:sz w:val="18"/>
                <w:szCs w:val="18"/>
                <w:b w:val="1"/>
                <w:bCs w:val="1"/>
                <w:color w:val="auto"/>
              </w:rPr>
              <w:t>001-03492</w:t>
            </w:r>
          </w:p>
        </w:tc>
        <w:tc>
          <w:tcPr>
            <w:tcW w:w="2800" w:type="dxa"/>
            <w:vAlign w:val="bottom"/>
            <w:vMerge w:val="restart"/>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75-2677995</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08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80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98"/>
        </w:trPr>
        <w:tc>
          <w:tcPr>
            <w:tcW w:w="692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3000 North Sam Houston Parkway East, Houston,  Texas</w:t>
            </w:r>
          </w:p>
        </w:tc>
        <w:tc>
          <w:tcPr>
            <w:tcW w:w="2800" w:type="dxa"/>
            <w:vAlign w:val="bottom"/>
          </w:tcPr>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77032</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871-2699</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90805</wp:posOffset>
            </wp:positionV>
            <wp:extent cx="2322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3"/>
                <w:szCs w:val="13"/>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340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color w:val="auto"/>
              </w:rPr>
              <w:t>Common Stock, par value $2.50 per share</w:t>
            </w:r>
          </w:p>
        </w:tc>
        <w:tc>
          <w:tcPr>
            <w:tcW w:w="960" w:type="dxa"/>
            <w:vAlign w:val="bottom"/>
          </w:tcPr>
          <w:p>
            <w:pPr>
              <w:spacing w:after="0"/>
              <w:rPr>
                <w:sz w:val="18"/>
                <w:szCs w:val="18"/>
                <w:color w:val="auto"/>
              </w:rPr>
            </w:pPr>
          </w:p>
        </w:tc>
        <w:tc>
          <w:tcPr>
            <w:tcW w:w="282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color w:val="auto"/>
              </w:rPr>
              <w:t>HAL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0" w:lineRule="exact"/>
        <w:rPr>
          <w:sz w:val="24"/>
          <w:szCs w:val="24"/>
          <w:color w:val="auto"/>
        </w:rPr>
      </w:pPr>
    </w:p>
    <w:p>
      <w:pPr>
        <w:spacing w:after="0" w:line="34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840"/>
        <w:spacing w:after="0" w:line="207" w:lineRule="exact"/>
        <w:tabs>
          <w:tab w:leader="none" w:pos="109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0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color w:val="auto"/>
        </w:rPr>
        <w:t>Other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21, 2024, Halliburton Company (the “Company”) became aware that an unauthorized third party gained access to certain of its systems.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learned of the issue, the Company activated its cybersecurity response plan and launched an investigation internally with the support of external advisors to assess and remediate the unauthorized activity. The Company’s response efforts included proactively taking certain systems offline to help protect them and notifying law enforcement. The Company’s ongoing investigation and response include restoration of its systems and assessment of materiality.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communicating with its customers and other stakeholders. The Company is following its process-based safety standards for ongoing operations under the Halliburton Management System, and is working to identify any effects of the incident.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but not limited to, statements regarding the Company’s current beliefs, understanding and expectations regarding the incident. Factors that could cause actual results to differ from those expressed in these forward-looking statements include the ongoing assessment of the incident; legal, reputational and financial risks resulting from the incident or additional cybersecurity incidents; and the risks described in the Company’s Annual Report on Form 10-K for the year ended December 31, 2023 and subsequent Quarterly Reports on Form 10-Q. Unless required by law, the Company expressly disclaims any obligation to update publicly any forward-looking statements, whether as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2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HALLIBURTON COMPANY</w:t>
            </w:r>
          </w:p>
        </w:tc>
      </w:tr>
      <w:tr>
        <w:trPr>
          <w:trHeight w:val="74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22, 2024</w:t>
            </w:r>
          </w:p>
        </w:tc>
        <w:tc>
          <w:tcPr>
            <w:tcW w:w="65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w w:val="98"/>
              </w:rPr>
              <w:t>By:/s/ Charles E. Geer, Jr.</w:t>
            </w:r>
          </w:p>
        </w:tc>
      </w:tr>
      <w:tr>
        <w:trPr>
          <w:trHeight w:val="218"/>
        </w:trPr>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E. Geer, Jr.</w:t>
            </w:r>
          </w:p>
        </w:tc>
      </w:tr>
      <w:tr>
        <w:trPr>
          <w:trHeight w:val="229"/>
        </w:trPr>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w:t>
            </w:r>
          </w:p>
        </w:tc>
      </w:tr>
      <w:tr>
        <w:trPr>
          <w:trHeight w:val="234"/>
        </w:trPr>
        <w:tc>
          <w:tcPr>
            <w:tcW w:w="7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 w:lineRule="exact"/>
        <w:rPr>
          <w:sz w:val="20"/>
          <w:szCs w:val="20"/>
          <w:color w:val="auto"/>
        </w:rPr>
      </w:pP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2024-08-23T05:26:25Z</dcterms:created>
  <dcterms:modified xsi:type="dcterms:W3CDTF">2024-08-23T05:26:25Z</dcterms:modified>
</cp:coreProperties>
</file>