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0.2 -->
  <w:body>
    <w:p w:rsidR="00A77B3E">
      <w:pPr>
        <w:keepNext w:val="0"/>
        <w:keepLines w:val="0"/>
        <w:pageBreakBefore w:val="0"/>
        <w:widowControl/>
        <w:numPr>
          <w:ilvl w:val="0"/>
          <w:numId w:val="0"/>
        </w:numPr>
        <w:spacing w:before="0" w:after="0" w:line="288" w:lineRule="auto"/>
        <w:ind w:left="0" w:right="0" w:firstLine="0"/>
        <w:jc w:val="center"/>
        <w:outlineLvl w:val="9"/>
        <w:rPr>
          <w:rFonts w:ascii="Times New Roman" w:eastAsia="Times New Roman" w:hAnsi="Times New Roman" w:cs="Times New Roman"/>
          <w:b/>
          <w:i w:val="0"/>
          <w:sz w:val="18"/>
        </w:rPr>
      </w:pPr>
      <w:bookmarkStart w:id="0" w:name="Section1"/>
      <w:bookmarkEnd w:id="0"/>
    </w:p>
    <w:p w:rsidR="00A77B3E">
      <w:pPr>
        <w:keepNext w:val="0"/>
        <w:keepLines w:val="0"/>
        <w:pageBreakBefore w:val="0"/>
        <w:widowControl/>
        <w:numPr>
          <w:ilvl w:val="0"/>
          <w:numId w:val="0"/>
        </w:numPr>
        <w:spacing w:before="0" w:after="0" w:line="288" w:lineRule="auto"/>
        <w:ind w:left="0" w:right="0" w:firstLine="0"/>
        <w:jc w:val="center"/>
        <w:outlineLvl w:val="9"/>
        <w:rPr>
          <w:rFonts w:ascii="Times New Roman" w:eastAsia="Times New Roman" w:hAnsi="Times New Roman" w:cs="Times New Roman"/>
          <w:b/>
          <w:i w:val="0"/>
          <w:sz w:val="18"/>
        </w:rPr>
      </w:pPr>
      <w:r>
        <w:rPr>
          <w:rFonts w:ascii="Times New Roman" w:eastAsia="Times New Roman" w:hAnsi="Times New Roman" w:cs="Times New Roman"/>
          <w:b/>
          <w:i w:val="0"/>
          <w:sz w:val="18"/>
        </w:rPr>
        <w:t xml:space="preserve"> </w:t>
      </w:r>
    </w:p>
    <w:p w:rsidR="00A77B3E">
      <w:pPr>
        <w:keepNext w:val="0"/>
        <w:keepLines w:val="0"/>
        <w:pageBreakBefore w:val="0"/>
        <w:widowControl/>
        <w:numPr>
          <w:ilvl w:val="0"/>
          <w:numId w:val="0"/>
        </w:numPr>
        <w:spacing w:before="0" w:after="0" w:line="288" w:lineRule="auto"/>
        <w:ind w:left="0" w:right="0" w:firstLine="0"/>
        <w:jc w:val="center"/>
        <w:outlineLvl w:val="0"/>
        <w:rPr>
          <w:rFonts w:ascii="Times New Roman" w:eastAsia="Times New Roman" w:hAnsi="Times New Roman" w:cs="Times New Roman"/>
          <w:b/>
          <w:i w:val="0"/>
          <w:sz w:val="18"/>
        </w:rPr>
      </w:pPr>
      <w:r>
        <w:rPr>
          <w:rFonts w:ascii="Times New Roman" w:eastAsia="Times New Roman" w:hAnsi="Times New Roman" w:cs="Times New Roman"/>
          <w:b/>
          <w:i w:val="0"/>
          <w:color w:val="000000"/>
          <w:sz w:val="18"/>
          <w:u w:val="none"/>
        </w:rPr>
        <w:t>UNITED STATES</w:t>
      </w:r>
    </w:p>
    <w:p w:rsidR="00A77B3E">
      <w:pPr>
        <w:keepNext w:val="0"/>
        <w:keepLines w:val="0"/>
        <w:pageBreakBefore w:val="0"/>
        <w:widowControl/>
        <w:numPr>
          <w:ilvl w:val="0"/>
          <w:numId w:val="0"/>
        </w:numPr>
        <w:spacing w:before="0" w:after="0" w:line="288" w:lineRule="auto"/>
        <w:ind w:left="0" w:right="0" w:firstLine="0"/>
        <w:jc w:val="center"/>
        <w:outlineLvl w:val="9"/>
        <w:rPr>
          <w:rFonts w:ascii="Times New Roman" w:eastAsia="Times New Roman" w:hAnsi="Times New Roman" w:cs="Times New Roman"/>
          <w:b/>
          <w:i w:val="0"/>
          <w:sz w:val="18"/>
        </w:rPr>
      </w:pPr>
      <w:r>
        <w:rPr>
          <w:rFonts w:ascii="Times New Roman" w:eastAsia="Times New Roman" w:hAnsi="Times New Roman" w:cs="Times New Roman"/>
          <w:b/>
          <w:i w:val="0"/>
          <w:color w:val="000000"/>
          <w:sz w:val="18"/>
          <w:u w:val="none"/>
        </w:rPr>
        <w:t>SECURITIES AND EXCHANGE COMMISSION</w:t>
      </w:r>
    </w:p>
    <w:p w:rsidR="00A77B3E">
      <w:pPr>
        <w:keepNext w:val="0"/>
        <w:keepLines w:val="0"/>
        <w:pageBreakBefore w:val="0"/>
        <w:widowControl/>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Washington, D.C. 20549</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195"/>
        <w:gridCol w:w="3195"/>
        <w:gridCol w:w="3195"/>
      </w:tblGrid>
      <w:tr>
        <w:tblPrEx>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105"/>
          <w:jc w:val="center"/>
        </w:trPr>
        <w:tc>
          <w:tcPr>
            <w:tcW w:w="3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3195" w:type="dxa"/>
            <w:tcBorders>
              <w:top w:val="nil"/>
              <w:left w:val="nil"/>
              <w:bottom w:val="single" w:sz="12" w:space="0" w:color="000000"/>
              <w:right w:val="nil"/>
            </w:tcBorders>
            <w:tcMar>
              <w:top w:w="0" w:type="dxa"/>
              <w:left w:w="0" w:type="dxa"/>
              <w:bottom w:w="0" w:type="dxa"/>
              <w:right w:w="0" w:type="dxa"/>
            </w:tcMar>
            <w:vAlign w:val="bottom"/>
          </w:tcPr>
          <w:p>
            <w:pPr>
              <w:pageBreakBefore w:val="0"/>
              <w:spacing w:before="0" w:after="0"/>
            </w:pPr>
          </w:p>
        </w:tc>
        <w:tc>
          <w:tcPr>
            <w:tcW w:w="3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bl>
    <w:p>
      <w:pPr>
        <w:keepNext w:val="0"/>
        <w:keepLines w:val="0"/>
        <w:pageBreakBefore w:val="0"/>
        <w:widowControl/>
        <w:numPr>
          <w:ilvl w:val="0"/>
          <w:numId w:val="0"/>
        </w:numPr>
        <w:spacing w:before="0" w:after="0" w:line="288" w:lineRule="auto"/>
        <w:ind w:left="0" w:right="0" w:firstLine="0"/>
        <w:jc w:val="center"/>
        <w:outlineLvl w:val="9"/>
        <w:rPr>
          <w:rFonts w:ascii="Times New Roman" w:eastAsia="Times New Roman" w:hAnsi="Times New Roman" w:cs="Times New Roman"/>
          <w:b/>
          <w:i w:val="0"/>
          <w:sz w:val="28"/>
        </w:rPr>
      </w:pPr>
      <w:r>
        <w:rPr>
          <w:rFonts w:ascii="Times New Roman" w:eastAsia="Times New Roman" w:hAnsi="Times New Roman" w:cs="Times New Roman"/>
          <w:b/>
          <w:i w:val="0"/>
          <w:color w:val="000000"/>
          <w:sz w:val="28"/>
          <w:u w:val="none"/>
        </w:rPr>
        <w:t xml:space="preserve">FORM </w:t>
      </w:r>
      <w:r>
        <w:rPr>
          <w:rFonts w:ascii="Times New Roman" w:eastAsia="Times New Roman" w:hAnsi="Times New Roman" w:cs="Times New Roman"/>
          <w:b/>
          <w:i w:val="0"/>
          <w:color w:val="000000"/>
          <w:sz w:val="28"/>
          <w:u w:val="none"/>
        </w:rPr>
        <w:t>10-Q</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195"/>
        <w:gridCol w:w="3195"/>
        <w:gridCol w:w="3195"/>
      </w:tblGrid>
      <w:tr>
        <w:tblPrEx>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105"/>
          <w:jc w:val="center"/>
        </w:trPr>
        <w:tc>
          <w:tcPr>
            <w:tcW w:w="3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3195" w:type="dxa"/>
            <w:tcBorders>
              <w:top w:val="single" w:sz="12" w:space="0" w:color="000000"/>
              <w:left w:val="nil"/>
              <w:bottom w:val="nil"/>
              <w:right w:val="nil"/>
            </w:tcBorders>
            <w:tcMar>
              <w:top w:w="0" w:type="dxa"/>
              <w:left w:w="0" w:type="dxa"/>
              <w:bottom w:w="0" w:type="dxa"/>
              <w:right w:w="0" w:type="dxa"/>
            </w:tcMar>
            <w:vAlign w:val="bottom"/>
          </w:tcPr>
          <w:p>
            <w:pPr>
              <w:pageBreakBefore w:val="0"/>
              <w:spacing w:before="0" w:after="0"/>
            </w:pPr>
          </w:p>
        </w:tc>
        <w:tc>
          <w:tcPr>
            <w:tcW w:w="3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bl>
    <w:p>
      <w:pPr>
        <w:keepNext w:val="0"/>
        <w:keepLines w:val="0"/>
        <w:pageBreakBefore w:val="0"/>
        <w:widowControl/>
        <w:numPr>
          <w:ilvl w:val="0"/>
          <w:numId w:val="0"/>
        </w:numPr>
        <w:spacing w:before="0" w:after="0" w:line="288" w:lineRule="auto"/>
        <w:ind w:left="0" w:right="0" w:firstLine="0"/>
        <w:jc w:val="center"/>
        <w:outlineLvl w:val="9"/>
        <w:rPr>
          <w:rFonts w:ascii="Times New Roman" w:eastAsia="Times New Roman" w:hAnsi="Times New Roman" w:cs="Times New Roman"/>
          <w:b/>
          <w:i w:val="0"/>
          <w:sz w:val="10"/>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60"/>
        <w:gridCol w:w="9900"/>
      </w:tblGrid>
      <w:tr>
        <w:tblPrEx>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60"/>
          <w:jc w:val="center"/>
        </w:trPr>
        <w:tc>
          <w:tcPr>
            <w:tcW w:w="360" w:type="dxa"/>
            <w:tcBorders>
              <w:top w:val="nil"/>
              <w:left w:val="nil"/>
              <w:bottom w:val="nil"/>
              <w:right w:val="nil"/>
            </w:tcBorders>
            <w:tcMar>
              <w:top w:w="0" w:type="dxa"/>
              <w:left w:w="53" w:type="dxa"/>
              <w:bottom w:w="0" w:type="dxa"/>
              <w:right w:w="53" w:type="dxa"/>
            </w:tcMar>
            <w:vAlign w:val="top"/>
          </w:tcPr>
          <w:p>
            <w:pPr>
              <w:pageBreakBefore w:val="0"/>
              <w:spacing w:before="75" w:after="30" w:line="240" w:lineRule="auto"/>
              <w:jc w:val="center"/>
            </w:pPr>
            <w:r>
              <w:rPr>
                <w:rFonts w:ascii="Arial Unicode MS" w:eastAsia="Arial Unicode MS" w:hAnsi="Arial Unicode MS" w:cs="Arial Unicode MS"/>
                <w:b w:val="0"/>
                <w:i w:val="0"/>
                <w:color w:val="000000"/>
                <w:sz w:val="20"/>
                <w:u w:val="none"/>
              </w:rPr>
              <w:t>☒</w:t>
            </w:r>
          </w:p>
        </w:tc>
        <w:tc>
          <w:tcPr>
            <w:tcW w:w="9900" w:type="dxa"/>
            <w:tcBorders>
              <w:top w:val="nil"/>
              <w:left w:val="nil"/>
              <w:bottom w:val="nil"/>
              <w:right w:val="nil"/>
            </w:tcBorders>
            <w:tcMar>
              <w:top w:w="0" w:type="dxa"/>
              <w:left w:w="53" w:type="dxa"/>
              <w:bottom w:w="0" w:type="dxa"/>
              <w:right w:w="53" w:type="dxa"/>
            </w:tcMar>
            <w:vAlign w:val="bottom"/>
          </w:tcPr>
          <w:p>
            <w:pPr>
              <w:pageBreakBefore w:val="0"/>
              <w:spacing w:before="75" w:after="30" w:line="240" w:lineRule="auto"/>
              <w:jc w:val="center"/>
            </w:pPr>
            <w:r>
              <w:rPr>
                <w:rFonts w:ascii="Times New Roman" w:eastAsia="Times New Roman" w:hAnsi="Times New Roman" w:cs="Times New Roman"/>
                <w:b w:val="0"/>
                <w:i w:val="0"/>
                <w:color w:val="000000"/>
                <w:sz w:val="20"/>
                <w:u w:val="none"/>
              </w:rPr>
              <w:t>QUARTERLY REPORT PURSUANT TO SECTION 13 OR 15(d) OF THE SECURITIES EXCHANGE ACT OF 1934</w:t>
            </w:r>
          </w:p>
        </w:tc>
      </w:tr>
    </w:tbl>
    <w:p>
      <w:pPr>
        <w:keepNext w:val="0"/>
        <w:keepLines w:val="0"/>
        <w:pageBreakBefore w:val="0"/>
        <w:widowControl/>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 xml:space="preserve">For the quarterly period ended </w:t>
      </w:r>
      <w:r>
        <w:rPr>
          <w:rFonts w:ascii="Times New Roman" w:eastAsia="Times New Roman" w:hAnsi="Times New Roman" w:cs="Times New Roman"/>
          <w:b/>
          <w:i w:val="0"/>
          <w:color w:val="000000"/>
          <w:sz w:val="20"/>
          <w:u w:val="none"/>
        </w:rPr>
        <w:t>March 31, 2025</w:t>
      </w:r>
    </w:p>
    <w:p>
      <w:pPr>
        <w:keepNext w:val="0"/>
        <w:keepLines w:val="0"/>
        <w:pageBreakBefore w:val="0"/>
        <w:widowControl/>
        <w:numPr>
          <w:ilvl w:val="0"/>
          <w:numId w:val="0"/>
        </w:numPr>
        <w:spacing w:before="60" w:after="0" w:line="288" w:lineRule="auto"/>
        <w:ind w:left="0" w:right="0" w:firstLine="0"/>
        <w:jc w:val="center"/>
        <w:outlineLvl w:val="9"/>
        <w:rPr>
          <w:rFonts w:ascii="Times New Roman" w:eastAsia="Times New Roman" w:hAnsi="Times New Roman" w:cs="Times New Roman"/>
          <w:b w:val="0"/>
          <w:i w:val="0"/>
          <w:sz w:val="12"/>
        </w:rPr>
      </w:pPr>
      <w:r>
        <w:rPr>
          <w:rFonts w:ascii="Times New Roman" w:eastAsia="Times New Roman" w:hAnsi="Times New Roman" w:cs="Times New Roman"/>
          <w:b w:val="0"/>
          <w:i w:val="0"/>
          <w:sz w:val="20"/>
        </w:rPr>
        <w:t>or</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60"/>
        <w:gridCol w:w="9900"/>
      </w:tblGrid>
      <w:tr>
        <w:tblPrEx>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60"/>
          <w:jc w:val="center"/>
        </w:trPr>
        <w:tc>
          <w:tcPr>
            <w:tcW w:w="360"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75" w:after="30" w:line="240" w:lineRule="auto"/>
              <w:ind w:left="0" w:right="45" w:firstLine="0"/>
              <w:jc w:val="center"/>
              <w:outlineLvl w:val="9"/>
              <w:rPr>
                <w:rFonts w:ascii="Arial Unicode MS" w:eastAsia="Arial Unicode MS" w:hAnsi="Arial Unicode MS" w:cs="Arial Unicode MS"/>
                <w:b w:val="0"/>
                <w:i w:val="0"/>
                <w:sz w:val="20"/>
              </w:rPr>
            </w:pPr>
            <w:r>
              <w:rPr>
                <w:rFonts w:ascii="Arial Unicode MS" w:eastAsia="Arial Unicode MS" w:hAnsi="Arial Unicode MS" w:cs="Arial Unicode MS"/>
                <w:b w:val="0"/>
                <w:i w:val="0"/>
                <w:sz w:val="20"/>
              </w:rPr>
              <w:t>☐</w:t>
            </w:r>
          </w:p>
        </w:tc>
        <w:tc>
          <w:tcPr>
            <w:tcW w:w="9900" w:type="dxa"/>
            <w:tcBorders>
              <w:top w:val="nil"/>
              <w:left w:val="nil"/>
              <w:bottom w:val="nil"/>
              <w:right w:val="nil"/>
            </w:tcBorders>
            <w:tcMar>
              <w:top w:w="0" w:type="dxa"/>
              <w:left w:w="53" w:type="dxa"/>
              <w:bottom w:w="0" w:type="dxa"/>
              <w:right w:w="53" w:type="dxa"/>
            </w:tcMar>
            <w:vAlign w:val="bottom"/>
          </w:tcPr>
          <w:p>
            <w:pPr>
              <w:pageBreakBefore w:val="0"/>
              <w:spacing w:before="75" w:after="30" w:line="240" w:lineRule="auto"/>
              <w:jc w:val="center"/>
            </w:pPr>
            <w:r>
              <w:rPr>
                <w:rFonts w:ascii="Times New Roman" w:eastAsia="Times New Roman" w:hAnsi="Times New Roman" w:cs="Times New Roman"/>
                <w:b w:val="0"/>
                <w:i w:val="0"/>
                <w:color w:val="000000"/>
                <w:sz w:val="20"/>
                <w:u w:val="none"/>
              </w:rPr>
              <w:t>TRANSITION REPORT PURSUANT TO SECTION 13 OR 15(d) OF THE SECURITIES EXCHANGE ACT OF 1934</w:t>
            </w:r>
          </w:p>
        </w:tc>
      </w:tr>
    </w:tbl>
    <w:p>
      <w:pPr>
        <w:keepNext w:val="0"/>
        <w:keepLines w:val="0"/>
        <w:pageBreakBefore w:val="0"/>
        <w:widowControl/>
        <w:numPr>
          <w:ilvl w:val="0"/>
          <w:numId w:val="0"/>
        </w:numPr>
        <w:spacing w:before="60" w:after="0" w:line="288"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For the transition period from _______to_______</w:t>
      </w:r>
    </w:p>
    <w:p>
      <w:pPr>
        <w:keepNext w:val="0"/>
        <w:keepLines w:val="0"/>
        <w:pageBreakBefore w:val="0"/>
        <w:widowControl/>
        <w:numPr>
          <w:ilvl w:val="0"/>
          <w:numId w:val="0"/>
        </w:numPr>
        <w:spacing w:before="120" w:after="120" w:line="288"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Commission File Number </w:t>
      </w:r>
      <w:r>
        <w:rPr>
          <w:rFonts w:ascii="Times New Roman" w:eastAsia="Times New Roman" w:hAnsi="Times New Roman" w:cs="Times New Roman"/>
          <w:b w:val="0"/>
          <w:i w:val="0"/>
          <w:color w:val="000000"/>
          <w:sz w:val="20"/>
          <w:u w:val="none"/>
        </w:rPr>
        <w:t>001-03492</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195"/>
        <w:gridCol w:w="3195"/>
        <w:gridCol w:w="3195"/>
      </w:tblGrid>
      <w:tr>
        <w:tblPrEx>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105"/>
          <w:jc w:val="center"/>
        </w:trPr>
        <w:tc>
          <w:tcPr>
            <w:tcW w:w="3195" w:type="dxa"/>
            <w:tcBorders>
              <w:top w:val="nil"/>
              <w:left w:val="nil"/>
              <w:bottom w:val="nil"/>
              <w:right w:val="nil"/>
            </w:tcBorders>
            <w:tcMar>
              <w:top w:w="0" w:type="dxa"/>
              <w:left w:w="53" w:type="dxa"/>
              <w:bottom w:w="0" w:type="dxa"/>
              <w:right w:w="53" w:type="dxa"/>
            </w:tcMar>
            <w:vAlign w:val="bottom"/>
          </w:tcPr>
          <w:p>
            <w:pPr>
              <w:pageBreakBefore w:val="0"/>
              <w:spacing w:before="75" w:after="30" w:line="240" w:lineRule="auto"/>
              <w:jc w:val="left"/>
            </w:pPr>
          </w:p>
        </w:tc>
        <w:tc>
          <w:tcPr>
            <w:tcW w:w="3195" w:type="dxa"/>
            <w:tcBorders>
              <w:top w:val="nil"/>
              <w:left w:val="nil"/>
              <w:bottom w:val="single" w:sz="12" w:space="0" w:color="000000"/>
              <w:right w:val="nil"/>
            </w:tcBorders>
            <w:tcMar>
              <w:top w:w="0" w:type="dxa"/>
              <w:left w:w="0" w:type="dxa"/>
              <w:bottom w:w="0" w:type="dxa"/>
              <w:right w:w="0" w:type="dxa"/>
            </w:tcMar>
            <w:vAlign w:val="bottom"/>
          </w:tcPr>
          <w:p>
            <w:pPr>
              <w:pageBreakBefore w:val="0"/>
              <w:spacing w:before="0" w:after="0"/>
            </w:pPr>
          </w:p>
        </w:tc>
        <w:tc>
          <w:tcPr>
            <w:tcW w:w="3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bl>
    <w:p>
      <w:pPr>
        <w:keepNext w:val="0"/>
        <w:keepLines w:val="0"/>
        <w:pageBreakBefore w:val="0"/>
        <w:widowControl/>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i w:val="0"/>
          <w:color w:val="000000"/>
          <w:sz w:val="36"/>
          <w:u w:val="none"/>
        </w:rPr>
        <w:t>HALLIBURTON COMPANY</w:t>
      </w:r>
    </w:p>
    <w:p>
      <w:pPr>
        <w:keepNext w:val="0"/>
        <w:keepLines w:val="0"/>
        <w:pageBreakBefore w:val="0"/>
        <w:widowControl/>
        <w:numPr>
          <w:ilvl w:val="0"/>
          <w:numId w:val="0"/>
        </w:numPr>
        <w:spacing w:before="0" w:after="0" w:line="288" w:lineRule="auto"/>
        <w:ind w:left="0" w:right="0" w:firstLine="0"/>
        <w:jc w:val="center"/>
        <w:outlineLvl w:val="9"/>
        <w:rPr>
          <w:rFonts w:ascii="Times New Roman" w:eastAsia="Times New Roman" w:hAnsi="Times New Roman" w:cs="Times New Roman"/>
          <w:b/>
          <w:i w:val="0"/>
          <w:sz w:val="18"/>
        </w:rPr>
      </w:pPr>
      <w:r>
        <w:rPr>
          <w:rFonts w:ascii="Times New Roman" w:eastAsia="Times New Roman" w:hAnsi="Times New Roman" w:cs="Times New Roman"/>
          <w:b/>
          <w:i w:val="0"/>
          <w:sz w:val="18"/>
        </w:rPr>
        <w:t>(Exact name of registrant as specified in its charter)</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195"/>
        <w:gridCol w:w="3195"/>
        <w:gridCol w:w="3195"/>
      </w:tblGrid>
      <w:tr>
        <w:tblPrEx>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105"/>
          <w:jc w:val="center"/>
        </w:trPr>
        <w:tc>
          <w:tcPr>
            <w:tcW w:w="3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3195" w:type="dxa"/>
            <w:tcBorders>
              <w:top w:val="single" w:sz="12" w:space="0" w:color="000000"/>
              <w:left w:val="nil"/>
              <w:bottom w:val="nil"/>
              <w:right w:val="nil"/>
            </w:tcBorders>
            <w:tcMar>
              <w:top w:w="0" w:type="dxa"/>
              <w:left w:w="0" w:type="dxa"/>
              <w:bottom w:w="0" w:type="dxa"/>
              <w:right w:w="0" w:type="dxa"/>
            </w:tcMar>
            <w:vAlign w:val="bottom"/>
          </w:tcPr>
          <w:p>
            <w:pPr>
              <w:pageBreakBefore w:val="0"/>
              <w:spacing w:before="0" w:after="0"/>
            </w:pPr>
          </w:p>
        </w:tc>
        <w:tc>
          <w:tcPr>
            <w:tcW w:w="3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bl>
    <w:p>
      <w:pPr>
        <w:keepNext w:val="0"/>
        <w:keepLines w:val="0"/>
        <w:pageBreakBefore w:val="0"/>
        <w:widowControl/>
        <w:numPr>
          <w:ilvl w:val="0"/>
          <w:numId w:val="0"/>
        </w:numPr>
        <w:spacing w:before="0" w:after="0" w:line="288" w:lineRule="auto"/>
        <w:ind w:left="0" w:right="0" w:firstLine="0"/>
        <w:jc w:val="center"/>
        <w:outlineLvl w:val="9"/>
        <w:rPr>
          <w:rFonts w:ascii="Times New Roman" w:eastAsia="Times New Roman" w:hAnsi="Times New Roman" w:cs="Times New Roman"/>
          <w:b/>
          <w:i w:val="0"/>
          <w:sz w:val="10"/>
        </w:rPr>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905"/>
        <w:gridCol w:w="3015"/>
      </w:tblGrid>
      <w:tr>
        <w:tblPrEx>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00"/>
          <w:jc w:val="center"/>
        </w:trPr>
        <w:tc>
          <w:tcPr>
            <w:tcW w:w="4905"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20"/>
                <w:u w:val="none"/>
              </w:rPr>
              <w:t>Delaware</w:t>
            </w:r>
          </w:p>
        </w:tc>
        <w:tc>
          <w:tcPr>
            <w:tcW w:w="3015"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20"/>
                <w:u w:val="none"/>
              </w:rPr>
              <w:t>75-2677995</w:t>
            </w:r>
          </w:p>
        </w:tc>
      </w:tr>
      <w:tr>
        <w:tblPrEx>
          <w:tblW w:w="7920" w:type="dxa"/>
          <w:jc w:val="center"/>
          <w:tblLayout w:type="fixed"/>
          <w:tblCellMar>
            <w:left w:w="108" w:type="dxa"/>
            <w:right w:w="108" w:type="dxa"/>
          </w:tblCellMar>
        </w:tblPrEx>
        <w:trPr>
          <w:cantSplit/>
          <w:trHeight w:hRule="exact" w:val="255"/>
          <w:jc w:val="center"/>
        </w:trPr>
        <w:tc>
          <w:tcPr>
            <w:tcW w:w="4905" w:type="dxa"/>
            <w:tcBorders>
              <w:top w:val="nil"/>
              <w:left w:val="nil"/>
              <w:bottom w:val="nil"/>
              <w:right w:val="nil"/>
            </w:tcBorders>
            <w:tcMar>
              <w:top w:w="0" w:type="dxa"/>
              <w:left w:w="53" w:type="dxa"/>
              <w:bottom w:w="0" w:type="dxa"/>
              <w:right w:w="53" w:type="dxa"/>
            </w:tcMar>
            <w:vAlign w:val="top"/>
          </w:tcPr>
          <w:p>
            <w:pPr>
              <w:pageBreakBefore w:val="0"/>
              <w:spacing w:before="75" w:after="30" w:line="240" w:lineRule="auto"/>
              <w:jc w:val="center"/>
            </w:pPr>
            <w:r>
              <w:rPr>
                <w:rFonts w:ascii="Times New Roman" w:eastAsia="Times New Roman" w:hAnsi="Times New Roman" w:cs="Times New Roman"/>
                <w:b w:val="0"/>
                <w:i w:val="0"/>
                <w:color w:val="000000"/>
                <w:sz w:val="16"/>
                <w:u w:val="none"/>
              </w:rPr>
              <w:t>(State or other jurisdiction of incorporation or organization)</w:t>
            </w:r>
          </w:p>
        </w:tc>
        <w:tc>
          <w:tcPr>
            <w:tcW w:w="3015" w:type="dxa"/>
            <w:tcBorders>
              <w:top w:val="nil"/>
              <w:left w:val="nil"/>
              <w:bottom w:val="nil"/>
              <w:right w:val="nil"/>
            </w:tcBorders>
            <w:tcMar>
              <w:top w:w="0" w:type="dxa"/>
              <w:left w:w="53" w:type="dxa"/>
              <w:bottom w:w="0" w:type="dxa"/>
              <w:right w:w="53" w:type="dxa"/>
            </w:tcMar>
            <w:vAlign w:val="top"/>
          </w:tcPr>
          <w:p>
            <w:pPr>
              <w:pageBreakBefore w:val="0"/>
              <w:spacing w:before="75" w:after="30" w:line="240" w:lineRule="auto"/>
              <w:jc w:val="center"/>
            </w:pPr>
            <w:r>
              <w:rPr>
                <w:rFonts w:ascii="Times New Roman" w:eastAsia="Times New Roman" w:hAnsi="Times New Roman" w:cs="Times New Roman"/>
                <w:b w:val="0"/>
                <w:i w:val="0"/>
                <w:color w:val="000000"/>
                <w:sz w:val="16"/>
                <w:u w:val="none"/>
              </w:rPr>
              <w:t>(I.R.S. Employer Identification No.)</w:t>
            </w:r>
          </w:p>
        </w:tc>
      </w:tr>
    </w:tbl>
    <w:p>
      <w:pPr>
        <w:keepNext w:val="0"/>
        <w:keepLines w:val="0"/>
        <w:pageBreakBefore w:val="0"/>
        <w:widowControl w:val="0"/>
        <w:numPr>
          <w:ilvl w:val="0"/>
          <w:numId w:val="0"/>
        </w:numPr>
        <w:spacing w:before="120" w:after="0" w:line="288" w:lineRule="auto"/>
        <w:ind w:left="0" w:right="0" w:firstLine="0"/>
        <w:jc w:val="center"/>
        <w:outlineLvl w:val="9"/>
        <w:rPr>
          <w:rFonts w:ascii="Times New Roman" w:eastAsia="Times New Roman" w:hAnsi="Times New Roman" w:cs="Times New Roman"/>
          <w:b w:val="0"/>
          <w:i w:val="0"/>
          <w:sz w:val="10"/>
        </w:rPr>
      </w:pPr>
    </w:p>
    <w:tbl>
      <w:tblPr>
        <w:tblW w:w="5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600"/>
        <w:gridCol w:w="840"/>
        <w:gridCol w:w="585"/>
        <w:gridCol w:w="825"/>
      </w:tblGrid>
      <w:tr>
        <w:tblPrEx>
          <w:tblW w:w="5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00"/>
          <w:jc w:val="center"/>
        </w:trPr>
        <w:tc>
          <w:tcPr>
            <w:tcW w:w="3600"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20"/>
                <w:u w:val="none"/>
              </w:rPr>
              <w:t>3000 North Sam Houston Parkway East,</w:t>
            </w:r>
          </w:p>
        </w:tc>
        <w:tc>
          <w:tcPr>
            <w:tcW w:w="840"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Houston,</w:t>
            </w:r>
          </w:p>
        </w:tc>
        <w:tc>
          <w:tcPr>
            <w:tcW w:w="585"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Texas</w:t>
            </w:r>
          </w:p>
        </w:tc>
        <w:tc>
          <w:tcPr>
            <w:tcW w:w="825"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20"/>
                <w:u w:val="none"/>
              </w:rPr>
              <w:t>77032</w:t>
            </w:r>
          </w:p>
        </w:tc>
      </w:tr>
      <w:tr>
        <w:tblPrEx>
          <w:tblW w:w="5850" w:type="dxa"/>
          <w:jc w:val="center"/>
          <w:tblLayout w:type="fixed"/>
          <w:tblCellMar>
            <w:left w:w="108" w:type="dxa"/>
            <w:right w:w="108" w:type="dxa"/>
          </w:tblCellMar>
        </w:tblPrEx>
        <w:trPr>
          <w:cantSplit/>
          <w:trHeight w:hRule="exact" w:val="255"/>
          <w:jc w:val="center"/>
        </w:trPr>
        <w:tc>
          <w:tcPr>
            <w:tcW w:w="5025" w:type="dxa"/>
            <w:gridSpan w:val="3"/>
            <w:tcBorders>
              <w:top w:val="nil"/>
              <w:left w:val="nil"/>
              <w:bottom w:val="nil"/>
              <w:right w:val="nil"/>
            </w:tcBorders>
            <w:tcMar>
              <w:top w:w="0" w:type="dxa"/>
              <w:left w:w="53" w:type="dxa"/>
              <w:bottom w:w="0" w:type="dxa"/>
              <w:right w:w="53" w:type="dxa"/>
            </w:tcMar>
            <w:vAlign w:val="top"/>
          </w:tcPr>
          <w:p>
            <w:pPr>
              <w:pageBreakBefore w:val="0"/>
              <w:spacing w:before="75" w:after="30" w:line="240" w:lineRule="auto"/>
              <w:jc w:val="center"/>
            </w:pPr>
            <w:r>
              <w:rPr>
                <w:rFonts w:ascii="Times New Roman" w:eastAsia="Times New Roman" w:hAnsi="Times New Roman" w:cs="Times New Roman"/>
                <w:b w:val="0"/>
                <w:i w:val="0"/>
                <w:color w:val="000000"/>
                <w:sz w:val="16"/>
                <w:u w:val="none"/>
              </w:rPr>
              <w:t>(Address of principal executive offices)</w:t>
            </w:r>
          </w:p>
        </w:tc>
        <w:tc>
          <w:tcPr>
            <w:tcW w:w="825" w:type="dxa"/>
            <w:tcBorders>
              <w:top w:val="nil"/>
              <w:left w:val="nil"/>
              <w:bottom w:val="nil"/>
              <w:right w:val="nil"/>
            </w:tcBorders>
            <w:tcMar>
              <w:top w:w="0" w:type="dxa"/>
              <w:left w:w="53" w:type="dxa"/>
              <w:bottom w:w="0" w:type="dxa"/>
              <w:right w:w="53" w:type="dxa"/>
            </w:tcMar>
            <w:vAlign w:val="top"/>
          </w:tcPr>
          <w:p>
            <w:pPr>
              <w:pageBreakBefore w:val="0"/>
              <w:spacing w:before="75" w:after="30" w:line="240" w:lineRule="auto"/>
              <w:jc w:val="center"/>
            </w:pPr>
            <w:r>
              <w:rPr>
                <w:rFonts w:ascii="Times New Roman" w:eastAsia="Times New Roman" w:hAnsi="Times New Roman" w:cs="Times New Roman"/>
                <w:b w:val="0"/>
                <w:i w:val="0"/>
                <w:color w:val="000000"/>
                <w:sz w:val="16"/>
                <w:u w:val="none"/>
              </w:rPr>
              <w:t>(Zip Code)</w:t>
            </w:r>
          </w:p>
        </w:tc>
      </w:tr>
    </w:tbl>
    <w:p>
      <w:pPr>
        <w:keepNext w:val="0"/>
        <w:keepLines w:val="0"/>
        <w:pageBreakBefore w:val="0"/>
        <w:widowControl/>
        <w:numPr>
          <w:ilvl w:val="0"/>
          <w:numId w:val="0"/>
        </w:numPr>
        <w:spacing w:before="160" w:after="0" w:line="288"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t>
      </w:r>
      <w:r>
        <w:rPr>
          <w:rFonts w:ascii="Times New Roman" w:eastAsia="Times New Roman" w:hAnsi="Times New Roman" w:cs="Times New Roman"/>
          <w:b w:val="0"/>
          <w:i w:val="0"/>
          <w:color w:val="000000"/>
          <w:sz w:val="20"/>
          <w:u w:val="none"/>
        </w:rPr>
        <w:t>281</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color w:val="000000"/>
          <w:sz w:val="20"/>
          <w:u w:val="none"/>
        </w:rPr>
        <w:t>871-2699</w:t>
      </w:r>
    </w:p>
    <w:p>
      <w:pPr>
        <w:keepNext w:val="0"/>
        <w:keepLines w:val="0"/>
        <w:pageBreakBefore w:val="0"/>
        <w:widowControl/>
        <w:numPr>
          <w:ilvl w:val="0"/>
          <w:numId w:val="0"/>
        </w:numPr>
        <w:spacing w:before="0" w:after="240" w:line="288" w:lineRule="auto"/>
        <w:ind w:left="0" w:right="0" w:firstLine="0"/>
        <w:jc w:val="center"/>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(Registrant's telephone number, including area code)</w:t>
      </w:r>
    </w:p>
    <w:p>
      <w:pPr>
        <w:keepNext w:val="0"/>
        <w:keepLines w:val="0"/>
        <w:pageBreakBefore w:val="0"/>
        <w:widowControl/>
        <w:numPr>
          <w:ilvl w:val="0"/>
          <w:numId w:val="0"/>
        </w:numPr>
        <w:spacing w:before="0" w:after="60" w:line="288" w:lineRule="auto"/>
        <w:ind w:left="0" w:right="0" w:firstLine="0"/>
        <w:jc w:val="left"/>
        <w:outlineLvl w:val="9"/>
        <w:rPr>
          <w:rFonts w:ascii="Times New Roman" w:eastAsia="Times New Roman" w:hAnsi="Times New Roman" w:cs="Times New Roman"/>
          <w:b w:val="0"/>
          <w:i w:val="0"/>
          <w:sz w:val="19"/>
        </w:rPr>
      </w:pPr>
      <w:r>
        <w:rPr>
          <w:rFonts w:ascii="Times New Roman" w:eastAsia="Times New Roman" w:hAnsi="Times New Roman" w:cs="Times New Roman"/>
          <w:b w:val="0"/>
          <w:i w:val="0"/>
          <w:sz w:val="19"/>
        </w:rPr>
        <w:t>Securities registered pursuant to Section 12(b) of the Act:</w:t>
      </w:r>
    </w:p>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3420"/>
        <w:gridCol w:w="342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00"/>
          <w:jc w:val="left"/>
        </w:trPr>
        <w:tc>
          <w:tcPr>
            <w:tcW w:w="3420"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i w:val="0"/>
                <w:color w:val="000000"/>
                <w:sz w:val="16"/>
                <w:u w:val="single"/>
              </w:rPr>
              <w:t>Title of each class</w:t>
            </w:r>
          </w:p>
        </w:tc>
        <w:tc>
          <w:tcPr>
            <w:tcW w:w="3420"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i w:val="0"/>
                <w:color w:val="000000"/>
                <w:sz w:val="16"/>
                <w:u w:val="single"/>
              </w:rPr>
              <w:t>Trading Symbol</w:t>
            </w:r>
          </w:p>
        </w:tc>
        <w:tc>
          <w:tcPr>
            <w:tcW w:w="3420"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i w:val="0"/>
                <w:color w:val="000000"/>
                <w:sz w:val="16"/>
                <w:u w:val="single"/>
              </w:rPr>
              <w:t>Name of each exchange on which registered</w:t>
            </w:r>
          </w:p>
        </w:tc>
      </w:tr>
      <w:tr>
        <w:tblPrEx>
          <w:tblW w:w="10260" w:type="dxa"/>
          <w:jc w:val="left"/>
          <w:tblInd w:w="0" w:type="dxa"/>
          <w:tblLayout w:type="fixed"/>
          <w:tblCellMar>
            <w:left w:w="108" w:type="dxa"/>
            <w:right w:w="108" w:type="dxa"/>
          </w:tblCellMar>
        </w:tblPrEx>
        <w:trPr>
          <w:cantSplit/>
          <w:trHeight w:hRule="exact" w:val="28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spacing w:before="75" w:after="30" w:line="240" w:lineRule="auto"/>
              <w:jc w:val="center"/>
            </w:pPr>
            <w:r>
              <w:rPr>
                <w:rFonts w:ascii="Times New Roman" w:eastAsia="Times New Roman" w:hAnsi="Times New Roman" w:cs="Times New Roman"/>
                <w:b w:val="0"/>
                <w:i w:val="0"/>
                <w:color w:val="000000"/>
                <w:sz w:val="16"/>
                <w:u w:val="none"/>
              </w:rPr>
              <w:t>Common Stock, par value $2.50 per share</w:t>
            </w:r>
          </w:p>
        </w:tc>
        <w:tc>
          <w:tcPr>
            <w:tcW w:w="3420" w:type="dxa"/>
            <w:tcBorders>
              <w:top w:val="nil"/>
              <w:left w:val="nil"/>
              <w:bottom w:val="nil"/>
              <w:right w:val="nil"/>
            </w:tcBorders>
            <w:tcMar>
              <w:top w:w="0" w:type="dxa"/>
              <w:left w:w="53" w:type="dxa"/>
              <w:bottom w:w="0" w:type="dxa"/>
              <w:right w:w="53" w:type="dxa"/>
            </w:tcMar>
            <w:vAlign w:val="bottom"/>
          </w:tcPr>
          <w:p>
            <w:pPr>
              <w:pageBreakBefore w:val="0"/>
              <w:spacing w:before="75" w:after="30" w:line="240" w:lineRule="auto"/>
              <w:jc w:val="center"/>
            </w:pPr>
            <w:r>
              <w:rPr>
                <w:rFonts w:ascii="Times New Roman" w:eastAsia="Times New Roman" w:hAnsi="Times New Roman" w:cs="Times New Roman"/>
                <w:b w:val="0"/>
                <w:i w:val="0"/>
                <w:color w:val="000000"/>
                <w:sz w:val="16"/>
                <w:u w:val="none"/>
              </w:rPr>
              <w:t>HAL</w:t>
            </w:r>
          </w:p>
        </w:tc>
        <w:tc>
          <w:tcPr>
            <w:tcW w:w="3420" w:type="dxa"/>
            <w:tcBorders>
              <w:top w:val="nil"/>
              <w:left w:val="nil"/>
              <w:bottom w:val="nil"/>
              <w:right w:val="nil"/>
            </w:tcBorders>
            <w:tcMar>
              <w:top w:w="0" w:type="dxa"/>
              <w:left w:w="53" w:type="dxa"/>
              <w:bottom w:w="0" w:type="dxa"/>
              <w:right w:w="53" w:type="dxa"/>
            </w:tcMar>
            <w:vAlign w:val="bottom"/>
          </w:tcPr>
          <w:p>
            <w:pPr>
              <w:pageBreakBefore w:val="0"/>
              <w:spacing w:before="75" w:after="30" w:line="240" w:lineRule="auto"/>
              <w:jc w:val="center"/>
            </w:pPr>
            <w:r>
              <w:rPr>
                <w:rFonts w:ascii="Times New Roman" w:eastAsia="Times New Roman" w:hAnsi="Times New Roman" w:cs="Times New Roman"/>
                <w:b w:val="0"/>
                <w:i w:val="0"/>
                <w:color w:val="000000"/>
                <w:sz w:val="16"/>
                <w:u w:val="none"/>
              </w:rPr>
              <w:t>New York Stock Exchange</w:t>
            </w:r>
          </w:p>
        </w:tc>
      </w:tr>
    </w:tbl>
    <w:p>
      <w:pPr>
        <w:keepNext w:val="0"/>
        <w:keepLines w:val="0"/>
        <w:pageBreakBefore w:val="0"/>
        <w:widowControl/>
        <w:numPr>
          <w:ilvl w:val="0"/>
          <w:numId w:val="0"/>
        </w:numPr>
        <w:spacing w:before="0" w:after="60" w:line="288" w:lineRule="auto"/>
        <w:ind w:left="0" w:right="0" w:firstLine="0"/>
        <w:jc w:val="left"/>
        <w:outlineLvl w:val="9"/>
        <w:rPr>
          <w:rFonts w:ascii="Times New Roman" w:eastAsia="Times New Roman" w:hAnsi="Times New Roman" w:cs="Times New Roman"/>
          <w:b w:val="0"/>
          <w:i w:val="0"/>
          <w:sz w:val="13"/>
        </w:rPr>
      </w:pP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19"/>
        </w:rPr>
      </w:pPr>
      <w:r>
        <w:rPr>
          <w:rFonts w:ascii="Times New Roman" w:eastAsia="Times New Roman" w:hAnsi="Times New Roman" w:cs="Times New Roman"/>
          <w:b w:val="0"/>
          <w:i w:val="0"/>
          <w:sz w:val="19"/>
        </w:rPr>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w:t>
      </w:r>
      <w:r>
        <w:rPr>
          <w:rFonts w:ascii="Times New Roman" w:eastAsia="Times New Roman" w:hAnsi="Times New Roman" w:cs="Times New Roman"/>
          <w:b w:val="0"/>
          <w:i w:val="0"/>
          <w:sz w:val="19"/>
        </w:rPr>
        <w:tab/>
      </w:r>
      <w:r>
        <w:rPr>
          <w:rFonts w:ascii="Times New Roman" w:eastAsia="Times New Roman" w:hAnsi="Times New Roman" w:cs="Times New Roman"/>
          <w:b w:val="0"/>
          <w:i w:val="0"/>
          <w:sz w:val="19"/>
        </w:rPr>
        <w:tab/>
      </w:r>
      <w:r>
        <w:rPr>
          <w:rFonts w:ascii="Times New Roman" w:eastAsia="Times New Roman" w:hAnsi="Times New Roman" w:cs="Times New Roman"/>
          <w:b w:val="0"/>
          <w:i w:val="0"/>
          <w:sz w:val="19"/>
        </w:rPr>
        <w:tab/>
      </w:r>
      <w:r>
        <w:rPr>
          <w:rFonts w:ascii="Times New Roman" w:eastAsia="Times New Roman" w:hAnsi="Times New Roman" w:cs="Times New Roman"/>
          <w:b w:val="0"/>
          <w:i w:val="0"/>
          <w:sz w:val="19"/>
        </w:rPr>
        <w:tab/>
      </w:r>
      <w:r>
        <w:rPr>
          <w:rFonts w:ascii="Times New Roman" w:eastAsia="Times New Roman" w:hAnsi="Times New Roman" w:cs="Times New Roman"/>
          <w:b w:val="0"/>
          <w:i w:val="0"/>
          <w:sz w:val="19"/>
        </w:rPr>
        <w:tab/>
      </w:r>
      <w:r>
        <w:rPr>
          <w:rFonts w:ascii="Times New Roman" w:eastAsia="Times New Roman" w:hAnsi="Times New Roman" w:cs="Times New Roman"/>
          <w:b w:val="0"/>
          <w:i w:val="0"/>
          <w:sz w:val="20"/>
        </w:rPr>
        <w:t>☒</w:t>
      </w:r>
      <w:r>
        <w:rPr>
          <w:rFonts w:ascii="Times New Roman" w:eastAsia="Times New Roman" w:hAnsi="Times New Roman" w:cs="Times New Roman"/>
          <w:b w:val="0"/>
          <w:i w:val="0"/>
          <w:sz w:val="19"/>
        </w:rPr>
        <w:t xml:space="preserve"> </w:t>
      </w:r>
      <w:r>
        <w:rPr>
          <w:rFonts w:ascii="Times New Roman" w:eastAsia="Times New Roman" w:hAnsi="Times New Roman" w:cs="Times New Roman"/>
          <w:b w:val="0"/>
          <w:i w:val="0"/>
          <w:color w:val="000000"/>
          <w:sz w:val="19"/>
          <w:u w:val="none"/>
        </w:rPr>
        <w:t>Yes</w:t>
      </w:r>
      <w:r>
        <w:rPr>
          <w:rFonts w:ascii="Times New Roman" w:eastAsia="Times New Roman" w:hAnsi="Times New Roman" w:cs="Times New Roman"/>
          <w:b w:val="0"/>
          <w:i w:val="0"/>
          <w:sz w:val="19"/>
        </w:rPr>
        <w:t xml:space="preserve">   </w:t>
      </w:r>
      <w:r>
        <w:rPr>
          <w:rFonts w:ascii="Times New Roman" w:eastAsia="Times New Roman" w:hAnsi="Times New Roman" w:cs="Times New Roman"/>
          <w:b w:val="0"/>
          <w:i w:val="0"/>
          <w:sz w:val="20"/>
        </w:rPr>
        <w:t>☐</w:t>
      </w:r>
      <w:r>
        <w:rPr>
          <w:rFonts w:ascii="Times New Roman" w:eastAsia="Times New Roman" w:hAnsi="Times New Roman" w:cs="Times New Roman"/>
          <w:b w:val="0"/>
          <w:i w:val="0"/>
          <w:sz w:val="19"/>
        </w:rPr>
        <w:t xml:space="preserve"> No</w:t>
      </w: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13"/>
        </w:rPr>
      </w:pP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19"/>
        </w:rPr>
      </w:pPr>
      <w:r>
        <w:rPr>
          <w:rFonts w:ascii="Times New Roman" w:eastAsia="Times New Roman" w:hAnsi="Times New Roman" w:cs="Times New Roman"/>
          <w:b w:val="0"/>
          <w:i w:val="0"/>
          <w:sz w:val="19"/>
        </w:rPr>
        <w:t>Indicate by check mark whether the registrant has submitted electronically every Interactive Data File required to be submitted pursuant to Rule 405 of Regulation S-T (§232.405 of this chapter) during the preceding 12 months (or for such shorter period that the registrant was required to submit such files).</w:t>
      </w:r>
      <w:r>
        <w:rPr>
          <w:rFonts w:ascii="Times New Roman" w:eastAsia="Times New Roman" w:hAnsi="Times New Roman" w:cs="Times New Roman"/>
          <w:b w:val="0"/>
          <w:i w:val="0"/>
          <w:sz w:val="19"/>
        </w:rPr>
        <w:tab/>
      </w:r>
      <w:r>
        <w:rPr>
          <w:rFonts w:ascii="Times New Roman" w:eastAsia="Times New Roman" w:hAnsi="Times New Roman" w:cs="Times New Roman"/>
          <w:b w:val="0"/>
          <w:i w:val="0"/>
          <w:sz w:val="19"/>
        </w:rPr>
        <w:tab/>
      </w:r>
      <w:r>
        <w:rPr>
          <w:rFonts w:ascii="Times New Roman" w:eastAsia="Times New Roman" w:hAnsi="Times New Roman" w:cs="Times New Roman"/>
          <w:b w:val="0"/>
          <w:i w:val="0"/>
          <w:sz w:val="19"/>
        </w:rPr>
        <w:tab/>
      </w:r>
      <w:r>
        <w:rPr>
          <w:rFonts w:ascii="Times New Roman" w:eastAsia="Times New Roman" w:hAnsi="Times New Roman" w:cs="Times New Roman"/>
          <w:b w:val="0"/>
          <w:i w:val="0"/>
          <w:sz w:val="19"/>
        </w:rPr>
        <w:tab/>
      </w:r>
      <w:r>
        <w:rPr>
          <w:rFonts w:ascii="Times New Roman" w:eastAsia="Times New Roman" w:hAnsi="Times New Roman" w:cs="Times New Roman"/>
          <w:b w:val="0"/>
          <w:i w:val="0"/>
          <w:sz w:val="19"/>
        </w:rPr>
        <w:tab/>
      </w:r>
      <w:r>
        <w:rPr>
          <w:rFonts w:ascii="Times New Roman" w:eastAsia="Times New Roman" w:hAnsi="Times New Roman" w:cs="Times New Roman"/>
          <w:b w:val="0"/>
          <w:i w:val="0"/>
          <w:sz w:val="19"/>
        </w:rPr>
        <w:tab/>
      </w:r>
      <w:r>
        <w:rPr>
          <w:rFonts w:ascii="Times New Roman" w:eastAsia="Times New Roman" w:hAnsi="Times New Roman" w:cs="Times New Roman"/>
          <w:b w:val="0"/>
          <w:i w:val="0"/>
          <w:sz w:val="19"/>
        </w:rPr>
        <w:tab/>
      </w:r>
      <w:r>
        <w:rPr>
          <w:rFonts w:ascii="Times New Roman" w:eastAsia="Times New Roman" w:hAnsi="Times New Roman" w:cs="Times New Roman"/>
          <w:b w:val="0"/>
          <w:i w:val="0"/>
          <w:sz w:val="19"/>
        </w:rPr>
        <w:tab/>
      </w:r>
      <w:r>
        <w:rPr>
          <w:rFonts w:ascii="Times New Roman" w:eastAsia="Times New Roman" w:hAnsi="Times New Roman" w:cs="Times New Roman"/>
          <w:b w:val="0"/>
          <w:i w:val="0"/>
          <w:sz w:val="20"/>
        </w:rPr>
        <w:t>☒</w:t>
      </w:r>
      <w:r>
        <w:rPr>
          <w:rFonts w:ascii="Times New Roman" w:eastAsia="Times New Roman" w:hAnsi="Times New Roman" w:cs="Times New Roman"/>
          <w:b w:val="0"/>
          <w:i w:val="0"/>
          <w:sz w:val="19"/>
        </w:rPr>
        <w:t xml:space="preserve"> </w:t>
      </w:r>
      <w:r>
        <w:rPr>
          <w:rFonts w:ascii="Times New Roman" w:eastAsia="Times New Roman" w:hAnsi="Times New Roman" w:cs="Times New Roman"/>
          <w:b w:val="0"/>
          <w:i w:val="0"/>
          <w:color w:val="000000"/>
          <w:sz w:val="19"/>
          <w:u w:val="none"/>
        </w:rPr>
        <w:t>Yes</w:t>
      </w:r>
      <w:r>
        <w:rPr>
          <w:rFonts w:ascii="Times New Roman" w:eastAsia="Times New Roman" w:hAnsi="Times New Roman" w:cs="Times New Roman"/>
          <w:b w:val="0"/>
          <w:i w:val="0"/>
          <w:sz w:val="19"/>
        </w:rPr>
        <w:t xml:space="preserve">   </w:t>
      </w:r>
      <w:r>
        <w:rPr>
          <w:rFonts w:ascii="Times New Roman" w:eastAsia="Times New Roman" w:hAnsi="Times New Roman" w:cs="Times New Roman"/>
          <w:b w:val="0"/>
          <w:i w:val="0"/>
          <w:sz w:val="20"/>
        </w:rPr>
        <w:t>☐</w:t>
      </w:r>
      <w:r>
        <w:rPr>
          <w:rFonts w:ascii="Times New Roman" w:eastAsia="Times New Roman" w:hAnsi="Times New Roman" w:cs="Times New Roman"/>
          <w:b w:val="0"/>
          <w:i w:val="0"/>
          <w:sz w:val="19"/>
        </w:rPr>
        <w:t xml:space="preserve"> No</w:t>
      </w: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13"/>
        </w:rPr>
      </w:pP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19"/>
        </w:rPr>
      </w:pPr>
      <w:r>
        <w:rPr>
          <w:rFonts w:ascii="Times New Roman" w:eastAsia="Times New Roman" w:hAnsi="Times New Roman" w:cs="Times New Roman"/>
          <w:b w:val="0"/>
          <w:i w:val="0"/>
          <w:sz w:val="19"/>
        </w:rPr>
        <w:t>Indicate by check mark whether the registrant is a large accelerated filer, an accelerated filer, a non-accelerated filer, a smaller reporting company, or an emerging growth company. See the definitions of “large accelerated filer,” “accelerated filer,” “smaller reporting company,” and “emerging growth company” in Rule 12b-2 of the Exchange Act.</w:t>
      </w: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12"/>
        </w:rPr>
      </w:pPr>
    </w:p>
    <w:tbl>
      <w:tblPr>
        <w:tblW w:w="10245"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295"/>
        <w:gridCol w:w="2580"/>
        <w:gridCol w:w="495"/>
        <w:gridCol w:w="2580"/>
        <w:gridCol w:w="2295"/>
      </w:tblGrid>
      <w:tr>
        <w:tblPrEx>
          <w:tblW w:w="10245"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60"/>
          <w:jc w:val="left"/>
        </w:trPr>
        <w:tc>
          <w:tcPr>
            <w:tcW w:w="229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left"/>
            </w:pPr>
            <w:r>
              <w:rPr>
                <w:rFonts w:ascii="Times New Roman" w:eastAsia="Times New Roman" w:hAnsi="Times New Roman" w:cs="Times New Roman"/>
                <w:b w:val="0"/>
                <w:i w:val="0"/>
                <w:color w:val="000000"/>
                <w:sz w:val="19"/>
                <w:u w:val="none"/>
              </w:rPr>
              <w:t> </w:t>
            </w:r>
          </w:p>
        </w:tc>
        <w:tc>
          <w:tcPr>
            <w:tcW w:w="2580"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left"/>
            </w:pPr>
            <w:r>
              <w:rPr>
                <w:rFonts w:ascii="Times New Roman" w:eastAsia="Times New Roman" w:hAnsi="Times New Roman" w:cs="Times New Roman"/>
                <w:b w:val="0"/>
                <w:i w:val="0"/>
                <w:color w:val="000000"/>
                <w:sz w:val="19"/>
                <w:u w:val="none"/>
              </w:rPr>
              <w:t>Large Accelerated Filer</w:t>
            </w:r>
          </w:p>
        </w:tc>
        <w:tc>
          <w:tcPr>
            <w:tcW w:w="49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left"/>
            </w:pPr>
            <w:r>
              <w:rPr>
                <w:rFonts w:ascii="Arial Unicode MS" w:eastAsia="Arial Unicode MS" w:hAnsi="Arial Unicode MS" w:cs="Arial Unicode MS"/>
                <w:b w:val="0"/>
                <w:i w:val="0"/>
                <w:color w:val="000000"/>
                <w:sz w:val="20"/>
                <w:u w:val="none"/>
              </w:rPr>
              <w:t>☒</w:t>
            </w:r>
          </w:p>
        </w:tc>
        <w:tc>
          <w:tcPr>
            <w:tcW w:w="2580"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left"/>
            </w:pPr>
            <w:r>
              <w:rPr>
                <w:rFonts w:ascii="Times New Roman" w:eastAsia="Times New Roman" w:hAnsi="Times New Roman" w:cs="Times New Roman"/>
                <w:b w:val="0"/>
                <w:i w:val="0"/>
                <w:color w:val="000000"/>
                <w:sz w:val="19"/>
                <w:u w:val="none"/>
              </w:rPr>
              <w:t>Accelerated Filer</w:t>
            </w:r>
          </w:p>
        </w:tc>
        <w:tc>
          <w:tcPr>
            <w:tcW w:w="229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left"/>
            </w:pPr>
            <w:r>
              <w:rPr>
                <w:rFonts w:ascii="Arial Unicode MS" w:eastAsia="Arial Unicode MS" w:hAnsi="Arial Unicode MS" w:cs="Arial Unicode MS"/>
                <w:b w:val="0"/>
                <w:i w:val="0"/>
                <w:color w:val="000000"/>
                <w:sz w:val="20"/>
                <w:u w:val="none"/>
              </w:rPr>
              <w:t>☐</w:t>
            </w:r>
          </w:p>
        </w:tc>
      </w:tr>
      <w:tr>
        <w:tblPrEx>
          <w:tblW w:w="10245" w:type="dxa"/>
          <w:jc w:val="left"/>
          <w:tblInd w:w="0" w:type="dxa"/>
          <w:tblLayout w:type="fixed"/>
          <w:tblCellMar>
            <w:left w:w="108" w:type="dxa"/>
            <w:right w:w="108" w:type="dxa"/>
          </w:tblCellMar>
        </w:tblPrEx>
        <w:trPr>
          <w:cantSplit/>
          <w:trHeight w:hRule="exact" w:val="360"/>
          <w:jc w:val="left"/>
        </w:trPr>
        <w:tc>
          <w:tcPr>
            <w:tcW w:w="229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left"/>
            </w:pPr>
            <w:r>
              <w:rPr>
                <w:rFonts w:ascii="Times New Roman" w:eastAsia="Times New Roman" w:hAnsi="Times New Roman" w:cs="Times New Roman"/>
                <w:b w:val="0"/>
                <w:i w:val="0"/>
                <w:color w:val="000000"/>
                <w:sz w:val="19"/>
                <w:u w:val="none"/>
              </w:rPr>
              <w:t> </w:t>
            </w:r>
          </w:p>
        </w:tc>
        <w:tc>
          <w:tcPr>
            <w:tcW w:w="2580"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left"/>
            </w:pPr>
            <w:r>
              <w:rPr>
                <w:rFonts w:ascii="Times New Roman" w:eastAsia="Times New Roman" w:hAnsi="Times New Roman" w:cs="Times New Roman"/>
                <w:b w:val="0"/>
                <w:i w:val="0"/>
                <w:color w:val="000000"/>
                <w:sz w:val="19"/>
                <w:u w:val="none"/>
              </w:rPr>
              <w:t>Non-accelerated Filer</w:t>
            </w:r>
          </w:p>
        </w:tc>
        <w:tc>
          <w:tcPr>
            <w:tcW w:w="49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left"/>
            </w:pPr>
            <w:r>
              <w:rPr>
                <w:rFonts w:ascii="Arial Unicode MS" w:eastAsia="Arial Unicode MS" w:hAnsi="Arial Unicode MS" w:cs="Arial Unicode MS"/>
                <w:b w:val="0"/>
                <w:i w:val="0"/>
                <w:color w:val="000000"/>
                <w:sz w:val="20"/>
                <w:u w:val="none"/>
              </w:rPr>
              <w:t>☐</w:t>
            </w:r>
          </w:p>
        </w:tc>
        <w:tc>
          <w:tcPr>
            <w:tcW w:w="2580"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left"/>
            </w:pPr>
            <w:r>
              <w:rPr>
                <w:rFonts w:ascii="Times New Roman" w:eastAsia="Times New Roman" w:hAnsi="Times New Roman" w:cs="Times New Roman"/>
                <w:b w:val="0"/>
                <w:i w:val="0"/>
                <w:color w:val="000000"/>
                <w:sz w:val="19"/>
                <w:u w:val="none"/>
              </w:rPr>
              <w:t>Smaller Reporting Company</w:t>
            </w:r>
          </w:p>
        </w:tc>
        <w:tc>
          <w:tcPr>
            <w:tcW w:w="229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left"/>
            </w:pPr>
            <w:r>
              <w:rPr>
                <w:rFonts w:ascii="Arial Unicode MS" w:eastAsia="Arial Unicode MS" w:hAnsi="Arial Unicode MS" w:cs="Arial Unicode MS"/>
                <w:b w:val="0"/>
                <w:i w:val="0"/>
                <w:color w:val="000000"/>
                <w:sz w:val="20"/>
                <w:u w:val="none"/>
              </w:rPr>
              <w:t>☐</w:t>
            </w:r>
          </w:p>
        </w:tc>
      </w:tr>
      <w:tr>
        <w:tblPrEx>
          <w:tblW w:w="10245" w:type="dxa"/>
          <w:jc w:val="left"/>
          <w:tblInd w:w="0" w:type="dxa"/>
          <w:tblLayout w:type="fixed"/>
          <w:tblCellMar>
            <w:left w:w="108" w:type="dxa"/>
            <w:right w:w="108" w:type="dxa"/>
          </w:tblCellMar>
        </w:tblPrEx>
        <w:trPr>
          <w:cantSplit/>
          <w:trHeight w:hRule="exact" w:val="360"/>
          <w:jc w:val="left"/>
        </w:trPr>
        <w:tc>
          <w:tcPr>
            <w:tcW w:w="22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258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4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2580" w:type="dxa"/>
            <w:tcBorders>
              <w:top w:val="nil"/>
              <w:left w:val="nil"/>
              <w:bottom w:val="nil"/>
              <w:right w:val="nil"/>
            </w:tcBorders>
            <w:tcMar>
              <w:top w:w="0" w:type="dxa"/>
              <w:left w:w="53" w:type="dxa"/>
              <w:bottom w:w="0" w:type="dxa"/>
              <w:right w:w="53" w:type="dxa"/>
            </w:tcMar>
            <w:vAlign w:val="top"/>
          </w:tcPr>
          <w:p>
            <w:pPr>
              <w:pageBreakBefore w:val="0"/>
              <w:spacing w:before="75" w:after="30" w:line="240" w:lineRule="auto"/>
              <w:jc w:val="left"/>
            </w:pPr>
            <w:r>
              <w:rPr>
                <w:rFonts w:ascii="Times New Roman" w:eastAsia="Times New Roman" w:hAnsi="Times New Roman" w:cs="Times New Roman"/>
                <w:b w:val="0"/>
                <w:i w:val="0"/>
                <w:color w:val="000000"/>
                <w:sz w:val="19"/>
                <w:u w:val="none"/>
              </w:rPr>
              <w:t>Emerging Growth Company</w:t>
            </w:r>
          </w:p>
        </w:tc>
        <w:tc>
          <w:tcPr>
            <w:tcW w:w="2295" w:type="dxa"/>
            <w:tcBorders>
              <w:top w:val="nil"/>
              <w:left w:val="nil"/>
              <w:bottom w:val="nil"/>
              <w:right w:val="nil"/>
            </w:tcBorders>
            <w:tcMar>
              <w:top w:w="0" w:type="dxa"/>
              <w:left w:w="53" w:type="dxa"/>
              <w:bottom w:w="0" w:type="dxa"/>
              <w:right w:w="53" w:type="dxa"/>
            </w:tcMar>
            <w:vAlign w:val="top"/>
          </w:tcPr>
          <w:p>
            <w:pPr>
              <w:pageBreakBefore w:val="0"/>
              <w:spacing w:before="75" w:after="30" w:line="240" w:lineRule="auto"/>
              <w:jc w:val="left"/>
            </w:pPr>
            <w:r>
              <w:rPr>
                <w:rFonts w:ascii="Arial Unicode MS" w:eastAsia="Arial Unicode MS" w:hAnsi="Arial Unicode MS" w:cs="Arial Unicode MS"/>
                <w:b w:val="0"/>
                <w:i w:val="0"/>
                <w:color w:val="000000"/>
                <w:sz w:val="20"/>
                <w:u w:val="none"/>
              </w:rPr>
              <w:t>☐</w:t>
            </w:r>
          </w:p>
        </w:tc>
      </w:tr>
    </w:tbl>
    <w:p>
      <w:pPr>
        <w:keepNext w:val="0"/>
        <w:keepLines w:val="0"/>
        <w:pageBreakBefore w:val="0"/>
        <w:widowControl/>
        <w:numPr>
          <w:ilvl w:val="0"/>
          <w:numId w:val="0"/>
        </w:numPr>
        <w:spacing w:before="0" w:after="120" w:line="288" w:lineRule="auto"/>
        <w:ind w:left="0" w:right="0" w:firstLine="0"/>
        <w:jc w:val="both"/>
        <w:outlineLvl w:val="9"/>
        <w:rPr>
          <w:rFonts w:ascii="Times New Roman" w:eastAsia="Times New Roman" w:hAnsi="Times New Roman" w:cs="Times New Roman"/>
          <w:b w:val="0"/>
          <w:i w:val="0"/>
          <w:sz w:val="19"/>
        </w:rPr>
      </w:pPr>
      <w:r>
        <w:rPr>
          <w:rFonts w:ascii="Times New Roman" w:eastAsia="Times New Roman" w:hAnsi="Times New Roman" w:cs="Times New Roman"/>
          <w:b w:val="0"/>
          <w:i w:val="0"/>
          <w:sz w:val="19"/>
        </w:rPr>
        <w:t xml:space="preserve">If an emerging growth company, indicate by check mark if the registrant has elected not to use the extended transition period for complying with any new or revised financial accounting standards provided pursuant to Section 13(a) of the Exchange Act.  </w:t>
      </w:r>
      <w:r>
        <w:rPr>
          <w:rFonts w:ascii="Times New Roman" w:eastAsia="Times New Roman" w:hAnsi="Times New Roman" w:cs="Times New Roman"/>
          <w:b w:val="0"/>
          <w:i w:val="0"/>
          <w:sz w:val="22"/>
        </w:rPr>
        <w:t xml:space="preserve"> </w:t>
      </w:r>
      <w:r>
        <w:rPr>
          <w:rFonts w:ascii="Times New Roman" w:eastAsia="Times New Roman" w:hAnsi="Times New Roman" w:cs="Times New Roman"/>
          <w:b w:val="0"/>
          <w:i w:val="0"/>
          <w:sz w:val="20"/>
        </w:rPr>
        <w:t>☐</w:t>
      </w:r>
      <w:r>
        <w:rPr>
          <w:rFonts w:ascii="Times New Roman" w:eastAsia="Times New Roman" w:hAnsi="Times New Roman" w:cs="Times New Roman"/>
          <w:b w:val="0"/>
          <w:i w:val="0"/>
          <w:sz w:val="22"/>
        </w:rPr>
        <w:t xml:space="preserve"> </w:t>
      </w: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19"/>
        </w:rPr>
      </w:pPr>
      <w:r>
        <w:rPr>
          <w:rFonts w:ascii="Times New Roman" w:eastAsia="Times New Roman" w:hAnsi="Times New Roman" w:cs="Times New Roman"/>
          <w:b w:val="0"/>
          <w:i w:val="0"/>
          <w:sz w:val="19"/>
        </w:rPr>
        <w:t>Indicate by check mark whether the registrant is a shell company (as defined in Rule 12b-2 of the Exchange Act).</w:t>
      </w:r>
    </w:p>
    <w:p>
      <w:pPr>
        <w:keepNext w:val="0"/>
        <w:keepLines w:val="0"/>
        <w:pageBreakBefore w:val="0"/>
        <w:widowControl/>
        <w:numPr>
          <w:ilvl w:val="0"/>
          <w:numId w:val="0"/>
        </w:numPr>
        <w:spacing w:before="0" w:after="60" w:line="288" w:lineRule="auto"/>
        <w:ind w:left="7920" w:right="0" w:firstLine="720"/>
        <w:jc w:val="left"/>
        <w:outlineLvl w:val="9"/>
        <w:rPr>
          <w:rFonts w:ascii="Times New Roman" w:eastAsia="Times New Roman" w:hAnsi="Times New Roman" w:cs="Times New Roman"/>
          <w:b w:val="0"/>
          <w:i w:val="0"/>
          <w:color w:val="000000"/>
          <w:sz w:val="19"/>
          <w:u w:val="none"/>
        </w:rPr>
      </w:pPr>
      <w:r>
        <w:rPr>
          <w:rFonts w:ascii="Times New Roman" w:eastAsia="Times New Roman" w:hAnsi="Times New Roman" w:cs="Times New Roman"/>
          <w:b w:val="0"/>
          <w:i w:val="0"/>
          <w:color w:val="000000"/>
          <w:sz w:val="20"/>
          <w:u w:val="none"/>
        </w:rPr>
        <w:t>☐</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19"/>
        </w:rPr>
        <w:t xml:space="preserve">Yes   </w:t>
      </w:r>
      <w:r>
        <w:rPr>
          <w:rFonts w:ascii="Times New Roman" w:eastAsia="Times New Roman" w:hAnsi="Times New Roman" w:cs="Times New Roman"/>
          <w:b w:val="0"/>
          <w:i w:val="0"/>
          <w:sz w:val="20"/>
        </w:rPr>
        <w:t>☒</w:t>
      </w:r>
      <w:r>
        <w:rPr>
          <w:rFonts w:ascii="Times New Roman" w:eastAsia="Times New Roman" w:hAnsi="Times New Roman" w:cs="Times New Roman"/>
          <w:b w:val="0"/>
          <w:i w:val="0"/>
          <w:sz w:val="19"/>
        </w:rPr>
        <w:t xml:space="preserve"> No</w:t>
      </w:r>
    </w:p>
    <w:p>
      <w:pPr>
        <w:keepNext w:val="0"/>
        <w:keepLines w:val="0"/>
        <w:pageBreakBefore w:val="0"/>
        <w:widowControl/>
        <w:numPr>
          <w:ilvl w:val="0"/>
          <w:numId w:val="0"/>
        </w:numPr>
        <w:spacing w:before="0" w:after="160" w:line="288" w:lineRule="auto"/>
        <w:ind w:left="0" w:right="0" w:firstLine="0"/>
        <w:jc w:val="both"/>
        <w:outlineLvl w:val="9"/>
        <w:rPr>
          <w:rFonts w:ascii="Times New Roman" w:eastAsia="Times New Roman" w:hAnsi="Times New Roman" w:cs="Times New Roman"/>
          <w:b w:val="0"/>
          <w:i w:val="0"/>
          <w:sz w:val="19"/>
        </w:rPr>
      </w:pPr>
      <w:r>
        <w:rPr>
          <w:rFonts w:ascii="Times New Roman" w:eastAsia="Times New Roman" w:hAnsi="Times New Roman" w:cs="Times New Roman"/>
          <w:b w:val="0"/>
          <w:i w:val="0"/>
          <w:sz w:val="19"/>
        </w:rPr>
        <w:t xml:space="preserve">As of </w:t>
      </w:r>
      <w:r>
        <w:rPr>
          <w:rFonts w:ascii="Times New Roman" w:eastAsia="Times New Roman" w:hAnsi="Times New Roman" w:cs="Times New Roman"/>
          <w:b w:val="0"/>
          <w:i w:val="0"/>
          <w:color w:val="000000"/>
          <w:sz w:val="19"/>
          <w:u w:val="none"/>
        </w:rPr>
        <w:t>April 18, 2025</w:t>
      </w:r>
      <w:r>
        <w:rPr>
          <w:rFonts w:ascii="Times New Roman" w:eastAsia="Times New Roman" w:hAnsi="Times New Roman" w:cs="Times New Roman"/>
          <w:b w:val="0"/>
          <w:i w:val="0"/>
          <w:sz w:val="19"/>
        </w:rPr>
        <w:t xml:space="preserve">, there were </w:t>
      </w:r>
      <w:r>
        <w:rPr>
          <w:rFonts w:ascii="Times New Roman" w:eastAsia="Times New Roman" w:hAnsi="Times New Roman" w:cs="Times New Roman"/>
          <w:b w:val="0"/>
          <w:i w:val="0"/>
          <w:color w:val="000000"/>
          <w:sz w:val="19"/>
          <w:u w:val="none"/>
        </w:rPr>
        <w:t>859,715,017</w:t>
      </w:r>
      <w:r>
        <w:rPr>
          <w:rFonts w:ascii="Times New Roman" w:eastAsia="Times New Roman" w:hAnsi="Times New Roman" w:cs="Times New Roman"/>
          <w:b w:val="0"/>
          <w:i w:val="0"/>
          <w:color w:val="000000"/>
          <w:sz w:val="19"/>
          <w:u w:val="none"/>
        </w:rPr>
        <w:t xml:space="preserve"> </w:t>
      </w:r>
      <w:r>
        <w:rPr>
          <w:rFonts w:ascii="Times New Roman" w:eastAsia="Times New Roman" w:hAnsi="Times New Roman" w:cs="Times New Roman"/>
          <w:b w:val="0"/>
          <w:i w:val="0"/>
          <w:color w:val="000000"/>
          <w:sz w:val="19"/>
          <w:u w:val="none"/>
        </w:rPr>
        <w:t>shares</w:t>
      </w:r>
      <w:r>
        <w:rPr>
          <w:rFonts w:ascii="Times New Roman" w:eastAsia="Times New Roman" w:hAnsi="Times New Roman" w:cs="Times New Roman"/>
          <w:b w:val="0"/>
          <w:i w:val="0"/>
          <w:color w:val="000000"/>
          <w:sz w:val="19"/>
          <w:u w:val="none"/>
        </w:rPr>
        <w:t xml:space="preserve"> </w:t>
      </w:r>
      <w:r>
        <w:rPr>
          <w:rFonts w:ascii="Times New Roman" w:eastAsia="Times New Roman" w:hAnsi="Times New Roman" w:cs="Times New Roman"/>
          <w:b w:val="0"/>
          <w:i w:val="0"/>
          <w:sz w:val="19"/>
        </w:rPr>
        <w:t>of Halliburton Company common stock, $2.50 par value per share, outstanding.</w:t>
      </w:r>
      <w:r>
        <w:rPr>
          <w:rFonts w:ascii="Times New Roman" w:eastAsia="Times New Roman" w:hAnsi="Times New Roman" w:cs="Times New Roman"/>
          <w:b w:val="0"/>
          <w:i w:val="0"/>
          <w:sz w:val="19"/>
        </w:rPr>
        <w:t xml:space="preserve">                                                                                                                                                                                                                                                                                                               </w:t>
      </w:r>
    </w:p>
    <w:p>
      <w:pPr>
        <w:keepNext w:val="0"/>
        <w:keepLines w:val="0"/>
        <w:pageBreakBefore w:val="0"/>
        <w:widowControl/>
        <w:numPr>
          <w:ilvl w:val="0"/>
          <w:numId w:val="0"/>
        </w:numPr>
        <w:spacing w:before="0" w:after="160" w:line="288" w:lineRule="auto"/>
        <w:ind w:left="0" w:right="0" w:firstLine="0"/>
        <w:jc w:val="both"/>
        <w:outlineLvl w:val="9"/>
        <w:rPr>
          <w:rFonts w:ascii="Times New Roman" w:eastAsia="Times New Roman" w:hAnsi="Times New Roman" w:cs="Times New Roman"/>
          <w:b w:val="0"/>
          <w:i w:val="0"/>
          <w:sz w:val="19"/>
        </w:rPr>
        <w:sectPr>
          <w:headerReference w:type="default" r:id="rId4"/>
          <w:footerReference w:type="default" r:id="rId5"/>
          <w:type w:val="continuous"/>
          <w:pgSz w:w="12240" w:h="15840"/>
          <w:pgMar w:top="900" w:right="990" w:bottom="900" w:left="990" w:header="0" w:footer="0" w:gutter="0"/>
          <w:cols w:space="708"/>
          <w:docGrid w:linePitch="360"/>
        </w:sectPr>
      </w:pPr>
    </w:p>
    <w:p>
      <w:pPr>
        <w:keepNext w:val="0"/>
        <w:keepLines w:val="0"/>
        <w:pageBreakBefore w:val="0"/>
        <w:widowControl/>
        <w:numPr>
          <w:ilvl w:val="0"/>
          <w:numId w:val="0"/>
        </w:numPr>
        <w:spacing w:before="0" w:after="300" w:line="288" w:lineRule="auto"/>
        <w:ind w:left="0" w:right="0" w:firstLine="0"/>
        <w:jc w:val="center"/>
        <w:outlineLvl w:val="0"/>
        <w:rPr>
          <w:rFonts w:ascii="Times New Roman" w:eastAsia="Times New Roman" w:hAnsi="Times New Roman" w:cs="Times New Roman"/>
          <w:b/>
          <w:i w:val="0"/>
          <w:sz w:val="20"/>
        </w:rPr>
      </w:pPr>
      <w:bookmarkStart w:id="1" w:name="Section2"/>
      <w:bookmarkEnd w:id="1"/>
      <w:r>
        <w:rPr>
          <w:rFonts w:ascii="Times New Roman" w:eastAsia="Times New Roman" w:hAnsi="Times New Roman" w:cs="Times New Roman"/>
          <w:b/>
          <w:i w:val="0"/>
          <w:sz w:val="20"/>
        </w:rPr>
        <w:t>HALLIBURTON COMPANY</w:t>
      </w:r>
    </w:p>
    <w:p>
      <w:pPr>
        <w:keepNext w:val="0"/>
        <w:keepLines w:val="0"/>
        <w:pageBreakBefore w:val="0"/>
        <w:widowControl/>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Index</w:t>
      </w:r>
    </w:p>
    <w:tbl>
      <w:tblPr>
        <w:tblW w:w="10245"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395"/>
        <w:gridCol w:w="7455"/>
        <w:gridCol w:w="1395"/>
      </w:tblGrid>
      <w:tr>
        <w:tblPrEx>
          <w:tblW w:w="10245"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85"/>
          <w:jc w:val="left"/>
        </w:trPr>
        <w:tc>
          <w:tcPr>
            <w:tcW w:w="139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 </w:t>
            </w:r>
          </w:p>
        </w:tc>
        <w:tc>
          <w:tcPr>
            <w:tcW w:w="745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 </w:t>
            </w:r>
          </w:p>
        </w:tc>
        <w:tc>
          <w:tcPr>
            <w:tcW w:w="1395"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75" w:after="30" w:line="240" w:lineRule="auto"/>
              <w:jc w:val="center"/>
            </w:pPr>
            <w:r>
              <w:rPr>
                <w:rFonts w:ascii="Times New Roman" w:eastAsia="Times New Roman" w:hAnsi="Times New Roman" w:cs="Times New Roman"/>
                <w:b/>
                <w:i w:val="0"/>
                <w:color w:val="000000"/>
                <w:sz w:val="20"/>
                <w:u w:val="none"/>
              </w:rPr>
              <w:t>Page No.</w:t>
            </w:r>
          </w:p>
        </w:tc>
      </w:tr>
      <w:tr>
        <w:tblPrEx>
          <w:tblW w:w="10245" w:type="dxa"/>
          <w:jc w:val="left"/>
          <w:tblInd w:w="0" w:type="dxa"/>
          <w:tblLayout w:type="fixed"/>
          <w:tblCellMar>
            <w:left w:w="108" w:type="dxa"/>
            <w:right w:w="108" w:type="dxa"/>
          </w:tblCellMar>
        </w:tblPrEx>
        <w:trPr>
          <w:cantSplit/>
          <w:trHeight w:hRule="exact" w:val="285"/>
          <w:jc w:val="left"/>
        </w:trPr>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5" w:after="30" w:line="240" w:lineRule="auto"/>
              <w:ind w:left="0" w:right="0" w:firstLine="0"/>
              <w:jc w:val="left"/>
              <w:outlineLvl w:val="9"/>
              <w:rPr>
                <w:rFonts w:ascii="Times New Roman" w:eastAsia="Times New Roman" w:hAnsi="Times New Roman" w:cs="Times New Roman"/>
                <w:b/>
                <w:i w:val="0"/>
                <w:sz w:val="20"/>
                <w:shd w:val="clear" w:color="auto" w:fill="auto"/>
              </w:rPr>
            </w:pPr>
            <w:hyperlink w:anchor="Section3" w:history="1">
              <w:r>
                <w:rPr>
                  <w:rFonts w:ascii="Times New Roman" w:eastAsia="Times New Roman" w:hAnsi="Times New Roman" w:cs="Times New Roman"/>
                  <w:b/>
                  <w:i w:val="0"/>
                  <w:color w:val="000000"/>
                  <w:sz w:val="20"/>
                  <w:u w:val="none"/>
                  <w:shd w:val="clear" w:color="auto" w:fill="auto"/>
                </w:rPr>
                <w:t>PART I.</w:t>
              </w:r>
            </w:hyperlink>
          </w:p>
        </w:tc>
        <w:tc>
          <w:tcPr>
            <w:tcW w:w="745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5" w:after="30" w:line="240" w:lineRule="auto"/>
              <w:ind w:left="0" w:right="0" w:firstLine="0"/>
              <w:jc w:val="left"/>
              <w:outlineLvl w:val="9"/>
              <w:rPr>
                <w:rFonts w:ascii="Times New Roman" w:eastAsia="Times New Roman" w:hAnsi="Times New Roman" w:cs="Times New Roman"/>
                <w:b/>
                <w:i w:val="0"/>
                <w:sz w:val="20"/>
                <w:shd w:val="clear" w:color="auto" w:fill="auto"/>
              </w:rPr>
            </w:pPr>
            <w:hyperlink w:anchor="Section3" w:history="1">
              <w:r>
                <w:rPr>
                  <w:rFonts w:ascii="Times New Roman" w:eastAsia="Times New Roman" w:hAnsi="Times New Roman" w:cs="Times New Roman"/>
                  <w:b/>
                  <w:i w:val="0"/>
                  <w:color w:val="000000"/>
                  <w:sz w:val="20"/>
                  <w:u w:val="none"/>
                  <w:shd w:val="clear" w:color="auto" w:fill="auto"/>
                </w:rPr>
                <w:t>FINANCIAL INFORMATION</w:t>
              </w:r>
            </w:hyperlink>
          </w:p>
        </w:tc>
        <w:tc>
          <w:tcPr>
            <w:tcW w:w="1395" w:type="dxa"/>
            <w:tcBorders>
              <w:top w:val="single" w:sz="8" w:space="0" w:color="000000"/>
              <w:left w:val="nil"/>
              <w:bottom w:val="nil"/>
              <w:right w:val="nil"/>
            </w:tcBorders>
            <w:tcMar>
              <w:top w:w="0" w:type="dxa"/>
              <w:left w:w="53" w:type="dxa"/>
              <w:bottom w:w="0" w:type="dxa"/>
              <w:right w:w="53" w:type="dxa"/>
            </w:tcMar>
            <w:vAlign w:val="top"/>
          </w:tcPr>
          <w:p>
            <w:pPr>
              <w:keepNext/>
              <w:pageBreakBefore w:val="0"/>
              <w:numPr>
                <w:ilvl w:val="0"/>
                <w:numId w:val="0"/>
              </w:numPr>
              <w:spacing w:before="55" w:after="30" w:line="240" w:lineRule="auto"/>
              <w:ind w:left="0" w:right="0" w:firstLine="0"/>
              <w:jc w:val="center"/>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val="0"/>
                <w:color w:val="000000"/>
                <w:sz w:val="20"/>
                <w:u w:val="single"/>
              </w:rPr>
              <w:fldChar w:fldCharType="begin"/>
            </w:r>
            <w:r>
              <w:rPr>
                <w:rFonts w:ascii="Times New Roman" w:eastAsia="Times New Roman" w:hAnsi="Times New Roman" w:cs="Times New Roman"/>
                <w:b w:val="0"/>
                <w:i w:val="0"/>
                <w:color w:val="000000"/>
                <w:sz w:val="20"/>
                <w:u w:val="single"/>
              </w:rPr>
              <w:instrText xml:space="preserve"> PAGEREF </w:instrText>
            </w:r>
            <w:r>
              <w:rPr>
                <w:rFonts w:ascii="Times New Roman" w:eastAsia="Times New Roman" w:hAnsi="Times New Roman" w:cs="Times New Roman"/>
                <w:b w:val="0"/>
                <w:i w:val="0"/>
                <w:color w:val="000000"/>
                <w:sz w:val="20"/>
                <w:u w:val="single"/>
              </w:rPr>
              <w:instrText xml:space="preserve"> </w:instrText>
            </w:r>
            <w:r>
              <w:rPr>
                <w:rFonts w:ascii="Times New Roman" w:eastAsia="Times New Roman" w:hAnsi="Times New Roman" w:cs="Times New Roman"/>
                <w:b w:val="0"/>
                <w:i w:val="0"/>
                <w:color w:val="000000"/>
                <w:sz w:val="20"/>
                <w:u w:val="single"/>
              </w:rPr>
              <w:instrText>Section3</w:instrText>
            </w:r>
            <w:r>
              <w:rPr>
                <w:rFonts w:ascii="Times New Roman" w:eastAsia="Times New Roman" w:hAnsi="Times New Roman" w:cs="Times New Roman"/>
                <w:b w:val="0"/>
                <w:i w:val="0"/>
                <w:color w:val="000000"/>
                <w:sz w:val="20"/>
                <w:u w:val="single"/>
              </w:rPr>
              <w:instrText xml:space="preserve"> \h</w:instrText>
            </w:r>
            <w:r>
              <w:rPr>
                <w:rFonts w:ascii="Times New Roman" w:eastAsia="Times New Roman" w:hAnsi="Times New Roman" w:cs="Times New Roman"/>
                <w:b w:val="0"/>
                <w:i w:val="0"/>
                <w:color w:val="000000"/>
                <w:sz w:val="20"/>
                <w:u w:val="single"/>
              </w:rPr>
              <w:fldChar w:fldCharType="separate"/>
            </w:r>
            <w:r>
              <w:rPr>
                <w:rFonts w:ascii="Times New Roman" w:eastAsia="Times New Roman" w:hAnsi="Times New Roman" w:cs="Times New Roman"/>
                <w:b w:val="0"/>
                <w:i w:val="0"/>
                <w:color w:val="000000"/>
                <w:sz w:val="20"/>
                <w:u w:val="single"/>
              </w:rPr>
              <w:t>1</w:t>
            </w:r>
            <w:r>
              <w:rPr>
                <w:rFonts w:ascii="Times New Roman" w:eastAsia="Times New Roman" w:hAnsi="Times New Roman" w:cs="Times New Roman"/>
                <w:b w:val="0"/>
                <w:i w:val="0"/>
                <w:color w:val="000000"/>
                <w:sz w:val="20"/>
                <w:u w:val="single"/>
              </w:rPr>
              <w:fldChar w:fldCharType="end"/>
            </w:r>
          </w:p>
        </w:tc>
      </w:tr>
      <w:tr>
        <w:tblPrEx>
          <w:tblW w:w="10245" w:type="dxa"/>
          <w:jc w:val="left"/>
          <w:tblInd w:w="0" w:type="dxa"/>
          <w:tblLayout w:type="fixed"/>
          <w:tblCellMar>
            <w:left w:w="108" w:type="dxa"/>
            <w:right w:w="108" w:type="dxa"/>
          </w:tblCellMar>
        </w:tblPrEx>
        <w:trPr>
          <w:cantSplit/>
          <w:trHeight w:hRule="exact" w:val="285"/>
          <w:jc w:val="left"/>
        </w:trPr>
        <w:tc>
          <w:tcPr>
            <w:tcW w:w="139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 </w:t>
            </w:r>
          </w:p>
        </w:tc>
        <w:tc>
          <w:tcPr>
            <w:tcW w:w="745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 </w:t>
            </w:r>
          </w:p>
        </w:tc>
        <w:tc>
          <w:tcPr>
            <w:tcW w:w="139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 </w:t>
            </w:r>
          </w:p>
        </w:tc>
      </w:tr>
      <w:tr>
        <w:tblPrEx>
          <w:tblW w:w="10245" w:type="dxa"/>
          <w:jc w:val="left"/>
          <w:tblInd w:w="0" w:type="dxa"/>
          <w:tblLayout w:type="fixed"/>
          <w:tblCellMar>
            <w:left w:w="108" w:type="dxa"/>
            <w:right w:w="108" w:type="dxa"/>
          </w:tblCellMar>
        </w:tblPrEx>
        <w:trPr>
          <w:cantSplit/>
          <w:trHeight w:hRule="exact" w:val="285"/>
          <w:jc w:val="left"/>
        </w:trPr>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left"/>
              <w:outlineLvl w:val="9"/>
              <w:rPr>
                <w:rFonts w:ascii="Times New Roman" w:eastAsia="Times New Roman" w:hAnsi="Times New Roman" w:cs="Times New Roman"/>
                <w:b w:val="0"/>
                <w:i w:val="0"/>
                <w:color w:val="000000"/>
                <w:sz w:val="20"/>
                <w:u w:val="single"/>
                <w:shd w:val="clear" w:color="auto" w:fill="auto"/>
              </w:rPr>
            </w:pPr>
            <w:hyperlink w:anchor="Section4" w:history="1">
              <w:r>
                <w:rPr>
                  <w:rFonts w:ascii="Times New Roman" w:eastAsia="Times New Roman" w:hAnsi="Times New Roman" w:cs="Times New Roman"/>
                  <w:b w:val="0"/>
                  <w:i w:val="0"/>
                  <w:color w:val="000000"/>
                  <w:sz w:val="20"/>
                  <w:u w:val="single"/>
                  <w:shd w:val="clear" w:color="auto" w:fill="auto"/>
                </w:rPr>
                <w:t>Item 1.</w:t>
              </w:r>
            </w:hyperlink>
          </w:p>
        </w:tc>
        <w:tc>
          <w:tcPr>
            <w:tcW w:w="745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left"/>
              <w:outlineLvl w:val="9"/>
              <w:rPr>
                <w:rFonts w:ascii="Times New Roman" w:eastAsia="Times New Roman" w:hAnsi="Times New Roman" w:cs="Times New Roman"/>
                <w:b w:val="0"/>
                <w:i w:val="0"/>
                <w:color w:val="000000"/>
                <w:sz w:val="20"/>
                <w:u w:val="single"/>
                <w:shd w:val="clear" w:color="auto" w:fill="auto"/>
              </w:rPr>
            </w:pPr>
            <w:hyperlink w:anchor="Section4" w:history="1">
              <w:r>
                <w:rPr>
                  <w:rFonts w:ascii="Times New Roman" w:eastAsia="Times New Roman" w:hAnsi="Times New Roman" w:cs="Times New Roman"/>
                  <w:b w:val="0"/>
                  <w:i w:val="0"/>
                  <w:color w:val="000000"/>
                  <w:sz w:val="20"/>
                  <w:u w:val="single"/>
                  <w:shd w:val="clear" w:color="auto" w:fill="auto"/>
                </w:rPr>
                <w:t>Financial Statements</w:t>
              </w:r>
            </w:hyperlink>
          </w:p>
        </w:tc>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center"/>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val="0"/>
                <w:color w:val="000000"/>
                <w:sz w:val="20"/>
                <w:u w:val="single"/>
              </w:rPr>
              <w:fldChar w:fldCharType="begin"/>
            </w:r>
            <w:r>
              <w:rPr>
                <w:rFonts w:ascii="Times New Roman" w:eastAsia="Times New Roman" w:hAnsi="Times New Roman" w:cs="Times New Roman"/>
                <w:b w:val="0"/>
                <w:i w:val="0"/>
                <w:color w:val="000000"/>
                <w:sz w:val="20"/>
                <w:u w:val="single"/>
              </w:rPr>
              <w:instrText xml:space="preserve"> PAGEREF </w:instrText>
            </w:r>
            <w:r>
              <w:rPr>
                <w:rFonts w:ascii="Times New Roman" w:eastAsia="Times New Roman" w:hAnsi="Times New Roman" w:cs="Times New Roman"/>
                <w:b w:val="0"/>
                <w:i w:val="0"/>
                <w:color w:val="000000"/>
                <w:sz w:val="20"/>
                <w:u w:val="single"/>
              </w:rPr>
              <w:instrText xml:space="preserve"> </w:instrText>
            </w:r>
            <w:r>
              <w:rPr>
                <w:rFonts w:ascii="Times New Roman" w:eastAsia="Times New Roman" w:hAnsi="Times New Roman" w:cs="Times New Roman"/>
                <w:b w:val="0"/>
                <w:i w:val="0"/>
                <w:color w:val="000000"/>
                <w:sz w:val="20"/>
                <w:u w:val="single"/>
              </w:rPr>
              <w:instrText>Section4</w:instrText>
            </w:r>
            <w:r>
              <w:rPr>
                <w:rFonts w:ascii="Times New Roman" w:eastAsia="Times New Roman" w:hAnsi="Times New Roman" w:cs="Times New Roman"/>
                <w:b w:val="0"/>
                <w:i w:val="0"/>
                <w:color w:val="000000"/>
                <w:sz w:val="20"/>
                <w:u w:val="single"/>
              </w:rPr>
              <w:instrText xml:space="preserve"> \h</w:instrText>
            </w:r>
            <w:r>
              <w:rPr>
                <w:rFonts w:ascii="Times New Roman" w:eastAsia="Times New Roman" w:hAnsi="Times New Roman" w:cs="Times New Roman"/>
                <w:b w:val="0"/>
                <w:i w:val="0"/>
                <w:color w:val="000000"/>
                <w:sz w:val="20"/>
                <w:u w:val="single"/>
              </w:rPr>
              <w:fldChar w:fldCharType="separate"/>
            </w:r>
            <w:r>
              <w:rPr>
                <w:rFonts w:ascii="Times New Roman" w:eastAsia="Times New Roman" w:hAnsi="Times New Roman" w:cs="Times New Roman"/>
                <w:b w:val="0"/>
                <w:i w:val="0"/>
                <w:color w:val="000000"/>
                <w:sz w:val="20"/>
                <w:u w:val="single"/>
              </w:rPr>
              <w:t>1</w:t>
            </w:r>
            <w:r>
              <w:rPr>
                <w:rFonts w:ascii="Times New Roman" w:eastAsia="Times New Roman" w:hAnsi="Times New Roman" w:cs="Times New Roman"/>
                <w:b w:val="0"/>
                <w:i w:val="0"/>
                <w:color w:val="000000"/>
                <w:sz w:val="20"/>
                <w:u w:val="single"/>
              </w:rPr>
              <w:fldChar w:fldCharType="end"/>
            </w:r>
          </w:p>
        </w:tc>
      </w:tr>
      <w:tr>
        <w:tblPrEx>
          <w:tblW w:w="10245" w:type="dxa"/>
          <w:jc w:val="left"/>
          <w:tblInd w:w="0" w:type="dxa"/>
          <w:tblLayout w:type="fixed"/>
          <w:tblCellMar>
            <w:left w:w="108" w:type="dxa"/>
            <w:right w:w="108" w:type="dxa"/>
          </w:tblCellMar>
        </w:tblPrEx>
        <w:trPr>
          <w:cantSplit/>
          <w:trHeight w:hRule="exact" w:val="285"/>
          <w:jc w:val="left"/>
        </w:trPr>
        <w:tc>
          <w:tcPr>
            <w:tcW w:w="139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 </w:t>
            </w:r>
          </w:p>
        </w:tc>
        <w:tc>
          <w:tcPr>
            <w:tcW w:w="745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360" w:right="0" w:firstLine="0"/>
              <w:jc w:val="left"/>
              <w:outlineLvl w:val="9"/>
              <w:rPr>
                <w:rFonts w:ascii="Times New Roman" w:eastAsia="Times New Roman" w:hAnsi="Times New Roman" w:cs="Times New Roman"/>
                <w:b w:val="0"/>
                <w:i w:val="0"/>
                <w:sz w:val="20"/>
                <w:shd w:val="clear" w:color="auto" w:fill="auto"/>
              </w:rPr>
            </w:pPr>
            <w:hyperlink w:anchor="Section5" w:history="1">
              <w:r>
                <w:rPr>
                  <w:rFonts w:ascii="Times New Roman" w:eastAsia="Times New Roman" w:hAnsi="Times New Roman" w:cs="Times New Roman"/>
                  <w:b w:val="0"/>
                  <w:i w:val="0"/>
                  <w:color w:val="000000"/>
                  <w:sz w:val="20"/>
                  <w:u w:val="single"/>
                  <w:shd w:val="clear" w:color="auto" w:fill="auto"/>
                </w:rPr>
                <w:t>Condensed Consolidated Statements of Operations</w:t>
              </w:r>
            </w:hyperlink>
          </w:p>
        </w:tc>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center"/>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val="0"/>
                <w:color w:val="000000"/>
                <w:sz w:val="20"/>
                <w:u w:val="single"/>
              </w:rPr>
              <w:fldChar w:fldCharType="begin"/>
            </w:r>
            <w:r>
              <w:rPr>
                <w:rFonts w:ascii="Times New Roman" w:eastAsia="Times New Roman" w:hAnsi="Times New Roman" w:cs="Times New Roman"/>
                <w:b w:val="0"/>
                <w:i w:val="0"/>
                <w:color w:val="000000"/>
                <w:sz w:val="20"/>
                <w:u w:val="single"/>
              </w:rPr>
              <w:instrText xml:space="preserve"> PAGEREF </w:instrText>
            </w:r>
            <w:r>
              <w:rPr>
                <w:rFonts w:ascii="Times New Roman" w:eastAsia="Times New Roman" w:hAnsi="Times New Roman" w:cs="Times New Roman"/>
                <w:b w:val="0"/>
                <w:i w:val="0"/>
                <w:color w:val="000000"/>
                <w:sz w:val="20"/>
                <w:u w:val="single"/>
              </w:rPr>
              <w:instrText xml:space="preserve"> </w:instrText>
            </w:r>
            <w:r>
              <w:rPr>
                <w:rFonts w:ascii="Times New Roman" w:eastAsia="Times New Roman" w:hAnsi="Times New Roman" w:cs="Times New Roman"/>
                <w:b w:val="0"/>
                <w:i w:val="0"/>
                <w:color w:val="000000"/>
                <w:sz w:val="20"/>
                <w:u w:val="single"/>
              </w:rPr>
              <w:instrText>Section5</w:instrText>
            </w:r>
            <w:r>
              <w:rPr>
                <w:rFonts w:ascii="Times New Roman" w:eastAsia="Times New Roman" w:hAnsi="Times New Roman" w:cs="Times New Roman"/>
                <w:b w:val="0"/>
                <w:i w:val="0"/>
                <w:color w:val="000000"/>
                <w:sz w:val="20"/>
                <w:u w:val="single"/>
              </w:rPr>
              <w:instrText xml:space="preserve"> \h</w:instrText>
            </w:r>
            <w:r>
              <w:rPr>
                <w:rFonts w:ascii="Times New Roman" w:eastAsia="Times New Roman" w:hAnsi="Times New Roman" w:cs="Times New Roman"/>
                <w:b w:val="0"/>
                <w:i w:val="0"/>
                <w:color w:val="000000"/>
                <w:sz w:val="20"/>
                <w:u w:val="single"/>
              </w:rPr>
              <w:fldChar w:fldCharType="separate"/>
            </w:r>
            <w:r>
              <w:rPr>
                <w:rFonts w:ascii="Times New Roman" w:eastAsia="Times New Roman" w:hAnsi="Times New Roman" w:cs="Times New Roman"/>
                <w:b w:val="0"/>
                <w:i w:val="0"/>
                <w:color w:val="000000"/>
                <w:sz w:val="20"/>
                <w:u w:val="single"/>
              </w:rPr>
              <w:t>1</w:t>
            </w:r>
            <w:r>
              <w:rPr>
                <w:rFonts w:ascii="Times New Roman" w:eastAsia="Times New Roman" w:hAnsi="Times New Roman" w:cs="Times New Roman"/>
                <w:b w:val="0"/>
                <w:i w:val="0"/>
                <w:color w:val="000000"/>
                <w:sz w:val="20"/>
                <w:u w:val="single"/>
              </w:rPr>
              <w:fldChar w:fldCharType="end"/>
            </w:r>
          </w:p>
        </w:tc>
      </w:tr>
      <w:tr>
        <w:tblPrEx>
          <w:tblW w:w="10245" w:type="dxa"/>
          <w:jc w:val="left"/>
          <w:tblInd w:w="0" w:type="dxa"/>
          <w:tblLayout w:type="fixed"/>
          <w:tblCellMar>
            <w:left w:w="108" w:type="dxa"/>
            <w:right w:w="108" w:type="dxa"/>
          </w:tblCellMar>
        </w:tblPrEx>
        <w:trPr>
          <w:cantSplit/>
          <w:trHeight w:hRule="exact" w:val="285"/>
          <w:jc w:val="left"/>
        </w:trPr>
        <w:tc>
          <w:tcPr>
            <w:tcW w:w="139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 </w:t>
            </w:r>
          </w:p>
        </w:tc>
        <w:tc>
          <w:tcPr>
            <w:tcW w:w="745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360" w:right="0" w:firstLine="0"/>
              <w:jc w:val="left"/>
              <w:outlineLvl w:val="9"/>
              <w:rPr>
                <w:rFonts w:ascii="Times New Roman" w:eastAsia="Times New Roman" w:hAnsi="Times New Roman" w:cs="Times New Roman"/>
                <w:b w:val="0"/>
                <w:i w:val="0"/>
                <w:sz w:val="20"/>
                <w:shd w:val="clear" w:color="auto" w:fill="auto"/>
              </w:rPr>
            </w:pPr>
            <w:hyperlink w:anchor="Section6" w:history="1">
              <w:r>
                <w:rPr>
                  <w:rFonts w:ascii="Times New Roman" w:eastAsia="Times New Roman" w:hAnsi="Times New Roman" w:cs="Times New Roman"/>
                  <w:b w:val="0"/>
                  <w:i w:val="0"/>
                  <w:color w:val="000000"/>
                  <w:sz w:val="20"/>
                  <w:u w:val="single"/>
                  <w:shd w:val="clear" w:color="auto" w:fill="auto"/>
                </w:rPr>
                <w:t>Condensed Consolidated Statements of Comprehensive Income</w:t>
              </w:r>
            </w:hyperlink>
          </w:p>
        </w:tc>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center"/>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val="0"/>
                <w:color w:val="000000"/>
                <w:sz w:val="20"/>
                <w:u w:val="single"/>
              </w:rPr>
              <w:fldChar w:fldCharType="begin"/>
            </w:r>
            <w:r>
              <w:rPr>
                <w:rFonts w:ascii="Times New Roman" w:eastAsia="Times New Roman" w:hAnsi="Times New Roman" w:cs="Times New Roman"/>
                <w:b w:val="0"/>
                <w:i w:val="0"/>
                <w:color w:val="000000"/>
                <w:sz w:val="20"/>
                <w:u w:val="single"/>
              </w:rPr>
              <w:instrText xml:space="preserve"> PAGEREF </w:instrText>
            </w:r>
            <w:r>
              <w:rPr>
                <w:rFonts w:ascii="Times New Roman" w:eastAsia="Times New Roman" w:hAnsi="Times New Roman" w:cs="Times New Roman"/>
                <w:b w:val="0"/>
                <w:i w:val="0"/>
                <w:color w:val="000000"/>
                <w:sz w:val="20"/>
                <w:u w:val="single"/>
              </w:rPr>
              <w:instrText xml:space="preserve"> </w:instrText>
            </w:r>
            <w:r>
              <w:rPr>
                <w:rFonts w:ascii="Times New Roman" w:eastAsia="Times New Roman" w:hAnsi="Times New Roman" w:cs="Times New Roman"/>
                <w:b w:val="0"/>
                <w:i w:val="0"/>
                <w:color w:val="000000"/>
                <w:sz w:val="20"/>
                <w:u w:val="single"/>
              </w:rPr>
              <w:instrText>Section6</w:instrText>
            </w:r>
            <w:r>
              <w:rPr>
                <w:rFonts w:ascii="Times New Roman" w:eastAsia="Times New Roman" w:hAnsi="Times New Roman" w:cs="Times New Roman"/>
                <w:b w:val="0"/>
                <w:i w:val="0"/>
                <w:color w:val="000000"/>
                <w:sz w:val="20"/>
                <w:u w:val="single"/>
              </w:rPr>
              <w:instrText xml:space="preserve"> \h</w:instrText>
            </w:r>
            <w:r>
              <w:rPr>
                <w:rFonts w:ascii="Times New Roman" w:eastAsia="Times New Roman" w:hAnsi="Times New Roman" w:cs="Times New Roman"/>
                <w:b w:val="0"/>
                <w:i w:val="0"/>
                <w:color w:val="000000"/>
                <w:sz w:val="20"/>
                <w:u w:val="single"/>
              </w:rPr>
              <w:fldChar w:fldCharType="separate"/>
            </w:r>
            <w:r>
              <w:rPr>
                <w:rFonts w:ascii="Times New Roman" w:eastAsia="Times New Roman" w:hAnsi="Times New Roman" w:cs="Times New Roman"/>
                <w:b w:val="0"/>
                <w:i w:val="0"/>
                <w:color w:val="000000"/>
                <w:sz w:val="20"/>
                <w:u w:val="single"/>
              </w:rPr>
              <w:t>2</w:t>
            </w:r>
            <w:r>
              <w:rPr>
                <w:rFonts w:ascii="Times New Roman" w:eastAsia="Times New Roman" w:hAnsi="Times New Roman" w:cs="Times New Roman"/>
                <w:b w:val="0"/>
                <w:i w:val="0"/>
                <w:color w:val="000000"/>
                <w:sz w:val="20"/>
                <w:u w:val="single"/>
              </w:rPr>
              <w:fldChar w:fldCharType="end"/>
            </w:r>
          </w:p>
        </w:tc>
      </w:tr>
      <w:tr>
        <w:tblPrEx>
          <w:tblW w:w="10245" w:type="dxa"/>
          <w:jc w:val="left"/>
          <w:tblInd w:w="0" w:type="dxa"/>
          <w:tblLayout w:type="fixed"/>
          <w:tblCellMar>
            <w:left w:w="108" w:type="dxa"/>
            <w:right w:w="108" w:type="dxa"/>
          </w:tblCellMar>
        </w:tblPrEx>
        <w:trPr>
          <w:cantSplit/>
          <w:trHeight w:hRule="exact" w:val="285"/>
          <w:jc w:val="left"/>
        </w:trPr>
        <w:tc>
          <w:tcPr>
            <w:tcW w:w="139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 </w:t>
            </w:r>
          </w:p>
        </w:tc>
        <w:tc>
          <w:tcPr>
            <w:tcW w:w="745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360" w:right="0" w:firstLine="0"/>
              <w:jc w:val="left"/>
              <w:outlineLvl w:val="9"/>
              <w:rPr>
                <w:rFonts w:ascii="Times New Roman" w:eastAsia="Times New Roman" w:hAnsi="Times New Roman" w:cs="Times New Roman"/>
                <w:b w:val="0"/>
                <w:i w:val="0"/>
                <w:sz w:val="20"/>
                <w:shd w:val="clear" w:color="auto" w:fill="auto"/>
              </w:rPr>
            </w:pPr>
            <w:hyperlink w:anchor="Section7" w:history="1">
              <w:r>
                <w:rPr>
                  <w:rFonts w:ascii="Times New Roman" w:eastAsia="Times New Roman" w:hAnsi="Times New Roman" w:cs="Times New Roman"/>
                  <w:b w:val="0"/>
                  <w:i w:val="0"/>
                  <w:color w:val="000000"/>
                  <w:sz w:val="20"/>
                  <w:u w:val="single"/>
                  <w:shd w:val="clear" w:color="auto" w:fill="auto"/>
                </w:rPr>
                <w:t>Condensed Consolidated Balance Sheets</w:t>
              </w:r>
            </w:hyperlink>
          </w:p>
        </w:tc>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center"/>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val="0"/>
                <w:color w:val="000000"/>
                <w:sz w:val="20"/>
                <w:u w:val="single"/>
              </w:rPr>
              <w:fldChar w:fldCharType="begin"/>
            </w:r>
            <w:r>
              <w:rPr>
                <w:rFonts w:ascii="Times New Roman" w:eastAsia="Times New Roman" w:hAnsi="Times New Roman" w:cs="Times New Roman"/>
                <w:b w:val="0"/>
                <w:i w:val="0"/>
                <w:color w:val="000000"/>
                <w:sz w:val="20"/>
                <w:u w:val="single"/>
              </w:rPr>
              <w:instrText xml:space="preserve"> PAGEREF </w:instrText>
            </w:r>
            <w:r>
              <w:rPr>
                <w:rFonts w:ascii="Times New Roman" w:eastAsia="Times New Roman" w:hAnsi="Times New Roman" w:cs="Times New Roman"/>
                <w:b w:val="0"/>
                <w:i w:val="0"/>
                <w:color w:val="000000"/>
                <w:sz w:val="20"/>
                <w:u w:val="single"/>
              </w:rPr>
              <w:instrText xml:space="preserve"> </w:instrText>
            </w:r>
            <w:r>
              <w:rPr>
                <w:rFonts w:ascii="Times New Roman" w:eastAsia="Times New Roman" w:hAnsi="Times New Roman" w:cs="Times New Roman"/>
                <w:b w:val="0"/>
                <w:i w:val="0"/>
                <w:color w:val="000000"/>
                <w:sz w:val="20"/>
                <w:u w:val="single"/>
              </w:rPr>
              <w:instrText>Section7</w:instrText>
            </w:r>
            <w:r>
              <w:rPr>
                <w:rFonts w:ascii="Times New Roman" w:eastAsia="Times New Roman" w:hAnsi="Times New Roman" w:cs="Times New Roman"/>
                <w:b w:val="0"/>
                <w:i w:val="0"/>
                <w:color w:val="000000"/>
                <w:sz w:val="20"/>
                <w:u w:val="single"/>
              </w:rPr>
              <w:instrText xml:space="preserve"> \h</w:instrText>
            </w:r>
            <w:r>
              <w:rPr>
                <w:rFonts w:ascii="Times New Roman" w:eastAsia="Times New Roman" w:hAnsi="Times New Roman" w:cs="Times New Roman"/>
                <w:b w:val="0"/>
                <w:i w:val="0"/>
                <w:color w:val="000000"/>
                <w:sz w:val="20"/>
                <w:u w:val="single"/>
              </w:rPr>
              <w:fldChar w:fldCharType="separate"/>
            </w:r>
            <w:r>
              <w:rPr>
                <w:rFonts w:ascii="Times New Roman" w:eastAsia="Times New Roman" w:hAnsi="Times New Roman" w:cs="Times New Roman"/>
                <w:b w:val="0"/>
                <w:i w:val="0"/>
                <w:color w:val="000000"/>
                <w:sz w:val="20"/>
                <w:u w:val="single"/>
              </w:rPr>
              <w:t>3</w:t>
            </w:r>
            <w:r>
              <w:rPr>
                <w:rFonts w:ascii="Times New Roman" w:eastAsia="Times New Roman" w:hAnsi="Times New Roman" w:cs="Times New Roman"/>
                <w:b w:val="0"/>
                <w:i w:val="0"/>
                <w:color w:val="000000"/>
                <w:sz w:val="20"/>
                <w:u w:val="single"/>
              </w:rPr>
              <w:fldChar w:fldCharType="end"/>
            </w:r>
          </w:p>
        </w:tc>
      </w:tr>
      <w:tr>
        <w:tblPrEx>
          <w:tblW w:w="10245" w:type="dxa"/>
          <w:jc w:val="left"/>
          <w:tblInd w:w="0" w:type="dxa"/>
          <w:tblLayout w:type="fixed"/>
          <w:tblCellMar>
            <w:left w:w="108" w:type="dxa"/>
            <w:right w:w="108" w:type="dxa"/>
          </w:tblCellMar>
        </w:tblPrEx>
        <w:trPr>
          <w:cantSplit/>
          <w:trHeight w:hRule="exact" w:val="285"/>
          <w:jc w:val="left"/>
        </w:trPr>
        <w:tc>
          <w:tcPr>
            <w:tcW w:w="139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 </w:t>
            </w:r>
          </w:p>
        </w:tc>
        <w:tc>
          <w:tcPr>
            <w:tcW w:w="745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360" w:right="0" w:firstLine="0"/>
              <w:jc w:val="left"/>
              <w:outlineLvl w:val="9"/>
              <w:rPr>
                <w:rFonts w:ascii="Times New Roman" w:eastAsia="Times New Roman" w:hAnsi="Times New Roman" w:cs="Times New Roman"/>
                <w:b w:val="0"/>
                <w:i w:val="0"/>
                <w:sz w:val="20"/>
                <w:shd w:val="clear" w:color="auto" w:fill="auto"/>
              </w:rPr>
            </w:pPr>
            <w:hyperlink w:anchor="Section8" w:history="1">
              <w:r>
                <w:rPr>
                  <w:rFonts w:ascii="Times New Roman" w:eastAsia="Times New Roman" w:hAnsi="Times New Roman" w:cs="Times New Roman"/>
                  <w:b w:val="0"/>
                  <w:i w:val="0"/>
                  <w:color w:val="000000"/>
                  <w:sz w:val="20"/>
                  <w:u w:val="single"/>
                  <w:shd w:val="clear" w:color="auto" w:fill="auto"/>
                </w:rPr>
                <w:t>Condensed Consolidated Statements of Cash Flows</w:t>
              </w:r>
            </w:hyperlink>
          </w:p>
        </w:tc>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center"/>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val="0"/>
                <w:color w:val="000000"/>
                <w:sz w:val="20"/>
                <w:u w:val="single"/>
              </w:rPr>
              <w:fldChar w:fldCharType="begin"/>
            </w:r>
            <w:r>
              <w:rPr>
                <w:rFonts w:ascii="Times New Roman" w:eastAsia="Times New Roman" w:hAnsi="Times New Roman" w:cs="Times New Roman"/>
                <w:b w:val="0"/>
                <w:i w:val="0"/>
                <w:color w:val="000000"/>
                <w:sz w:val="20"/>
                <w:u w:val="single"/>
              </w:rPr>
              <w:instrText xml:space="preserve"> PAGEREF </w:instrText>
            </w:r>
            <w:r>
              <w:rPr>
                <w:rFonts w:ascii="Times New Roman" w:eastAsia="Times New Roman" w:hAnsi="Times New Roman" w:cs="Times New Roman"/>
                <w:b w:val="0"/>
                <w:i w:val="0"/>
                <w:color w:val="000000"/>
                <w:sz w:val="20"/>
                <w:u w:val="single"/>
              </w:rPr>
              <w:instrText xml:space="preserve"> </w:instrText>
            </w:r>
            <w:r>
              <w:rPr>
                <w:rFonts w:ascii="Times New Roman" w:eastAsia="Times New Roman" w:hAnsi="Times New Roman" w:cs="Times New Roman"/>
                <w:b w:val="0"/>
                <w:i w:val="0"/>
                <w:color w:val="000000"/>
                <w:sz w:val="20"/>
                <w:u w:val="single"/>
              </w:rPr>
              <w:instrText>Section8</w:instrText>
            </w:r>
            <w:r>
              <w:rPr>
                <w:rFonts w:ascii="Times New Roman" w:eastAsia="Times New Roman" w:hAnsi="Times New Roman" w:cs="Times New Roman"/>
                <w:b w:val="0"/>
                <w:i w:val="0"/>
                <w:color w:val="000000"/>
                <w:sz w:val="20"/>
                <w:u w:val="single"/>
              </w:rPr>
              <w:instrText xml:space="preserve"> \h</w:instrText>
            </w:r>
            <w:r>
              <w:rPr>
                <w:rFonts w:ascii="Times New Roman" w:eastAsia="Times New Roman" w:hAnsi="Times New Roman" w:cs="Times New Roman"/>
                <w:b w:val="0"/>
                <w:i w:val="0"/>
                <w:color w:val="000000"/>
                <w:sz w:val="20"/>
                <w:u w:val="single"/>
              </w:rPr>
              <w:fldChar w:fldCharType="separate"/>
            </w:r>
            <w:r>
              <w:rPr>
                <w:rFonts w:ascii="Times New Roman" w:eastAsia="Times New Roman" w:hAnsi="Times New Roman" w:cs="Times New Roman"/>
                <w:b w:val="0"/>
                <w:i w:val="0"/>
                <w:color w:val="000000"/>
                <w:sz w:val="20"/>
                <w:u w:val="single"/>
              </w:rPr>
              <w:t>4</w:t>
            </w:r>
            <w:r>
              <w:rPr>
                <w:rFonts w:ascii="Times New Roman" w:eastAsia="Times New Roman" w:hAnsi="Times New Roman" w:cs="Times New Roman"/>
                <w:b w:val="0"/>
                <w:i w:val="0"/>
                <w:color w:val="000000"/>
                <w:sz w:val="20"/>
                <w:u w:val="single"/>
              </w:rPr>
              <w:fldChar w:fldCharType="end"/>
            </w:r>
          </w:p>
        </w:tc>
      </w:tr>
      <w:tr>
        <w:tblPrEx>
          <w:tblW w:w="10245" w:type="dxa"/>
          <w:jc w:val="left"/>
          <w:tblInd w:w="0" w:type="dxa"/>
          <w:tblLayout w:type="fixed"/>
          <w:tblCellMar>
            <w:left w:w="108" w:type="dxa"/>
            <w:right w:w="108" w:type="dxa"/>
          </w:tblCellMar>
        </w:tblPrEx>
        <w:trPr>
          <w:cantSplit/>
          <w:trHeight w:hRule="exact" w:val="285"/>
          <w:jc w:val="left"/>
        </w:trPr>
        <w:tc>
          <w:tcPr>
            <w:tcW w:w="139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 </w:t>
            </w:r>
          </w:p>
        </w:tc>
        <w:tc>
          <w:tcPr>
            <w:tcW w:w="745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360" w:right="0" w:firstLine="0"/>
              <w:jc w:val="left"/>
              <w:outlineLvl w:val="9"/>
              <w:rPr>
                <w:rFonts w:ascii="Times New Roman" w:eastAsia="Times New Roman" w:hAnsi="Times New Roman" w:cs="Times New Roman"/>
                <w:b w:val="0"/>
                <w:i w:val="0"/>
                <w:sz w:val="20"/>
                <w:shd w:val="clear" w:color="auto" w:fill="auto"/>
              </w:rPr>
            </w:pPr>
            <w:hyperlink w:anchor="Section9" w:history="1">
              <w:r>
                <w:rPr>
                  <w:rFonts w:ascii="Times New Roman" w:eastAsia="Times New Roman" w:hAnsi="Times New Roman" w:cs="Times New Roman"/>
                  <w:b w:val="0"/>
                  <w:i w:val="0"/>
                  <w:color w:val="000000"/>
                  <w:sz w:val="20"/>
                  <w:u w:val="single"/>
                  <w:shd w:val="clear" w:color="auto" w:fill="auto"/>
                </w:rPr>
                <w:t>Notes to Condensed Consolidated Financial Statements</w:t>
              </w:r>
            </w:hyperlink>
          </w:p>
        </w:tc>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center"/>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val="0"/>
                <w:color w:val="000000"/>
                <w:sz w:val="20"/>
                <w:u w:val="single"/>
              </w:rPr>
              <w:fldChar w:fldCharType="begin"/>
            </w:r>
            <w:r>
              <w:rPr>
                <w:rFonts w:ascii="Times New Roman" w:eastAsia="Times New Roman" w:hAnsi="Times New Roman" w:cs="Times New Roman"/>
                <w:b w:val="0"/>
                <w:i w:val="0"/>
                <w:color w:val="000000"/>
                <w:sz w:val="20"/>
                <w:u w:val="single"/>
              </w:rPr>
              <w:instrText xml:space="preserve"> PAGEREF </w:instrText>
            </w:r>
            <w:r>
              <w:rPr>
                <w:rFonts w:ascii="Times New Roman" w:eastAsia="Times New Roman" w:hAnsi="Times New Roman" w:cs="Times New Roman"/>
                <w:b w:val="0"/>
                <w:i w:val="0"/>
                <w:color w:val="000000"/>
                <w:sz w:val="20"/>
                <w:u w:val="single"/>
              </w:rPr>
              <w:instrText xml:space="preserve"> </w:instrText>
            </w:r>
            <w:r>
              <w:rPr>
                <w:rFonts w:ascii="Times New Roman" w:eastAsia="Times New Roman" w:hAnsi="Times New Roman" w:cs="Times New Roman"/>
                <w:b w:val="0"/>
                <w:i w:val="0"/>
                <w:color w:val="000000"/>
                <w:sz w:val="20"/>
                <w:u w:val="single"/>
              </w:rPr>
              <w:instrText>Section9</w:instrText>
            </w:r>
            <w:r>
              <w:rPr>
                <w:rFonts w:ascii="Times New Roman" w:eastAsia="Times New Roman" w:hAnsi="Times New Roman" w:cs="Times New Roman"/>
                <w:b w:val="0"/>
                <w:i w:val="0"/>
                <w:color w:val="000000"/>
                <w:sz w:val="20"/>
                <w:u w:val="single"/>
              </w:rPr>
              <w:instrText xml:space="preserve"> \h</w:instrText>
            </w:r>
            <w:r>
              <w:rPr>
                <w:rFonts w:ascii="Times New Roman" w:eastAsia="Times New Roman" w:hAnsi="Times New Roman" w:cs="Times New Roman"/>
                <w:b w:val="0"/>
                <w:i w:val="0"/>
                <w:color w:val="000000"/>
                <w:sz w:val="20"/>
                <w:u w:val="single"/>
              </w:rPr>
              <w:fldChar w:fldCharType="separate"/>
            </w:r>
            <w:r>
              <w:rPr>
                <w:rFonts w:ascii="Times New Roman" w:eastAsia="Times New Roman" w:hAnsi="Times New Roman" w:cs="Times New Roman"/>
                <w:b w:val="0"/>
                <w:i w:val="0"/>
                <w:color w:val="000000"/>
                <w:sz w:val="20"/>
                <w:u w:val="single"/>
              </w:rPr>
              <w:t>5</w:t>
            </w:r>
            <w:r>
              <w:rPr>
                <w:rFonts w:ascii="Times New Roman" w:eastAsia="Times New Roman" w:hAnsi="Times New Roman" w:cs="Times New Roman"/>
                <w:b w:val="0"/>
                <w:i w:val="0"/>
                <w:color w:val="000000"/>
                <w:sz w:val="20"/>
                <w:u w:val="single"/>
              </w:rPr>
              <w:fldChar w:fldCharType="end"/>
            </w:r>
          </w:p>
        </w:tc>
      </w:tr>
      <w:tr>
        <w:tblPrEx>
          <w:tblW w:w="10245" w:type="dxa"/>
          <w:jc w:val="left"/>
          <w:tblInd w:w="0" w:type="dxa"/>
          <w:tblLayout w:type="fixed"/>
          <w:tblCellMar>
            <w:left w:w="108" w:type="dxa"/>
            <w:right w:w="108" w:type="dxa"/>
          </w:tblCellMar>
        </w:tblPrEx>
        <w:trPr>
          <w:cantSplit/>
          <w:trHeight w:hRule="exact" w:val="285"/>
          <w:jc w:val="left"/>
        </w:trPr>
        <w:tc>
          <w:tcPr>
            <w:tcW w:w="13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45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720" w:right="0" w:firstLine="0"/>
              <w:jc w:val="left"/>
              <w:outlineLvl w:val="9"/>
              <w:rPr>
                <w:rFonts w:ascii="Times New Roman" w:eastAsia="Times New Roman" w:hAnsi="Times New Roman" w:cs="Times New Roman"/>
                <w:b w:val="0"/>
                <w:i w:val="0"/>
                <w:color w:val="000000"/>
                <w:sz w:val="20"/>
                <w:u w:val="single"/>
                <w:shd w:val="clear" w:color="auto" w:fill="auto"/>
              </w:rPr>
            </w:pPr>
            <w:hyperlink w:anchor="Section10" w:history="1">
              <w:r>
                <w:rPr>
                  <w:rFonts w:ascii="Times New Roman" w:eastAsia="Times New Roman" w:hAnsi="Times New Roman" w:cs="Times New Roman"/>
                  <w:b w:val="0"/>
                  <w:i w:val="0"/>
                  <w:color w:val="000000"/>
                  <w:sz w:val="20"/>
                  <w:u w:val="single"/>
                  <w:shd w:val="clear" w:color="auto" w:fill="auto"/>
                </w:rPr>
                <w:t>No</w:t>
              </w:r>
            </w:hyperlink>
            <w:hyperlink w:anchor="Section10" w:history="1">
              <w:r>
                <w:rPr>
                  <w:rFonts w:ascii="Times New Roman" w:eastAsia="Times New Roman" w:hAnsi="Times New Roman" w:cs="Times New Roman"/>
                  <w:b w:val="0"/>
                  <w:i w:val="0"/>
                  <w:color w:val="000000"/>
                  <w:sz w:val="20"/>
                  <w:u w:val="single"/>
                  <w:shd w:val="clear" w:color="auto" w:fill="auto"/>
                </w:rPr>
                <w:t xml:space="preserve">te </w:t>
              </w:r>
            </w:hyperlink>
            <w:r>
              <w:rPr>
                <w:rFonts w:ascii="Times New Roman" w:eastAsia="Times New Roman" w:hAnsi="Times New Roman" w:cs="Times New Roman"/>
                <w:b w:val="0"/>
                <w:i w:val="0"/>
                <w:color w:val="000000"/>
                <w:sz w:val="20"/>
                <w:u w:val="single"/>
              </w:rPr>
              <w:t>1</w:t>
            </w:r>
            <w:hyperlink w:anchor="Section10" w:history="1">
              <w:r>
                <w:rPr>
                  <w:rFonts w:ascii="Times New Roman" w:eastAsia="Times New Roman" w:hAnsi="Times New Roman" w:cs="Times New Roman"/>
                  <w:b w:val="0"/>
                  <w:i w:val="0"/>
                  <w:color w:val="000000"/>
                  <w:sz w:val="20"/>
                  <w:u w:val="single"/>
                  <w:shd w:val="clear" w:color="auto" w:fill="auto"/>
                </w:rPr>
                <w:t>. Ba</w:t>
              </w:r>
            </w:hyperlink>
            <w:hyperlink w:anchor="Section10" w:history="1">
              <w:r>
                <w:rPr>
                  <w:rFonts w:ascii="Times New Roman" w:eastAsia="Times New Roman" w:hAnsi="Times New Roman" w:cs="Times New Roman"/>
                  <w:b w:val="0"/>
                  <w:i w:val="0"/>
                  <w:color w:val="000000"/>
                  <w:sz w:val="20"/>
                  <w:u w:val="single"/>
                  <w:shd w:val="clear" w:color="auto" w:fill="auto"/>
                </w:rPr>
                <w:t>sis of Presentation</w:t>
              </w:r>
            </w:hyperlink>
          </w:p>
        </w:tc>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00"/>
                <w:sz w:val="20"/>
                <w:u w:val="single"/>
              </w:rPr>
              <w:fldChar w:fldCharType="begin"/>
            </w:r>
            <w:r>
              <w:rPr>
                <w:rFonts w:ascii="Times New Roman" w:eastAsia="Times New Roman" w:hAnsi="Times New Roman" w:cs="Times New Roman"/>
                <w:b w:val="0"/>
                <w:i w:val="0"/>
                <w:color w:val="000000"/>
                <w:sz w:val="20"/>
                <w:u w:val="single"/>
              </w:rPr>
              <w:instrText xml:space="preserve"> PAGEREF </w:instrText>
            </w:r>
            <w:r>
              <w:rPr>
                <w:rFonts w:ascii="Times New Roman" w:eastAsia="Times New Roman" w:hAnsi="Times New Roman" w:cs="Times New Roman"/>
                <w:b w:val="0"/>
                <w:i w:val="0"/>
                <w:color w:val="000000"/>
                <w:sz w:val="20"/>
                <w:u w:val="single"/>
              </w:rPr>
              <w:instrText xml:space="preserve"> </w:instrText>
            </w:r>
            <w:r>
              <w:rPr>
                <w:rFonts w:ascii="Times New Roman" w:eastAsia="Times New Roman" w:hAnsi="Times New Roman" w:cs="Times New Roman"/>
                <w:b w:val="0"/>
                <w:i w:val="0"/>
                <w:color w:val="000000"/>
                <w:sz w:val="20"/>
                <w:u w:val="single"/>
              </w:rPr>
              <w:instrText>Section10</w:instrText>
            </w:r>
            <w:r>
              <w:rPr>
                <w:rFonts w:ascii="Times New Roman" w:eastAsia="Times New Roman" w:hAnsi="Times New Roman" w:cs="Times New Roman"/>
                <w:b w:val="0"/>
                <w:i w:val="0"/>
                <w:color w:val="000000"/>
                <w:sz w:val="20"/>
                <w:u w:val="single"/>
              </w:rPr>
              <w:instrText xml:space="preserve"> \h</w:instrText>
            </w:r>
            <w:r>
              <w:rPr>
                <w:rFonts w:ascii="Times New Roman" w:eastAsia="Times New Roman" w:hAnsi="Times New Roman" w:cs="Times New Roman"/>
                <w:b w:val="0"/>
                <w:i w:val="0"/>
                <w:color w:val="000000"/>
                <w:sz w:val="20"/>
                <w:u w:val="single"/>
              </w:rPr>
              <w:fldChar w:fldCharType="separate"/>
            </w:r>
            <w:r>
              <w:rPr>
                <w:rFonts w:ascii="Times New Roman" w:eastAsia="Times New Roman" w:hAnsi="Times New Roman" w:cs="Times New Roman"/>
                <w:b w:val="0"/>
                <w:i w:val="0"/>
                <w:color w:val="000000"/>
                <w:sz w:val="20"/>
                <w:u w:val="single"/>
              </w:rPr>
              <w:t>5</w:t>
            </w:r>
            <w:r>
              <w:rPr>
                <w:rFonts w:ascii="Times New Roman" w:eastAsia="Times New Roman" w:hAnsi="Times New Roman" w:cs="Times New Roman"/>
                <w:b w:val="0"/>
                <w:i w:val="0"/>
                <w:color w:val="000000"/>
                <w:sz w:val="20"/>
                <w:u w:val="single"/>
              </w:rPr>
              <w:fldChar w:fldCharType="end"/>
            </w:r>
          </w:p>
        </w:tc>
      </w:tr>
      <w:tr>
        <w:tblPrEx>
          <w:tblW w:w="10245" w:type="dxa"/>
          <w:jc w:val="left"/>
          <w:tblInd w:w="0" w:type="dxa"/>
          <w:tblLayout w:type="fixed"/>
          <w:tblCellMar>
            <w:left w:w="108" w:type="dxa"/>
            <w:right w:w="108" w:type="dxa"/>
          </w:tblCellMar>
        </w:tblPrEx>
        <w:trPr>
          <w:cantSplit/>
          <w:trHeight w:hRule="exact" w:val="285"/>
          <w:jc w:val="left"/>
        </w:trPr>
        <w:tc>
          <w:tcPr>
            <w:tcW w:w="13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45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720" w:right="0" w:firstLine="0"/>
              <w:jc w:val="left"/>
              <w:outlineLvl w:val="9"/>
              <w:rPr>
                <w:rFonts w:ascii="Times New Roman" w:eastAsia="Times New Roman" w:hAnsi="Times New Roman" w:cs="Times New Roman"/>
                <w:b w:val="0"/>
                <w:i w:val="0"/>
                <w:color w:val="000000"/>
                <w:sz w:val="20"/>
                <w:u w:val="single"/>
                <w:shd w:val="clear" w:color="auto" w:fill="auto"/>
              </w:rPr>
            </w:pPr>
            <w:hyperlink w:anchor="Section11" w:history="1">
              <w:r>
                <w:rPr>
                  <w:rFonts w:ascii="Times New Roman" w:eastAsia="Times New Roman" w:hAnsi="Times New Roman" w:cs="Times New Roman"/>
                  <w:b w:val="0"/>
                  <w:i w:val="0"/>
                  <w:color w:val="000000"/>
                  <w:sz w:val="20"/>
                  <w:u w:val="single"/>
                  <w:shd w:val="clear" w:color="auto" w:fill="auto"/>
                </w:rPr>
                <w:t xml:space="preserve">Note </w:t>
              </w:r>
            </w:hyperlink>
            <w:r>
              <w:rPr>
                <w:rFonts w:ascii="Times New Roman" w:eastAsia="Times New Roman" w:hAnsi="Times New Roman" w:cs="Times New Roman"/>
                <w:b w:val="0"/>
                <w:i w:val="0"/>
                <w:color w:val="000000"/>
                <w:sz w:val="20"/>
                <w:u w:val="single"/>
              </w:rPr>
              <w:t>2</w:t>
            </w:r>
            <w:hyperlink w:anchor="Section11" w:history="1">
              <w:r>
                <w:rPr>
                  <w:rFonts w:ascii="Times New Roman" w:eastAsia="Times New Roman" w:hAnsi="Times New Roman" w:cs="Times New Roman"/>
                  <w:b w:val="0"/>
                  <w:i w:val="0"/>
                  <w:color w:val="000000"/>
                  <w:sz w:val="20"/>
                  <w:u w:val="single"/>
                  <w:shd w:val="clear" w:color="auto" w:fill="auto"/>
                </w:rPr>
                <w:t>. Impairments and Other Charges</w:t>
              </w:r>
            </w:hyperlink>
          </w:p>
        </w:tc>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00"/>
                <w:sz w:val="20"/>
                <w:u w:val="single"/>
              </w:rPr>
              <w:fldChar w:fldCharType="begin"/>
            </w:r>
            <w:r>
              <w:rPr>
                <w:rFonts w:ascii="Times New Roman" w:eastAsia="Times New Roman" w:hAnsi="Times New Roman" w:cs="Times New Roman"/>
                <w:b w:val="0"/>
                <w:i w:val="0"/>
                <w:color w:val="000000"/>
                <w:sz w:val="20"/>
                <w:u w:val="single"/>
              </w:rPr>
              <w:instrText xml:space="preserve"> PAGEREF </w:instrText>
            </w:r>
            <w:r>
              <w:rPr>
                <w:rFonts w:ascii="Times New Roman" w:eastAsia="Times New Roman" w:hAnsi="Times New Roman" w:cs="Times New Roman"/>
                <w:b w:val="0"/>
                <w:i w:val="0"/>
                <w:color w:val="000000"/>
                <w:sz w:val="20"/>
                <w:u w:val="single"/>
              </w:rPr>
              <w:instrText xml:space="preserve"> </w:instrText>
            </w:r>
            <w:r>
              <w:rPr>
                <w:rFonts w:ascii="Times New Roman" w:eastAsia="Times New Roman" w:hAnsi="Times New Roman" w:cs="Times New Roman"/>
                <w:b w:val="0"/>
                <w:i w:val="0"/>
                <w:color w:val="000000"/>
                <w:sz w:val="20"/>
                <w:u w:val="single"/>
              </w:rPr>
              <w:instrText>Section11</w:instrText>
            </w:r>
            <w:r>
              <w:rPr>
                <w:rFonts w:ascii="Times New Roman" w:eastAsia="Times New Roman" w:hAnsi="Times New Roman" w:cs="Times New Roman"/>
                <w:b w:val="0"/>
                <w:i w:val="0"/>
                <w:color w:val="000000"/>
                <w:sz w:val="20"/>
                <w:u w:val="single"/>
              </w:rPr>
              <w:instrText xml:space="preserve"> \h</w:instrText>
            </w:r>
            <w:r>
              <w:rPr>
                <w:rFonts w:ascii="Times New Roman" w:eastAsia="Times New Roman" w:hAnsi="Times New Roman" w:cs="Times New Roman"/>
                <w:b w:val="0"/>
                <w:i w:val="0"/>
                <w:color w:val="000000"/>
                <w:sz w:val="20"/>
                <w:u w:val="single"/>
              </w:rPr>
              <w:fldChar w:fldCharType="separate"/>
            </w:r>
            <w:r>
              <w:rPr>
                <w:rFonts w:ascii="Times New Roman" w:eastAsia="Times New Roman" w:hAnsi="Times New Roman" w:cs="Times New Roman"/>
                <w:b w:val="0"/>
                <w:i w:val="0"/>
                <w:color w:val="000000"/>
                <w:sz w:val="20"/>
                <w:u w:val="single"/>
              </w:rPr>
              <w:t>5</w:t>
            </w:r>
            <w:r>
              <w:rPr>
                <w:rFonts w:ascii="Times New Roman" w:eastAsia="Times New Roman" w:hAnsi="Times New Roman" w:cs="Times New Roman"/>
                <w:b w:val="0"/>
                <w:i w:val="0"/>
                <w:color w:val="000000"/>
                <w:sz w:val="20"/>
                <w:u w:val="single"/>
              </w:rPr>
              <w:fldChar w:fldCharType="end"/>
            </w:r>
          </w:p>
        </w:tc>
      </w:tr>
      <w:tr>
        <w:tblPrEx>
          <w:tblW w:w="10245" w:type="dxa"/>
          <w:jc w:val="left"/>
          <w:tblInd w:w="0" w:type="dxa"/>
          <w:tblLayout w:type="fixed"/>
          <w:tblCellMar>
            <w:left w:w="108" w:type="dxa"/>
            <w:right w:w="108" w:type="dxa"/>
          </w:tblCellMar>
        </w:tblPrEx>
        <w:trPr>
          <w:cantSplit/>
          <w:trHeight w:hRule="exact" w:val="285"/>
          <w:jc w:val="left"/>
        </w:trPr>
        <w:tc>
          <w:tcPr>
            <w:tcW w:w="13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45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720" w:right="0" w:firstLine="0"/>
              <w:jc w:val="left"/>
              <w:outlineLvl w:val="9"/>
              <w:rPr>
                <w:rFonts w:ascii="Times New Roman" w:eastAsia="Times New Roman" w:hAnsi="Times New Roman" w:cs="Times New Roman"/>
                <w:b w:val="0"/>
                <w:i w:val="0"/>
                <w:color w:val="000000"/>
                <w:sz w:val="20"/>
                <w:u w:val="single"/>
                <w:shd w:val="clear" w:color="auto" w:fill="auto"/>
              </w:rPr>
            </w:pPr>
            <w:hyperlink w:anchor="Section14" w:history="1">
              <w:r>
                <w:rPr>
                  <w:rFonts w:ascii="Times New Roman" w:eastAsia="Times New Roman" w:hAnsi="Times New Roman" w:cs="Times New Roman"/>
                  <w:b w:val="0"/>
                  <w:i w:val="0"/>
                  <w:color w:val="000000"/>
                  <w:sz w:val="20"/>
                  <w:u w:val="single"/>
                  <w:shd w:val="clear" w:color="auto" w:fill="auto"/>
                </w:rPr>
                <w:t xml:space="preserve">Note </w:t>
              </w:r>
            </w:hyperlink>
            <w:r>
              <w:rPr>
                <w:rFonts w:ascii="Times New Roman" w:eastAsia="Times New Roman" w:hAnsi="Times New Roman" w:cs="Times New Roman"/>
                <w:b w:val="0"/>
                <w:i w:val="0"/>
                <w:color w:val="000000"/>
                <w:sz w:val="20"/>
                <w:u w:val="single"/>
              </w:rPr>
              <w:t>3</w:t>
            </w:r>
            <w:hyperlink w:anchor="Section14" w:history="1">
              <w:r>
                <w:rPr>
                  <w:rFonts w:ascii="Times New Roman" w:eastAsia="Times New Roman" w:hAnsi="Times New Roman" w:cs="Times New Roman"/>
                  <w:b w:val="0"/>
                  <w:i w:val="0"/>
                  <w:color w:val="000000"/>
                  <w:sz w:val="20"/>
                  <w:u w:val="single"/>
                  <w:shd w:val="clear" w:color="auto" w:fill="auto"/>
                </w:rPr>
                <w:t>. Business Segment Information</w:t>
              </w:r>
            </w:hyperlink>
          </w:p>
        </w:tc>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00"/>
                <w:sz w:val="20"/>
                <w:u w:val="single"/>
              </w:rPr>
              <w:fldChar w:fldCharType="begin"/>
            </w:r>
            <w:r>
              <w:rPr>
                <w:rFonts w:ascii="Times New Roman" w:eastAsia="Times New Roman" w:hAnsi="Times New Roman" w:cs="Times New Roman"/>
                <w:b w:val="0"/>
                <w:i w:val="0"/>
                <w:color w:val="000000"/>
                <w:sz w:val="20"/>
                <w:u w:val="single"/>
              </w:rPr>
              <w:instrText xml:space="preserve"> PAGEREF </w:instrText>
            </w:r>
            <w:r>
              <w:rPr>
                <w:rFonts w:ascii="Times New Roman" w:eastAsia="Times New Roman" w:hAnsi="Times New Roman" w:cs="Times New Roman"/>
                <w:b w:val="0"/>
                <w:i w:val="0"/>
                <w:color w:val="000000"/>
                <w:sz w:val="20"/>
                <w:u w:val="single"/>
              </w:rPr>
              <w:instrText xml:space="preserve"> </w:instrText>
            </w:r>
            <w:r>
              <w:rPr>
                <w:rFonts w:ascii="Times New Roman" w:eastAsia="Times New Roman" w:hAnsi="Times New Roman" w:cs="Times New Roman"/>
                <w:b w:val="0"/>
                <w:i w:val="0"/>
                <w:color w:val="000000"/>
                <w:sz w:val="20"/>
                <w:u w:val="single"/>
              </w:rPr>
              <w:instrText>Section14</w:instrText>
            </w:r>
            <w:r>
              <w:rPr>
                <w:rFonts w:ascii="Times New Roman" w:eastAsia="Times New Roman" w:hAnsi="Times New Roman" w:cs="Times New Roman"/>
                <w:b w:val="0"/>
                <w:i w:val="0"/>
                <w:color w:val="000000"/>
                <w:sz w:val="20"/>
                <w:u w:val="single"/>
              </w:rPr>
              <w:instrText xml:space="preserve"> \h</w:instrText>
            </w:r>
            <w:r>
              <w:rPr>
                <w:rFonts w:ascii="Times New Roman" w:eastAsia="Times New Roman" w:hAnsi="Times New Roman" w:cs="Times New Roman"/>
                <w:b w:val="0"/>
                <w:i w:val="0"/>
                <w:color w:val="000000"/>
                <w:sz w:val="20"/>
                <w:u w:val="single"/>
              </w:rPr>
              <w:fldChar w:fldCharType="separate"/>
            </w:r>
            <w:r>
              <w:rPr>
                <w:rFonts w:ascii="Times New Roman" w:eastAsia="Times New Roman" w:hAnsi="Times New Roman" w:cs="Times New Roman"/>
                <w:b w:val="0"/>
                <w:i w:val="0"/>
                <w:color w:val="000000"/>
                <w:sz w:val="20"/>
                <w:u w:val="single"/>
              </w:rPr>
              <w:t>6</w:t>
            </w:r>
            <w:r>
              <w:rPr>
                <w:rFonts w:ascii="Times New Roman" w:eastAsia="Times New Roman" w:hAnsi="Times New Roman" w:cs="Times New Roman"/>
                <w:b w:val="0"/>
                <w:i w:val="0"/>
                <w:color w:val="000000"/>
                <w:sz w:val="20"/>
                <w:u w:val="single"/>
              </w:rPr>
              <w:fldChar w:fldCharType="end"/>
            </w:r>
          </w:p>
        </w:tc>
      </w:tr>
      <w:tr>
        <w:tblPrEx>
          <w:tblW w:w="10245" w:type="dxa"/>
          <w:jc w:val="left"/>
          <w:tblInd w:w="0" w:type="dxa"/>
          <w:tblLayout w:type="fixed"/>
          <w:tblCellMar>
            <w:left w:w="108" w:type="dxa"/>
            <w:right w:w="108" w:type="dxa"/>
          </w:tblCellMar>
        </w:tblPrEx>
        <w:trPr>
          <w:cantSplit/>
          <w:trHeight w:hRule="exact" w:val="285"/>
          <w:jc w:val="left"/>
        </w:trPr>
        <w:tc>
          <w:tcPr>
            <w:tcW w:w="13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45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720" w:right="0" w:firstLine="0"/>
              <w:jc w:val="left"/>
              <w:outlineLvl w:val="9"/>
              <w:rPr>
                <w:rFonts w:ascii="Times New Roman" w:eastAsia="Times New Roman" w:hAnsi="Times New Roman" w:cs="Times New Roman"/>
                <w:b w:val="0"/>
                <w:i w:val="0"/>
                <w:color w:val="000000"/>
                <w:sz w:val="20"/>
                <w:u w:val="single"/>
                <w:shd w:val="clear" w:color="auto" w:fill="auto"/>
              </w:rPr>
            </w:pPr>
            <w:hyperlink w:anchor="Section16" w:history="1">
              <w:r>
                <w:rPr>
                  <w:rFonts w:ascii="Times New Roman" w:eastAsia="Times New Roman" w:hAnsi="Times New Roman" w:cs="Times New Roman"/>
                  <w:b w:val="0"/>
                  <w:i w:val="0"/>
                  <w:color w:val="000000"/>
                  <w:sz w:val="20"/>
                  <w:u w:val="single"/>
                  <w:shd w:val="clear" w:color="auto" w:fill="auto"/>
                </w:rPr>
                <w:t xml:space="preserve">Note </w:t>
              </w:r>
            </w:hyperlink>
            <w:r>
              <w:rPr>
                <w:rFonts w:ascii="Times New Roman" w:eastAsia="Times New Roman" w:hAnsi="Times New Roman" w:cs="Times New Roman"/>
                <w:b w:val="0"/>
                <w:i w:val="0"/>
                <w:color w:val="000000"/>
                <w:sz w:val="20"/>
                <w:u w:val="single"/>
              </w:rPr>
              <w:t>4</w:t>
            </w:r>
            <w:hyperlink w:anchor="Section16" w:history="1">
              <w:r>
                <w:rPr>
                  <w:rFonts w:ascii="Times New Roman" w:eastAsia="Times New Roman" w:hAnsi="Times New Roman" w:cs="Times New Roman"/>
                  <w:b w:val="0"/>
                  <w:i w:val="0"/>
                  <w:color w:val="000000"/>
                  <w:sz w:val="20"/>
                  <w:u w:val="single"/>
                  <w:shd w:val="clear" w:color="auto" w:fill="auto"/>
                </w:rPr>
                <w:t>. Revenue</w:t>
              </w:r>
            </w:hyperlink>
          </w:p>
        </w:tc>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00"/>
                <w:sz w:val="20"/>
                <w:u w:val="single"/>
              </w:rPr>
              <w:fldChar w:fldCharType="begin"/>
            </w:r>
            <w:r>
              <w:rPr>
                <w:rFonts w:ascii="Times New Roman" w:eastAsia="Times New Roman" w:hAnsi="Times New Roman" w:cs="Times New Roman"/>
                <w:b w:val="0"/>
                <w:i w:val="0"/>
                <w:color w:val="000000"/>
                <w:sz w:val="20"/>
                <w:u w:val="single"/>
              </w:rPr>
              <w:instrText xml:space="preserve"> PAGEREF </w:instrText>
            </w:r>
            <w:r>
              <w:rPr>
                <w:rFonts w:ascii="Times New Roman" w:eastAsia="Times New Roman" w:hAnsi="Times New Roman" w:cs="Times New Roman"/>
                <w:b w:val="0"/>
                <w:i w:val="0"/>
                <w:color w:val="000000"/>
                <w:sz w:val="20"/>
                <w:u w:val="single"/>
              </w:rPr>
              <w:instrText xml:space="preserve"> </w:instrText>
            </w:r>
            <w:r>
              <w:rPr>
                <w:rFonts w:ascii="Times New Roman" w:eastAsia="Times New Roman" w:hAnsi="Times New Roman" w:cs="Times New Roman"/>
                <w:b w:val="0"/>
                <w:i w:val="0"/>
                <w:color w:val="000000"/>
                <w:sz w:val="20"/>
                <w:u w:val="single"/>
              </w:rPr>
              <w:instrText>Section16</w:instrText>
            </w:r>
            <w:r>
              <w:rPr>
                <w:rFonts w:ascii="Times New Roman" w:eastAsia="Times New Roman" w:hAnsi="Times New Roman" w:cs="Times New Roman"/>
                <w:b w:val="0"/>
                <w:i w:val="0"/>
                <w:color w:val="000000"/>
                <w:sz w:val="20"/>
                <w:u w:val="single"/>
              </w:rPr>
              <w:instrText xml:space="preserve"> \h</w:instrText>
            </w:r>
            <w:r>
              <w:rPr>
                <w:rFonts w:ascii="Times New Roman" w:eastAsia="Times New Roman" w:hAnsi="Times New Roman" w:cs="Times New Roman"/>
                <w:b w:val="0"/>
                <w:i w:val="0"/>
                <w:color w:val="000000"/>
                <w:sz w:val="20"/>
                <w:u w:val="single"/>
              </w:rPr>
              <w:fldChar w:fldCharType="separate"/>
            </w:r>
            <w:r>
              <w:rPr>
                <w:rFonts w:ascii="Times New Roman" w:eastAsia="Times New Roman" w:hAnsi="Times New Roman" w:cs="Times New Roman"/>
                <w:b w:val="0"/>
                <w:i w:val="0"/>
                <w:color w:val="000000"/>
                <w:sz w:val="20"/>
                <w:u w:val="single"/>
              </w:rPr>
              <w:t>8</w:t>
            </w:r>
            <w:r>
              <w:rPr>
                <w:rFonts w:ascii="Times New Roman" w:eastAsia="Times New Roman" w:hAnsi="Times New Roman" w:cs="Times New Roman"/>
                <w:b w:val="0"/>
                <w:i w:val="0"/>
                <w:color w:val="000000"/>
                <w:sz w:val="20"/>
                <w:u w:val="single"/>
              </w:rPr>
              <w:fldChar w:fldCharType="end"/>
            </w:r>
          </w:p>
        </w:tc>
      </w:tr>
      <w:tr>
        <w:tblPrEx>
          <w:tblW w:w="10245" w:type="dxa"/>
          <w:jc w:val="left"/>
          <w:tblInd w:w="0" w:type="dxa"/>
          <w:tblLayout w:type="fixed"/>
          <w:tblCellMar>
            <w:left w:w="108" w:type="dxa"/>
            <w:right w:w="108" w:type="dxa"/>
          </w:tblCellMar>
        </w:tblPrEx>
        <w:trPr>
          <w:cantSplit/>
          <w:trHeight w:hRule="exact" w:val="285"/>
          <w:jc w:val="left"/>
        </w:trPr>
        <w:tc>
          <w:tcPr>
            <w:tcW w:w="13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45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720" w:right="0" w:firstLine="0"/>
              <w:jc w:val="left"/>
              <w:outlineLvl w:val="9"/>
              <w:rPr>
                <w:rFonts w:ascii="Times New Roman" w:eastAsia="Times New Roman" w:hAnsi="Times New Roman" w:cs="Times New Roman"/>
                <w:b w:val="0"/>
                <w:i w:val="0"/>
                <w:color w:val="000000"/>
                <w:sz w:val="20"/>
                <w:u w:val="single"/>
                <w:shd w:val="clear" w:color="auto" w:fill="auto"/>
              </w:rPr>
            </w:pPr>
            <w:hyperlink w:anchor="Section20" w:history="1">
              <w:r>
                <w:rPr>
                  <w:rFonts w:ascii="Times New Roman" w:eastAsia="Times New Roman" w:hAnsi="Times New Roman" w:cs="Times New Roman"/>
                  <w:b w:val="0"/>
                  <w:i w:val="0"/>
                  <w:color w:val="000000"/>
                  <w:sz w:val="20"/>
                  <w:u w:val="single"/>
                  <w:shd w:val="clear" w:color="auto" w:fill="auto"/>
                </w:rPr>
                <w:t xml:space="preserve">Note </w:t>
              </w:r>
            </w:hyperlink>
            <w:r>
              <w:rPr>
                <w:rFonts w:ascii="Times New Roman" w:eastAsia="Times New Roman" w:hAnsi="Times New Roman" w:cs="Times New Roman"/>
                <w:b w:val="0"/>
                <w:i w:val="0"/>
                <w:color w:val="000000"/>
                <w:sz w:val="20"/>
                <w:u w:val="single"/>
              </w:rPr>
              <w:t>5</w:t>
            </w:r>
            <w:hyperlink w:anchor="Section20" w:history="1">
              <w:r>
                <w:rPr>
                  <w:rFonts w:ascii="Times New Roman" w:eastAsia="Times New Roman" w:hAnsi="Times New Roman" w:cs="Times New Roman"/>
                  <w:b w:val="0"/>
                  <w:i w:val="0"/>
                  <w:color w:val="000000"/>
                  <w:sz w:val="20"/>
                  <w:u w:val="single"/>
                  <w:shd w:val="clear" w:color="auto" w:fill="auto"/>
                </w:rPr>
                <w:t>. Inventories</w:t>
              </w:r>
            </w:hyperlink>
          </w:p>
        </w:tc>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00"/>
                <w:sz w:val="20"/>
                <w:u w:val="single"/>
              </w:rPr>
              <w:fldChar w:fldCharType="begin"/>
            </w:r>
            <w:r>
              <w:rPr>
                <w:rFonts w:ascii="Times New Roman" w:eastAsia="Times New Roman" w:hAnsi="Times New Roman" w:cs="Times New Roman"/>
                <w:b w:val="0"/>
                <w:i w:val="0"/>
                <w:color w:val="000000"/>
                <w:sz w:val="20"/>
                <w:u w:val="single"/>
              </w:rPr>
              <w:instrText xml:space="preserve"> PAGEREF </w:instrText>
            </w:r>
            <w:r>
              <w:rPr>
                <w:rFonts w:ascii="Times New Roman" w:eastAsia="Times New Roman" w:hAnsi="Times New Roman" w:cs="Times New Roman"/>
                <w:b w:val="0"/>
                <w:i w:val="0"/>
                <w:color w:val="000000"/>
                <w:sz w:val="20"/>
                <w:u w:val="single"/>
              </w:rPr>
              <w:instrText xml:space="preserve"> </w:instrText>
            </w:r>
            <w:r>
              <w:rPr>
                <w:rFonts w:ascii="Times New Roman" w:eastAsia="Times New Roman" w:hAnsi="Times New Roman" w:cs="Times New Roman"/>
                <w:b w:val="0"/>
                <w:i w:val="0"/>
                <w:color w:val="000000"/>
                <w:sz w:val="20"/>
                <w:u w:val="single"/>
              </w:rPr>
              <w:instrText>Section20</w:instrText>
            </w:r>
            <w:r>
              <w:rPr>
                <w:rFonts w:ascii="Times New Roman" w:eastAsia="Times New Roman" w:hAnsi="Times New Roman" w:cs="Times New Roman"/>
                <w:b w:val="0"/>
                <w:i w:val="0"/>
                <w:color w:val="000000"/>
                <w:sz w:val="20"/>
                <w:u w:val="single"/>
              </w:rPr>
              <w:instrText xml:space="preserve"> \h</w:instrText>
            </w:r>
            <w:r>
              <w:rPr>
                <w:rFonts w:ascii="Times New Roman" w:eastAsia="Times New Roman" w:hAnsi="Times New Roman" w:cs="Times New Roman"/>
                <w:b w:val="0"/>
                <w:i w:val="0"/>
                <w:color w:val="000000"/>
                <w:sz w:val="20"/>
                <w:u w:val="single"/>
              </w:rPr>
              <w:fldChar w:fldCharType="separate"/>
            </w:r>
            <w:r>
              <w:rPr>
                <w:rFonts w:ascii="Times New Roman" w:eastAsia="Times New Roman" w:hAnsi="Times New Roman" w:cs="Times New Roman"/>
                <w:b w:val="0"/>
                <w:i w:val="0"/>
                <w:color w:val="000000"/>
                <w:sz w:val="20"/>
                <w:u w:val="single"/>
              </w:rPr>
              <w:t>9</w:t>
            </w:r>
            <w:r>
              <w:rPr>
                <w:rFonts w:ascii="Times New Roman" w:eastAsia="Times New Roman" w:hAnsi="Times New Roman" w:cs="Times New Roman"/>
                <w:b w:val="0"/>
                <w:i w:val="0"/>
                <w:color w:val="000000"/>
                <w:sz w:val="20"/>
                <w:u w:val="single"/>
              </w:rPr>
              <w:fldChar w:fldCharType="end"/>
            </w:r>
          </w:p>
        </w:tc>
      </w:tr>
      <w:tr>
        <w:tblPrEx>
          <w:tblW w:w="10245" w:type="dxa"/>
          <w:jc w:val="left"/>
          <w:tblInd w:w="0" w:type="dxa"/>
          <w:tblLayout w:type="fixed"/>
          <w:tblCellMar>
            <w:left w:w="108" w:type="dxa"/>
            <w:right w:w="108" w:type="dxa"/>
          </w:tblCellMar>
        </w:tblPrEx>
        <w:trPr>
          <w:cantSplit/>
          <w:trHeight w:hRule="exact" w:val="285"/>
          <w:jc w:val="left"/>
        </w:trPr>
        <w:tc>
          <w:tcPr>
            <w:tcW w:w="13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45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720" w:right="0" w:firstLine="0"/>
              <w:jc w:val="left"/>
              <w:outlineLvl w:val="9"/>
              <w:rPr>
                <w:rFonts w:ascii="Times New Roman" w:eastAsia="Times New Roman" w:hAnsi="Times New Roman" w:cs="Times New Roman"/>
                <w:b w:val="0"/>
                <w:i w:val="0"/>
                <w:color w:val="000000"/>
                <w:sz w:val="20"/>
                <w:u w:val="single"/>
                <w:shd w:val="clear" w:color="auto" w:fill="auto"/>
              </w:rPr>
            </w:pPr>
            <w:hyperlink w:anchor="Section21" w:history="1">
              <w:r>
                <w:rPr>
                  <w:rFonts w:ascii="Times New Roman" w:eastAsia="Times New Roman" w:hAnsi="Times New Roman" w:cs="Times New Roman"/>
                  <w:b w:val="0"/>
                  <w:i w:val="0"/>
                  <w:color w:val="000000"/>
                  <w:sz w:val="20"/>
                  <w:u w:val="single"/>
                  <w:shd w:val="clear" w:color="auto" w:fill="auto"/>
                </w:rPr>
                <w:t xml:space="preserve">Note </w:t>
              </w:r>
            </w:hyperlink>
            <w:r>
              <w:rPr>
                <w:rFonts w:ascii="Times New Roman" w:eastAsia="Times New Roman" w:hAnsi="Times New Roman" w:cs="Times New Roman"/>
                <w:b w:val="0"/>
                <w:i w:val="0"/>
                <w:color w:val="000000"/>
                <w:sz w:val="20"/>
                <w:u w:val="single"/>
              </w:rPr>
              <w:t>6</w:t>
            </w:r>
            <w:hyperlink w:anchor="Section21" w:history="1">
              <w:r>
                <w:rPr>
                  <w:rFonts w:ascii="Times New Roman" w:eastAsia="Times New Roman" w:hAnsi="Times New Roman" w:cs="Times New Roman"/>
                  <w:b w:val="0"/>
                  <w:i w:val="0"/>
                  <w:color w:val="000000"/>
                  <w:sz w:val="20"/>
                  <w:u w:val="single"/>
                  <w:shd w:val="clear" w:color="auto" w:fill="auto"/>
                </w:rPr>
                <w:t>. Accounts Payable</w:t>
              </w:r>
            </w:hyperlink>
          </w:p>
        </w:tc>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00"/>
                <w:sz w:val="20"/>
                <w:u w:val="single"/>
              </w:rPr>
              <w:fldChar w:fldCharType="begin"/>
            </w:r>
            <w:r>
              <w:rPr>
                <w:rFonts w:ascii="Times New Roman" w:eastAsia="Times New Roman" w:hAnsi="Times New Roman" w:cs="Times New Roman"/>
                <w:b w:val="0"/>
                <w:i w:val="0"/>
                <w:color w:val="000000"/>
                <w:sz w:val="20"/>
                <w:u w:val="single"/>
              </w:rPr>
              <w:instrText xml:space="preserve"> PAGEREF </w:instrText>
            </w:r>
            <w:r>
              <w:rPr>
                <w:rFonts w:ascii="Times New Roman" w:eastAsia="Times New Roman" w:hAnsi="Times New Roman" w:cs="Times New Roman"/>
                <w:b w:val="0"/>
                <w:i w:val="0"/>
                <w:color w:val="000000"/>
                <w:sz w:val="20"/>
                <w:u w:val="single"/>
              </w:rPr>
              <w:instrText xml:space="preserve"> </w:instrText>
            </w:r>
            <w:r>
              <w:rPr>
                <w:rFonts w:ascii="Times New Roman" w:eastAsia="Times New Roman" w:hAnsi="Times New Roman" w:cs="Times New Roman"/>
                <w:b w:val="0"/>
                <w:i w:val="0"/>
                <w:color w:val="000000"/>
                <w:sz w:val="20"/>
                <w:u w:val="single"/>
              </w:rPr>
              <w:instrText>Section21</w:instrText>
            </w:r>
            <w:r>
              <w:rPr>
                <w:rFonts w:ascii="Times New Roman" w:eastAsia="Times New Roman" w:hAnsi="Times New Roman" w:cs="Times New Roman"/>
                <w:b w:val="0"/>
                <w:i w:val="0"/>
                <w:color w:val="000000"/>
                <w:sz w:val="20"/>
                <w:u w:val="single"/>
              </w:rPr>
              <w:instrText xml:space="preserve"> \h</w:instrText>
            </w:r>
            <w:r>
              <w:rPr>
                <w:rFonts w:ascii="Times New Roman" w:eastAsia="Times New Roman" w:hAnsi="Times New Roman" w:cs="Times New Roman"/>
                <w:b w:val="0"/>
                <w:i w:val="0"/>
                <w:color w:val="000000"/>
                <w:sz w:val="20"/>
                <w:u w:val="single"/>
              </w:rPr>
              <w:fldChar w:fldCharType="separate"/>
            </w:r>
            <w:r>
              <w:rPr>
                <w:rFonts w:ascii="Times New Roman" w:eastAsia="Times New Roman" w:hAnsi="Times New Roman" w:cs="Times New Roman"/>
                <w:b w:val="0"/>
                <w:i w:val="0"/>
                <w:color w:val="000000"/>
                <w:sz w:val="20"/>
                <w:u w:val="single"/>
              </w:rPr>
              <w:t>9</w:t>
            </w:r>
            <w:r>
              <w:rPr>
                <w:rFonts w:ascii="Times New Roman" w:eastAsia="Times New Roman" w:hAnsi="Times New Roman" w:cs="Times New Roman"/>
                <w:b w:val="0"/>
                <w:i w:val="0"/>
                <w:color w:val="000000"/>
                <w:sz w:val="20"/>
                <w:u w:val="single"/>
              </w:rPr>
              <w:fldChar w:fldCharType="end"/>
            </w:r>
          </w:p>
        </w:tc>
      </w:tr>
      <w:tr>
        <w:tblPrEx>
          <w:tblW w:w="10245" w:type="dxa"/>
          <w:jc w:val="left"/>
          <w:tblInd w:w="0" w:type="dxa"/>
          <w:tblLayout w:type="fixed"/>
          <w:tblCellMar>
            <w:left w:w="108" w:type="dxa"/>
            <w:right w:w="108" w:type="dxa"/>
          </w:tblCellMar>
        </w:tblPrEx>
        <w:trPr>
          <w:cantSplit/>
          <w:trHeight w:hRule="exact" w:val="285"/>
          <w:jc w:val="left"/>
        </w:trPr>
        <w:tc>
          <w:tcPr>
            <w:tcW w:w="13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45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720" w:right="0" w:firstLine="0"/>
              <w:jc w:val="left"/>
              <w:outlineLvl w:val="9"/>
              <w:rPr>
                <w:rFonts w:ascii="Times New Roman" w:eastAsia="Times New Roman" w:hAnsi="Times New Roman" w:cs="Times New Roman"/>
                <w:b w:val="0"/>
                <w:i w:val="0"/>
                <w:color w:val="000000"/>
                <w:sz w:val="20"/>
                <w:u w:val="single"/>
                <w:shd w:val="clear" w:color="auto" w:fill="auto"/>
              </w:rPr>
            </w:pPr>
            <w:hyperlink w:anchor="Section22" w:history="1">
              <w:r>
                <w:rPr>
                  <w:rFonts w:ascii="Times New Roman" w:eastAsia="Times New Roman" w:hAnsi="Times New Roman" w:cs="Times New Roman"/>
                  <w:b w:val="0"/>
                  <w:i w:val="0"/>
                  <w:color w:val="000000"/>
                  <w:sz w:val="20"/>
                  <w:u w:val="single"/>
                  <w:shd w:val="clear" w:color="auto" w:fill="auto"/>
                </w:rPr>
                <w:t xml:space="preserve">Note </w:t>
              </w:r>
            </w:hyperlink>
            <w:r>
              <w:rPr>
                <w:rFonts w:ascii="Times New Roman" w:eastAsia="Times New Roman" w:hAnsi="Times New Roman" w:cs="Times New Roman"/>
                <w:b w:val="0"/>
                <w:i w:val="0"/>
                <w:color w:val="000000"/>
                <w:sz w:val="20"/>
                <w:u w:val="single"/>
              </w:rPr>
              <w:t>7</w:t>
            </w:r>
            <w:hyperlink w:anchor="Section22" w:history="1">
              <w:r>
                <w:rPr>
                  <w:rFonts w:ascii="Times New Roman" w:eastAsia="Times New Roman" w:hAnsi="Times New Roman" w:cs="Times New Roman"/>
                  <w:b w:val="0"/>
                  <w:i w:val="0"/>
                  <w:color w:val="000000"/>
                  <w:sz w:val="20"/>
                  <w:u w:val="single"/>
                  <w:shd w:val="clear" w:color="auto" w:fill="auto"/>
                </w:rPr>
                <w:t>. Income Taxes</w:t>
              </w:r>
            </w:hyperlink>
          </w:p>
        </w:tc>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00"/>
                <w:sz w:val="20"/>
                <w:u w:val="single"/>
              </w:rPr>
              <w:fldChar w:fldCharType="begin"/>
            </w:r>
            <w:r>
              <w:rPr>
                <w:rFonts w:ascii="Times New Roman" w:eastAsia="Times New Roman" w:hAnsi="Times New Roman" w:cs="Times New Roman"/>
                <w:b w:val="0"/>
                <w:i w:val="0"/>
                <w:color w:val="000000"/>
                <w:sz w:val="20"/>
                <w:u w:val="single"/>
              </w:rPr>
              <w:instrText xml:space="preserve"> PAGEREF </w:instrText>
            </w:r>
            <w:r>
              <w:rPr>
                <w:rFonts w:ascii="Times New Roman" w:eastAsia="Times New Roman" w:hAnsi="Times New Roman" w:cs="Times New Roman"/>
                <w:b w:val="0"/>
                <w:i w:val="0"/>
                <w:color w:val="000000"/>
                <w:sz w:val="20"/>
                <w:u w:val="single"/>
              </w:rPr>
              <w:instrText xml:space="preserve"> </w:instrText>
            </w:r>
            <w:r>
              <w:rPr>
                <w:rFonts w:ascii="Times New Roman" w:eastAsia="Times New Roman" w:hAnsi="Times New Roman" w:cs="Times New Roman"/>
                <w:b w:val="0"/>
                <w:i w:val="0"/>
                <w:color w:val="000000"/>
                <w:sz w:val="20"/>
                <w:u w:val="single"/>
              </w:rPr>
              <w:instrText>Section22</w:instrText>
            </w:r>
            <w:r>
              <w:rPr>
                <w:rFonts w:ascii="Times New Roman" w:eastAsia="Times New Roman" w:hAnsi="Times New Roman" w:cs="Times New Roman"/>
                <w:b w:val="0"/>
                <w:i w:val="0"/>
                <w:color w:val="000000"/>
                <w:sz w:val="20"/>
                <w:u w:val="single"/>
              </w:rPr>
              <w:instrText xml:space="preserve"> \h</w:instrText>
            </w:r>
            <w:r>
              <w:rPr>
                <w:rFonts w:ascii="Times New Roman" w:eastAsia="Times New Roman" w:hAnsi="Times New Roman" w:cs="Times New Roman"/>
                <w:b w:val="0"/>
                <w:i w:val="0"/>
                <w:color w:val="000000"/>
                <w:sz w:val="20"/>
                <w:u w:val="single"/>
              </w:rPr>
              <w:fldChar w:fldCharType="separate"/>
            </w:r>
            <w:r>
              <w:rPr>
                <w:rFonts w:ascii="Times New Roman" w:eastAsia="Times New Roman" w:hAnsi="Times New Roman" w:cs="Times New Roman"/>
                <w:b w:val="0"/>
                <w:i w:val="0"/>
                <w:color w:val="000000"/>
                <w:sz w:val="20"/>
                <w:u w:val="single"/>
              </w:rPr>
              <w:t>10</w:t>
            </w:r>
            <w:r>
              <w:rPr>
                <w:rFonts w:ascii="Times New Roman" w:eastAsia="Times New Roman" w:hAnsi="Times New Roman" w:cs="Times New Roman"/>
                <w:b w:val="0"/>
                <w:i w:val="0"/>
                <w:color w:val="000000"/>
                <w:sz w:val="20"/>
                <w:u w:val="single"/>
              </w:rPr>
              <w:fldChar w:fldCharType="end"/>
            </w:r>
          </w:p>
        </w:tc>
      </w:tr>
      <w:tr>
        <w:tblPrEx>
          <w:tblW w:w="10245" w:type="dxa"/>
          <w:jc w:val="left"/>
          <w:tblInd w:w="0" w:type="dxa"/>
          <w:tblLayout w:type="fixed"/>
          <w:tblCellMar>
            <w:left w:w="108" w:type="dxa"/>
            <w:right w:w="108" w:type="dxa"/>
          </w:tblCellMar>
        </w:tblPrEx>
        <w:trPr>
          <w:cantSplit/>
          <w:trHeight w:hRule="exact" w:val="285"/>
          <w:jc w:val="left"/>
        </w:trPr>
        <w:tc>
          <w:tcPr>
            <w:tcW w:w="13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45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720" w:right="0" w:firstLine="0"/>
              <w:jc w:val="left"/>
              <w:outlineLvl w:val="9"/>
              <w:rPr>
                <w:rFonts w:ascii="Times New Roman" w:eastAsia="Times New Roman" w:hAnsi="Times New Roman" w:cs="Times New Roman"/>
                <w:b w:val="0"/>
                <w:i w:val="0"/>
                <w:color w:val="000000"/>
                <w:sz w:val="20"/>
                <w:u w:val="single"/>
                <w:shd w:val="clear" w:color="auto" w:fill="auto"/>
              </w:rPr>
            </w:pPr>
            <w:hyperlink w:anchor="Section24" w:history="1">
              <w:r>
                <w:rPr>
                  <w:rFonts w:ascii="Times New Roman" w:eastAsia="Times New Roman" w:hAnsi="Times New Roman" w:cs="Times New Roman"/>
                  <w:b w:val="0"/>
                  <w:i w:val="0"/>
                  <w:color w:val="000000"/>
                  <w:sz w:val="20"/>
                  <w:u w:val="single"/>
                  <w:shd w:val="clear" w:color="auto" w:fill="auto"/>
                </w:rPr>
                <w:t xml:space="preserve">Note </w:t>
              </w:r>
            </w:hyperlink>
            <w:r>
              <w:rPr>
                <w:rFonts w:ascii="Times New Roman" w:eastAsia="Times New Roman" w:hAnsi="Times New Roman" w:cs="Times New Roman"/>
                <w:b w:val="0"/>
                <w:i w:val="0"/>
                <w:color w:val="000000"/>
                <w:sz w:val="20"/>
                <w:u w:val="single"/>
              </w:rPr>
              <w:t>8</w:t>
            </w:r>
            <w:hyperlink w:anchor="Section24" w:history="1">
              <w:r>
                <w:rPr>
                  <w:rFonts w:ascii="Times New Roman" w:eastAsia="Times New Roman" w:hAnsi="Times New Roman" w:cs="Times New Roman"/>
                  <w:b w:val="0"/>
                  <w:i w:val="0"/>
                  <w:color w:val="000000"/>
                  <w:sz w:val="20"/>
                  <w:u w:val="single"/>
                  <w:shd w:val="clear" w:color="auto" w:fill="auto"/>
                </w:rPr>
                <w:t>. Shareholders' Equity</w:t>
              </w:r>
            </w:hyperlink>
          </w:p>
        </w:tc>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00"/>
                <w:sz w:val="20"/>
                <w:u w:val="single"/>
              </w:rPr>
              <w:fldChar w:fldCharType="begin"/>
            </w:r>
            <w:r>
              <w:rPr>
                <w:rFonts w:ascii="Times New Roman" w:eastAsia="Times New Roman" w:hAnsi="Times New Roman" w:cs="Times New Roman"/>
                <w:b w:val="0"/>
                <w:i w:val="0"/>
                <w:color w:val="000000"/>
                <w:sz w:val="20"/>
                <w:u w:val="single"/>
              </w:rPr>
              <w:instrText xml:space="preserve"> PAGEREF </w:instrText>
            </w:r>
            <w:r>
              <w:rPr>
                <w:rFonts w:ascii="Times New Roman" w:eastAsia="Times New Roman" w:hAnsi="Times New Roman" w:cs="Times New Roman"/>
                <w:b w:val="0"/>
                <w:i w:val="0"/>
                <w:color w:val="000000"/>
                <w:sz w:val="20"/>
                <w:u w:val="single"/>
              </w:rPr>
              <w:instrText xml:space="preserve"> </w:instrText>
            </w:r>
            <w:r>
              <w:rPr>
                <w:rFonts w:ascii="Times New Roman" w:eastAsia="Times New Roman" w:hAnsi="Times New Roman" w:cs="Times New Roman"/>
                <w:b w:val="0"/>
                <w:i w:val="0"/>
                <w:color w:val="000000"/>
                <w:sz w:val="20"/>
                <w:u w:val="single"/>
              </w:rPr>
              <w:instrText>Section24</w:instrText>
            </w:r>
            <w:r>
              <w:rPr>
                <w:rFonts w:ascii="Times New Roman" w:eastAsia="Times New Roman" w:hAnsi="Times New Roman" w:cs="Times New Roman"/>
                <w:b w:val="0"/>
                <w:i w:val="0"/>
                <w:color w:val="000000"/>
                <w:sz w:val="20"/>
                <w:u w:val="single"/>
              </w:rPr>
              <w:instrText xml:space="preserve"> \h</w:instrText>
            </w:r>
            <w:r>
              <w:rPr>
                <w:rFonts w:ascii="Times New Roman" w:eastAsia="Times New Roman" w:hAnsi="Times New Roman" w:cs="Times New Roman"/>
                <w:b w:val="0"/>
                <w:i w:val="0"/>
                <w:color w:val="000000"/>
                <w:sz w:val="20"/>
                <w:u w:val="single"/>
              </w:rPr>
              <w:fldChar w:fldCharType="separate"/>
            </w:r>
            <w:r>
              <w:rPr>
                <w:rFonts w:ascii="Times New Roman" w:eastAsia="Times New Roman" w:hAnsi="Times New Roman" w:cs="Times New Roman"/>
                <w:b w:val="0"/>
                <w:i w:val="0"/>
                <w:color w:val="000000"/>
                <w:sz w:val="20"/>
                <w:u w:val="single"/>
              </w:rPr>
              <w:t>11</w:t>
            </w:r>
            <w:r>
              <w:rPr>
                <w:rFonts w:ascii="Times New Roman" w:eastAsia="Times New Roman" w:hAnsi="Times New Roman" w:cs="Times New Roman"/>
                <w:b w:val="0"/>
                <w:i w:val="0"/>
                <w:color w:val="000000"/>
                <w:sz w:val="20"/>
                <w:u w:val="single"/>
              </w:rPr>
              <w:fldChar w:fldCharType="end"/>
            </w:r>
          </w:p>
        </w:tc>
      </w:tr>
      <w:tr>
        <w:tblPrEx>
          <w:tblW w:w="10245" w:type="dxa"/>
          <w:jc w:val="left"/>
          <w:tblInd w:w="0" w:type="dxa"/>
          <w:tblLayout w:type="fixed"/>
          <w:tblCellMar>
            <w:left w:w="108" w:type="dxa"/>
            <w:right w:w="108" w:type="dxa"/>
          </w:tblCellMar>
        </w:tblPrEx>
        <w:trPr>
          <w:cantSplit/>
          <w:trHeight w:hRule="exact" w:val="285"/>
          <w:jc w:val="left"/>
        </w:trPr>
        <w:tc>
          <w:tcPr>
            <w:tcW w:w="13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45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720" w:right="0" w:firstLine="0"/>
              <w:jc w:val="left"/>
              <w:outlineLvl w:val="9"/>
              <w:rPr>
                <w:rFonts w:ascii="Times New Roman" w:eastAsia="Times New Roman" w:hAnsi="Times New Roman" w:cs="Times New Roman"/>
                <w:b w:val="0"/>
                <w:i w:val="0"/>
                <w:color w:val="000000"/>
                <w:sz w:val="20"/>
                <w:u w:val="single"/>
                <w:shd w:val="clear" w:color="auto" w:fill="auto"/>
              </w:rPr>
            </w:pPr>
            <w:hyperlink w:anchor="Section26" w:history="1">
              <w:r>
                <w:rPr>
                  <w:rFonts w:ascii="Times New Roman" w:eastAsia="Times New Roman" w:hAnsi="Times New Roman" w:cs="Times New Roman"/>
                  <w:b w:val="0"/>
                  <w:i w:val="0"/>
                  <w:color w:val="000000"/>
                  <w:sz w:val="20"/>
                  <w:u w:val="single"/>
                  <w:shd w:val="clear" w:color="auto" w:fill="auto"/>
                </w:rPr>
                <w:t xml:space="preserve">Note </w:t>
              </w:r>
            </w:hyperlink>
            <w:r>
              <w:rPr>
                <w:rFonts w:ascii="Times New Roman" w:eastAsia="Times New Roman" w:hAnsi="Times New Roman" w:cs="Times New Roman"/>
                <w:b w:val="0"/>
                <w:i w:val="0"/>
                <w:color w:val="000000"/>
                <w:sz w:val="20"/>
                <w:u w:val="single"/>
              </w:rPr>
              <w:t>9</w:t>
            </w:r>
            <w:hyperlink w:anchor="Section26" w:history="1">
              <w:r>
                <w:rPr>
                  <w:rFonts w:ascii="Times New Roman" w:eastAsia="Times New Roman" w:hAnsi="Times New Roman" w:cs="Times New Roman"/>
                  <w:b w:val="0"/>
                  <w:i w:val="0"/>
                  <w:color w:val="000000"/>
                  <w:sz w:val="20"/>
                  <w:u w:val="single"/>
                  <w:shd w:val="clear" w:color="auto" w:fill="auto"/>
                </w:rPr>
                <w:t>. Commitments and Contingencies</w:t>
              </w:r>
            </w:hyperlink>
          </w:p>
        </w:tc>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00"/>
                <w:sz w:val="20"/>
                <w:u w:val="single"/>
              </w:rPr>
              <w:fldChar w:fldCharType="begin"/>
            </w:r>
            <w:r>
              <w:rPr>
                <w:rFonts w:ascii="Times New Roman" w:eastAsia="Times New Roman" w:hAnsi="Times New Roman" w:cs="Times New Roman"/>
                <w:b w:val="0"/>
                <w:i w:val="0"/>
                <w:color w:val="000000"/>
                <w:sz w:val="20"/>
                <w:u w:val="single"/>
              </w:rPr>
              <w:instrText xml:space="preserve"> PAGEREF </w:instrText>
            </w:r>
            <w:r>
              <w:rPr>
                <w:rFonts w:ascii="Times New Roman" w:eastAsia="Times New Roman" w:hAnsi="Times New Roman" w:cs="Times New Roman"/>
                <w:b w:val="0"/>
                <w:i w:val="0"/>
                <w:color w:val="000000"/>
                <w:sz w:val="20"/>
                <w:u w:val="single"/>
              </w:rPr>
              <w:instrText xml:space="preserve"> </w:instrText>
            </w:r>
            <w:r>
              <w:rPr>
                <w:rFonts w:ascii="Times New Roman" w:eastAsia="Times New Roman" w:hAnsi="Times New Roman" w:cs="Times New Roman"/>
                <w:b w:val="0"/>
                <w:i w:val="0"/>
                <w:color w:val="000000"/>
                <w:sz w:val="20"/>
                <w:u w:val="single"/>
              </w:rPr>
              <w:instrText>Section26</w:instrText>
            </w:r>
            <w:r>
              <w:rPr>
                <w:rFonts w:ascii="Times New Roman" w:eastAsia="Times New Roman" w:hAnsi="Times New Roman" w:cs="Times New Roman"/>
                <w:b w:val="0"/>
                <w:i w:val="0"/>
                <w:color w:val="000000"/>
                <w:sz w:val="20"/>
                <w:u w:val="single"/>
              </w:rPr>
              <w:instrText xml:space="preserve"> \h</w:instrText>
            </w:r>
            <w:r>
              <w:rPr>
                <w:rFonts w:ascii="Times New Roman" w:eastAsia="Times New Roman" w:hAnsi="Times New Roman" w:cs="Times New Roman"/>
                <w:b w:val="0"/>
                <w:i w:val="0"/>
                <w:color w:val="000000"/>
                <w:sz w:val="20"/>
                <w:u w:val="single"/>
              </w:rPr>
              <w:fldChar w:fldCharType="separate"/>
            </w:r>
            <w:r>
              <w:rPr>
                <w:rFonts w:ascii="Times New Roman" w:eastAsia="Times New Roman" w:hAnsi="Times New Roman" w:cs="Times New Roman"/>
                <w:b w:val="0"/>
                <w:i w:val="0"/>
                <w:color w:val="000000"/>
                <w:sz w:val="20"/>
                <w:u w:val="single"/>
              </w:rPr>
              <w:t>12</w:t>
            </w:r>
            <w:r>
              <w:rPr>
                <w:rFonts w:ascii="Times New Roman" w:eastAsia="Times New Roman" w:hAnsi="Times New Roman" w:cs="Times New Roman"/>
                <w:b w:val="0"/>
                <w:i w:val="0"/>
                <w:color w:val="000000"/>
                <w:sz w:val="20"/>
                <w:u w:val="single"/>
              </w:rPr>
              <w:fldChar w:fldCharType="end"/>
            </w:r>
          </w:p>
        </w:tc>
      </w:tr>
      <w:tr>
        <w:tblPrEx>
          <w:tblW w:w="10245" w:type="dxa"/>
          <w:jc w:val="left"/>
          <w:tblInd w:w="0" w:type="dxa"/>
          <w:tblLayout w:type="fixed"/>
          <w:tblCellMar>
            <w:left w:w="108" w:type="dxa"/>
            <w:right w:w="108" w:type="dxa"/>
          </w:tblCellMar>
        </w:tblPrEx>
        <w:trPr>
          <w:cantSplit/>
          <w:trHeight w:hRule="exact" w:val="285"/>
          <w:jc w:val="left"/>
        </w:trPr>
        <w:tc>
          <w:tcPr>
            <w:tcW w:w="13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45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720" w:right="0" w:firstLine="0"/>
              <w:jc w:val="left"/>
              <w:outlineLvl w:val="9"/>
              <w:rPr>
                <w:rFonts w:ascii="Times New Roman" w:eastAsia="Times New Roman" w:hAnsi="Times New Roman" w:cs="Times New Roman"/>
                <w:b w:val="0"/>
                <w:i w:val="0"/>
                <w:color w:val="000000"/>
                <w:sz w:val="20"/>
                <w:u w:val="single"/>
                <w:shd w:val="clear" w:color="auto" w:fill="auto"/>
              </w:rPr>
            </w:pPr>
            <w:hyperlink w:anchor="Section27" w:history="1">
              <w:r>
                <w:rPr>
                  <w:rFonts w:ascii="Times New Roman" w:eastAsia="Times New Roman" w:hAnsi="Times New Roman" w:cs="Times New Roman"/>
                  <w:b w:val="0"/>
                  <w:i w:val="0"/>
                  <w:color w:val="000000"/>
                  <w:sz w:val="20"/>
                  <w:u w:val="single"/>
                  <w:shd w:val="clear" w:color="auto" w:fill="auto"/>
                </w:rPr>
                <w:t xml:space="preserve">Note </w:t>
              </w:r>
            </w:hyperlink>
            <w:r>
              <w:rPr>
                <w:rFonts w:ascii="Times New Roman" w:eastAsia="Times New Roman" w:hAnsi="Times New Roman" w:cs="Times New Roman"/>
                <w:b w:val="0"/>
                <w:i w:val="0"/>
                <w:color w:val="000000"/>
                <w:sz w:val="20"/>
                <w:u w:val="single"/>
              </w:rPr>
              <w:t>10</w:t>
            </w:r>
            <w:hyperlink w:anchor="Section27" w:history="1">
              <w:r>
                <w:rPr>
                  <w:rFonts w:ascii="Times New Roman" w:eastAsia="Times New Roman" w:hAnsi="Times New Roman" w:cs="Times New Roman"/>
                  <w:b w:val="0"/>
                  <w:i w:val="0"/>
                  <w:color w:val="000000"/>
                  <w:sz w:val="20"/>
                  <w:u w:val="single"/>
                  <w:shd w:val="clear" w:color="auto" w:fill="auto"/>
                </w:rPr>
                <w:t>. Income per Share</w:t>
              </w:r>
            </w:hyperlink>
          </w:p>
        </w:tc>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00"/>
                <w:sz w:val="20"/>
                <w:u w:val="single"/>
              </w:rPr>
              <w:fldChar w:fldCharType="begin"/>
            </w:r>
            <w:r>
              <w:rPr>
                <w:rFonts w:ascii="Times New Roman" w:eastAsia="Times New Roman" w:hAnsi="Times New Roman" w:cs="Times New Roman"/>
                <w:b w:val="0"/>
                <w:i w:val="0"/>
                <w:color w:val="000000"/>
                <w:sz w:val="20"/>
                <w:u w:val="single"/>
              </w:rPr>
              <w:instrText xml:space="preserve"> PAGEREF </w:instrText>
            </w:r>
            <w:r>
              <w:rPr>
                <w:rFonts w:ascii="Times New Roman" w:eastAsia="Times New Roman" w:hAnsi="Times New Roman" w:cs="Times New Roman"/>
                <w:b w:val="0"/>
                <w:i w:val="0"/>
                <w:color w:val="000000"/>
                <w:sz w:val="20"/>
                <w:u w:val="single"/>
              </w:rPr>
              <w:instrText xml:space="preserve"> </w:instrText>
            </w:r>
            <w:r>
              <w:rPr>
                <w:rFonts w:ascii="Times New Roman" w:eastAsia="Times New Roman" w:hAnsi="Times New Roman" w:cs="Times New Roman"/>
                <w:b w:val="0"/>
                <w:i w:val="0"/>
                <w:color w:val="000000"/>
                <w:sz w:val="20"/>
                <w:u w:val="single"/>
              </w:rPr>
              <w:instrText>Section27</w:instrText>
            </w:r>
            <w:r>
              <w:rPr>
                <w:rFonts w:ascii="Times New Roman" w:eastAsia="Times New Roman" w:hAnsi="Times New Roman" w:cs="Times New Roman"/>
                <w:b w:val="0"/>
                <w:i w:val="0"/>
                <w:color w:val="000000"/>
                <w:sz w:val="20"/>
                <w:u w:val="single"/>
              </w:rPr>
              <w:instrText xml:space="preserve"> \h</w:instrText>
            </w:r>
            <w:r>
              <w:rPr>
                <w:rFonts w:ascii="Times New Roman" w:eastAsia="Times New Roman" w:hAnsi="Times New Roman" w:cs="Times New Roman"/>
                <w:b w:val="0"/>
                <w:i w:val="0"/>
                <w:color w:val="000000"/>
                <w:sz w:val="20"/>
                <w:u w:val="single"/>
              </w:rPr>
              <w:fldChar w:fldCharType="separate"/>
            </w:r>
            <w:r>
              <w:rPr>
                <w:rFonts w:ascii="Times New Roman" w:eastAsia="Times New Roman" w:hAnsi="Times New Roman" w:cs="Times New Roman"/>
                <w:b w:val="0"/>
                <w:i w:val="0"/>
                <w:color w:val="000000"/>
                <w:sz w:val="20"/>
                <w:u w:val="single"/>
              </w:rPr>
              <w:t>12</w:t>
            </w:r>
            <w:r>
              <w:rPr>
                <w:rFonts w:ascii="Times New Roman" w:eastAsia="Times New Roman" w:hAnsi="Times New Roman" w:cs="Times New Roman"/>
                <w:b w:val="0"/>
                <w:i w:val="0"/>
                <w:color w:val="000000"/>
                <w:sz w:val="20"/>
                <w:u w:val="single"/>
              </w:rPr>
              <w:fldChar w:fldCharType="end"/>
            </w:r>
          </w:p>
        </w:tc>
      </w:tr>
      <w:tr>
        <w:tblPrEx>
          <w:tblW w:w="10245" w:type="dxa"/>
          <w:jc w:val="left"/>
          <w:tblInd w:w="0" w:type="dxa"/>
          <w:tblLayout w:type="fixed"/>
          <w:tblCellMar>
            <w:left w:w="108" w:type="dxa"/>
            <w:right w:w="108" w:type="dxa"/>
          </w:tblCellMar>
        </w:tblPrEx>
        <w:trPr>
          <w:cantSplit/>
          <w:trHeight w:hRule="exact" w:val="285"/>
          <w:jc w:val="left"/>
        </w:trPr>
        <w:tc>
          <w:tcPr>
            <w:tcW w:w="13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45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720" w:right="0" w:firstLine="0"/>
              <w:jc w:val="left"/>
              <w:outlineLvl w:val="9"/>
              <w:rPr>
                <w:rFonts w:ascii="Times New Roman" w:eastAsia="Times New Roman" w:hAnsi="Times New Roman" w:cs="Times New Roman"/>
                <w:b w:val="0"/>
                <w:i w:val="0"/>
                <w:color w:val="000000"/>
                <w:sz w:val="20"/>
                <w:u w:val="single"/>
                <w:shd w:val="clear" w:color="auto" w:fill="auto"/>
              </w:rPr>
            </w:pPr>
            <w:hyperlink w:anchor="Section28" w:history="1">
              <w:r>
                <w:rPr>
                  <w:rFonts w:ascii="Times New Roman" w:eastAsia="Times New Roman" w:hAnsi="Times New Roman" w:cs="Times New Roman"/>
                  <w:b w:val="0"/>
                  <w:i w:val="0"/>
                  <w:color w:val="000000"/>
                  <w:sz w:val="20"/>
                  <w:u w:val="single"/>
                  <w:shd w:val="clear" w:color="auto" w:fill="auto"/>
                </w:rPr>
                <w:t xml:space="preserve">Note </w:t>
              </w:r>
            </w:hyperlink>
            <w:r>
              <w:rPr>
                <w:rFonts w:ascii="Times New Roman" w:eastAsia="Times New Roman" w:hAnsi="Times New Roman" w:cs="Times New Roman"/>
                <w:b w:val="0"/>
                <w:i w:val="0"/>
                <w:color w:val="000000"/>
                <w:sz w:val="20"/>
                <w:u w:val="single"/>
              </w:rPr>
              <w:t>11</w:t>
            </w:r>
            <w:hyperlink w:anchor="Section28" w:history="1">
              <w:r>
                <w:rPr>
                  <w:rFonts w:ascii="Times New Roman" w:eastAsia="Times New Roman" w:hAnsi="Times New Roman" w:cs="Times New Roman"/>
                  <w:b w:val="0"/>
                  <w:i w:val="0"/>
                  <w:color w:val="000000"/>
                  <w:sz w:val="20"/>
                  <w:u w:val="single"/>
                  <w:shd w:val="clear" w:color="auto" w:fill="auto"/>
                </w:rPr>
                <w:t>. Fair Value of Financial Instruments</w:t>
              </w:r>
            </w:hyperlink>
          </w:p>
        </w:tc>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00"/>
                <w:sz w:val="20"/>
                <w:u w:val="single"/>
              </w:rPr>
              <w:fldChar w:fldCharType="begin"/>
            </w:r>
            <w:r>
              <w:rPr>
                <w:rFonts w:ascii="Times New Roman" w:eastAsia="Times New Roman" w:hAnsi="Times New Roman" w:cs="Times New Roman"/>
                <w:b w:val="0"/>
                <w:i w:val="0"/>
                <w:color w:val="000000"/>
                <w:sz w:val="20"/>
                <w:u w:val="single"/>
              </w:rPr>
              <w:instrText xml:space="preserve"> PAGEREF </w:instrText>
            </w:r>
            <w:r>
              <w:rPr>
                <w:rFonts w:ascii="Times New Roman" w:eastAsia="Times New Roman" w:hAnsi="Times New Roman" w:cs="Times New Roman"/>
                <w:b w:val="0"/>
                <w:i w:val="0"/>
                <w:color w:val="000000"/>
                <w:sz w:val="20"/>
                <w:u w:val="single"/>
              </w:rPr>
              <w:instrText xml:space="preserve"> </w:instrText>
            </w:r>
            <w:r>
              <w:rPr>
                <w:rFonts w:ascii="Times New Roman" w:eastAsia="Times New Roman" w:hAnsi="Times New Roman" w:cs="Times New Roman"/>
                <w:b w:val="0"/>
                <w:i w:val="0"/>
                <w:color w:val="000000"/>
                <w:sz w:val="20"/>
                <w:u w:val="single"/>
              </w:rPr>
              <w:instrText>Section28</w:instrText>
            </w:r>
            <w:r>
              <w:rPr>
                <w:rFonts w:ascii="Times New Roman" w:eastAsia="Times New Roman" w:hAnsi="Times New Roman" w:cs="Times New Roman"/>
                <w:b w:val="0"/>
                <w:i w:val="0"/>
                <w:color w:val="000000"/>
                <w:sz w:val="20"/>
                <w:u w:val="single"/>
              </w:rPr>
              <w:instrText xml:space="preserve"> \h</w:instrText>
            </w:r>
            <w:r>
              <w:rPr>
                <w:rFonts w:ascii="Times New Roman" w:eastAsia="Times New Roman" w:hAnsi="Times New Roman" w:cs="Times New Roman"/>
                <w:b w:val="0"/>
                <w:i w:val="0"/>
                <w:color w:val="000000"/>
                <w:sz w:val="20"/>
                <w:u w:val="single"/>
              </w:rPr>
              <w:fldChar w:fldCharType="separate"/>
            </w:r>
            <w:r>
              <w:rPr>
                <w:rFonts w:ascii="Times New Roman" w:eastAsia="Times New Roman" w:hAnsi="Times New Roman" w:cs="Times New Roman"/>
                <w:b w:val="0"/>
                <w:i w:val="0"/>
                <w:color w:val="000000"/>
                <w:sz w:val="20"/>
                <w:u w:val="single"/>
              </w:rPr>
              <w:t>12</w:t>
            </w:r>
            <w:r>
              <w:rPr>
                <w:rFonts w:ascii="Times New Roman" w:eastAsia="Times New Roman" w:hAnsi="Times New Roman" w:cs="Times New Roman"/>
                <w:b w:val="0"/>
                <w:i w:val="0"/>
                <w:color w:val="000000"/>
                <w:sz w:val="20"/>
                <w:u w:val="single"/>
              </w:rPr>
              <w:fldChar w:fldCharType="end"/>
            </w:r>
          </w:p>
        </w:tc>
      </w:tr>
      <w:tr>
        <w:tblPrEx>
          <w:tblW w:w="10245" w:type="dxa"/>
          <w:jc w:val="left"/>
          <w:tblInd w:w="0" w:type="dxa"/>
          <w:tblLayout w:type="fixed"/>
          <w:tblCellMar>
            <w:left w:w="108" w:type="dxa"/>
            <w:right w:w="108" w:type="dxa"/>
          </w:tblCellMar>
        </w:tblPrEx>
        <w:trPr>
          <w:cantSplit/>
          <w:trHeight w:hRule="exact" w:val="285"/>
          <w:jc w:val="left"/>
        </w:trPr>
        <w:tc>
          <w:tcPr>
            <w:tcW w:w="13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45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720" w:right="0" w:firstLine="0"/>
              <w:jc w:val="left"/>
              <w:outlineLvl w:val="9"/>
              <w:rPr>
                <w:rFonts w:ascii="Times New Roman" w:eastAsia="Times New Roman" w:hAnsi="Times New Roman" w:cs="Times New Roman"/>
                <w:b w:val="0"/>
                <w:i w:val="0"/>
                <w:color w:val="000000"/>
                <w:sz w:val="20"/>
                <w:u w:val="single"/>
                <w:shd w:val="clear" w:color="auto" w:fill="auto"/>
              </w:rPr>
            </w:pPr>
            <w:hyperlink w:anchor="Section33" w:history="1">
              <w:r>
                <w:rPr>
                  <w:rFonts w:ascii="Times New Roman" w:eastAsia="Times New Roman" w:hAnsi="Times New Roman" w:cs="Times New Roman"/>
                  <w:b w:val="0"/>
                  <w:i w:val="0"/>
                  <w:color w:val="000000"/>
                  <w:sz w:val="20"/>
                  <w:u w:val="single"/>
                  <w:shd w:val="clear" w:color="auto" w:fill="auto"/>
                </w:rPr>
                <w:t xml:space="preserve">Note </w:t>
              </w:r>
            </w:hyperlink>
            <w:r>
              <w:rPr>
                <w:rFonts w:ascii="Times New Roman" w:eastAsia="Times New Roman" w:hAnsi="Times New Roman" w:cs="Times New Roman"/>
                <w:b w:val="0"/>
                <w:i w:val="0"/>
                <w:color w:val="000000"/>
                <w:sz w:val="20"/>
                <w:u w:val="single"/>
              </w:rPr>
              <w:t>12</w:t>
            </w:r>
            <w:hyperlink w:anchor="Section33" w:history="1">
              <w:r>
                <w:rPr>
                  <w:rFonts w:ascii="Times New Roman" w:eastAsia="Times New Roman" w:hAnsi="Times New Roman" w:cs="Times New Roman"/>
                  <w:b w:val="0"/>
                  <w:i w:val="0"/>
                  <w:color w:val="000000"/>
                  <w:sz w:val="20"/>
                  <w:u w:val="single"/>
                  <w:shd w:val="clear" w:color="auto" w:fill="auto"/>
                </w:rPr>
                <w:t>. New Accounting Pronouncements</w:t>
              </w:r>
            </w:hyperlink>
          </w:p>
        </w:tc>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00"/>
                <w:sz w:val="20"/>
                <w:u w:val="single"/>
              </w:rPr>
              <w:fldChar w:fldCharType="begin"/>
            </w:r>
            <w:r>
              <w:rPr>
                <w:rFonts w:ascii="Times New Roman" w:eastAsia="Times New Roman" w:hAnsi="Times New Roman" w:cs="Times New Roman"/>
                <w:b w:val="0"/>
                <w:i w:val="0"/>
                <w:color w:val="000000"/>
                <w:sz w:val="20"/>
                <w:u w:val="single"/>
              </w:rPr>
              <w:instrText xml:space="preserve"> PAGEREF </w:instrText>
            </w:r>
            <w:r>
              <w:rPr>
                <w:rFonts w:ascii="Times New Roman" w:eastAsia="Times New Roman" w:hAnsi="Times New Roman" w:cs="Times New Roman"/>
                <w:b w:val="0"/>
                <w:i w:val="0"/>
                <w:color w:val="000000"/>
                <w:sz w:val="20"/>
                <w:u w:val="single"/>
              </w:rPr>
              <w:instrText xml:space="preserve"> </w:instrText>
            </w:r>
            <w:r>
              <w:rPr>
                <w:rFonts w:ascii="Times New Roman" w:eastAsia="Times New Roman" w:hAnsi="Times New Roman" w:cs="Times New Roman"/>
                <w:b w:val="0"/>
                <w:i w:val="0"/>
                <w:color w:val="000000"/>
                <w:sz w:val="20"/>
                <w:u w:val="single"/>
              </w:rPr>
              <w:instrText>Section33</w:instrText>
            </w:r>
            <w:r>
              <w:rPr>
                <w:rFonts w:ascii="Times New Roman" w:eastAsia="Times New Roman" w:hAnsi="Times New Roman" w:cs="Times New Roman"/>
                <w:b w:val="0"/>
                <w:i w:val="0"/>
                <w:color w:val="000000"/>
                <w:sz w:val="20"/>
                <w:u w:val="single"/>
              </w:rPr>
              <w:instrText xml:space="preserve"> \h</w:instrText>
            </w:r>
            <w:r>
              <w:rPr>
                <w:rFonts w:ascii="Times New Roman" w:eastAsia="Times New Roman" w:hAnsi="Times New Roman" w:cs="Times New Roman"/>
                <w:b w:val="0"/>
                <w:i w:val="0"/>
                <w:color w:val="000000"/>
                <w:sz w:val="20"/>
                <w:u w:val="single"/>
              </w:rPr>
              <w:fldChar w:fldCharType="separate"/>
            </w:r>
            <w:r>
              <w:rPr>
                <w:rFonts w:ascii="Times New Roman" w:eastAsia="Times New Roman" w:hAnsi="Times New Roman" w:cs="Times New Roman"/>
                <w:b w:val="0"/>
                <w:i w:val="0"/>
                <w:color w:val="000000"/>
                <w:sz w:val="20"/>
                <w:u w:val="single"/>
              </w:rPr>
              <w:t>13</w:t>
            </w:r>
            <w:r>
              <w:rPr>
                <w:rFonts w:ascii="Times New Roman" w:eastAsia="Times New Roman" w:hAnsi="Times New Roman" w:cs="Times New Roman"/>
                <w:b w:val="0"/>
                <w:i w:val="0"/>
                <w:color w:val="000000"/>
                <w:sz w:val="20"/>
                <w:u w:val="single"/>
              </w:rPr>
              <w:fldChar w:fldCharType="end"/>
            </w:r>
          </w:p>
        </w:tc>
      </w:tr>
      <w:tr>
        <w:tblPrEx>
          <w:tblW w:w="10245" w:type="dxa"/>
          <w:jc w:val="left"/>
          <w:tblInd w:w="0" w:type="dxa"/>
          <w:tblLayout w:type="fixed"/>
          <w:tblCellMar>
            <w:left w:w="108" w:type="dxa"/>
            <w:right w:w="108" w:type="dxa"/>
          </w:tblCellMar>
        </w:tblPrEx>
        <w:trPr>
          <w:cantSplit/>
          <w:trHeight w:hRule="exact" w:val="285"/>
          <w:jc w:val="left"/>
        </w:trPr>
        <w:tc>
          <w:tcPr>
            <w:tcW w:w="13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45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45" w:type="dxa"/>
          <w:jc w:val="left"/>
          <w:tblInd w:w="0" w:type="dxa"/>
          <w:tblLayout w:type="fixed"/>
          <w:tblCellMar>
            <w:left w:w="108" w:type="dxa"/>
            <w:right w:w="108" w:type="dxa"/>
          </w:tblCellMar>
        </w:tblPrEx>
        <w:trPr>
          <w:cantSplit/>
          <w:trHeight w:hRule="exact" w:val="300"/>
          <w:jc w:val="left"/>
        </w:trPr>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left"/>
              <w:outlineLvl w:val="9"/>
              <w:rPr>
                <w:rFonts w:ascii="Times New Roman" w:eastAsia="Times New Roman" w:hAnsi="Times New Roman" w:cs="Times New Roman"/>
                <w:b w:val="0"/>
                <w:i w:val="0"/>
                <w:color w:val="000000"/>
                <w:sz w:val="20"/>
                <w:u w:val="single"/>
                <w:shd w:val="clear" w:color="auto" w:fill="auto"/>
              </w:rPr>
            </w:pPr>
            <w:hyperlink w:anchor="Section34" w:history="1">
              <w:r>
                <w:rPr>
                  <w:rFonts w:ascii="Times New Roman" w:eastAsia="Times New Roman" w:hAnsi="Times New Roman" w:cs="Times New Roman"/>
                  <w:b w:val="0"/>
                  <w:i w:val="0"/>
                  <w:color w:val="000000"/>
                  <w:sz w:val="20"/>
                  <w:u w:val="single"/>
                  <w:shd w:val="clear" w:color="auto" w:fill="auto"/>
                </w:rPr>
                <w:t>Item 2.</w:t>
              </w:r>
            </w:hyperlink>
          </w:p>
        </w:tc>
        <w:tc>
          <w:tcPr>
            <w:tcW w:w="745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left"/>
              <w:outlineLvl w:val="9"/>
              <w:rPr>
                <w:rFonts w:ascii="Times New Roman" w:eastAsia="Times New Roman" w:hAnsi="Times New Roman" w:cs="Times New Roman"/>
                <w:b w:val="0"/>
                <w:i w:val="0"/>
                <w:color w:val="000000"/>
                <w:sz w:val="20"/>
                <w:u w:val="single"/>
                <w:shd w:val="clear" w:color="auto" w:fill="auto"/>
              </w:rPr>
            </w:pPr>
            <w:hyperlink w:anchor="Section34" w:history="1">
              <w:r>
                <w:rPr>
                  <w:rFonts w:ascii="Times New Roman" w:eastAsia="Times New Roman" w:hAnsi="Times New Roman" w:cs="Times New Roman"/>
                  <w:b w:val="0"/>
                  <w:i w:val="0"/>
                  <w:color w:val="000000"/>
                  <w:sz w:val="20"/>
                  <w:u w:val="single"/>
                  <w:shd w:val="clear" w:color="auto" w:fill="auto"/>
                </w:rPr>
                <w:t>Management's Discussion and Analysis of Financial Condition and Results of Operations</w:t>
              </w:r>
            </w:hyperlink>
          </w:p>
        </w:tc>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center"/>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val="0"/>
                <w:color w:val="000000"/>
                <w:sz w:val="20"/>
                <w:u w:val="single"/>
              </w:rPr>
              <w:fldChar w:fldCharType="begin"/>
            </w:r>
            <w:r>
              <w:rPr>
                <w:rFonts w:ascii="Times New Roman" w:eastAsia="Times New Roman" w:hAnsi="Times New Roman" w:cs="Times New Roman"/>
                <w:b w:val="0"/>
                <w:i w:val="0"/>
                <w:color w:val="000000"/>
                <w:sz w:val="20"/>
                <w:u w:val="single"/>
              </w:rPr>
              <w:instrText xml:space="preserve"> PAGEREF </w:instrText>
            </w:r>
            <w:r>
              <w:rPr>
                <w:rFonts w:ascii="Times New Roman" w:eastAsia="Times New Roman" w:hAnsi="Times New Roman" w:cs="Times New Roman"/>
                <w:b w:val="0"/>
                <w:i w:val="0"/>
                <w:color w:val="000000"/>
                <w:sz w:val="20"/>
                <w:u w:val="single"/>
              </w:rPr>
              <w:instrText xml:space="preserve"> </w:instrText>
            </w:r>
            <w:r>
              <w:rPr>
                <w:rFonts w:ascii="Times New Roman" w:eastAsia="Times New Roman" w:hAnsi="Times New Roman" w:cs="Times New Roman"/>
                <w:b w:val="0"/>
                <w:i w:val="0"/>
                <w:color w:val="000000"/>
                <w:sz w:val="20"/>
                <w:u w:val="single"/>
              </w:rPr>
              <w:instrText>Section34</w:instrText>
            </w:r>
            <w:r>
              <w:rPr>
                <w:rFonts w:ascii="Times New Roman" w:eastAsia="Times New Roman" w:hAnsi="Times New Roman" w:cs="Times New Roman"/>
                <w:b w:val="0"/>
                <w:i w:val="0"/>
                <w:color w:val="000000"/>
                <w:sz w:val="20"/>
                <w:u w:val="single"/>
              </w:rPr>
              <w:instrText xml:space="preserve"> \h</w:instrText>
            </w:r>
            <w:r>
              <w:rPr>
                <w:rFonts w:ascii="Times New Roman" w:eastAsia="Times New Roman" w:hAnsi="Times New Roman" w:cs="Times New Roman"/>
                <w:b w:val="0"/>
                <w:i w:val="0"/>
                <w:color w:val="000000"/>
                <w:sz w:val="20"/>
                <w:u w:val="single"/>
              </w:rPr>
              <w:fldChar w:fldCharType="separate"/>
            </w:r>
            <w:r>
              <w:rPr>
                <w:rFonts w:ascii="Times New Roman" w:eastAsia="Times New Roman" w:hAnsi="Times New Roman" w:cs="Times New Roman"/>
                <w:b w:val="0"/>
                <w:i w:val="0"/>
                <w:color w:val="000000"/>
                <w:sz w:val="20"/>
                <w:u w:val="single"/>
              </w:rPr>
              <w:t>14</w:t>
            </w:r>
            <w:r>
              <w:rPr>
                <w:rFonts w:ascii="Times New Roman" w:eastAsia="Times New Roman" w:hAnsi="Times New Roman" w:cs="Times New Roman"/>
                <w:b w:val="0"/>
                <w:i w:val="0"/>
                <w:color w:val="000000"/>
                <w:sz w:val="20"/>
                <w:u w:val="single"/>
              </w:rPr>
              <w:fldChar w:fldCharType="end"/>
            </w:r>
          </w:p>
        </w:tc>
      </w:tr>
      <w:tr>
        <w:tblPrEx>
          <w:tblW w:w="10245" w:type="dxa"/>
          <w:jc w:val="left"/>
          <w:tblInd w:w="0" w:type="dxa"/>
          <w:tblLayout w:type="fixed"/>
          <w:tblCellMar>
            <w:left w:w="108" w:type="dxa"/>
            <w:right w:w="108" w:type="dxa"/>
          </w:tblCellMar>
        </w:tblPrEx>
        <w:trPr>
          <w:cantSplit/>
          <w:trHeight w:hRule="exact" w:val="285"/>
          <w:jc w:val="left"/>
        </w:trPr>
        <w:tc>
          <w:tcPr>
            <w:tcW w:w="13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45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360" w:right="0" w:firstLine="0"/>
              <w:jc w:val="left"/>
              <w:outlineLvl w:val="9"/>
              <w:rPr>
                <w:rFonts w:ascii="Times New Roman" w:eastAsia="Times New Roman" w:hAnsi="Times New Roman" w:cs="Times New Roman"/>
                <w:b w:val="0"/>
                <w:i w:val="0"/>
                <w:sz w:val="20"/>
                <w:shd w:val="clear" w:color="auto" w:fill="auto"/>
              </w:rPr>
            </w:pPr>
            <w:hyperlink w:anchor="Section35" w:history="1">
              <w:r>
                <w:rPr>
                  <w:rFonts w:ascii="Times New Roman" w:eastAsia="Times New Roman" w:hAnsi="Times New Roman" w:cs="Times New Roman"/>
                  <w:b w:val="0"/>
                  <w:i w:val="0"/>
                  <w:color w:val="000000"/>
                  <w:sz w:val="20"/>
                  <w:u w:val="single"/>
                  <w:shd w:val="clear" w:color="auto" w:fill="auto"/>
                </w:rPr>
                <w:t>Executive Overview</w:t>
              </w:r>
            </w:hyperlink>
          </w:p>
        </w:tc>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00"/>
                <w:sz w:val="20"/>
                <w:u w:val="single"/>
              </w:rPr>
              <w:fldChar w:fldCharType="begin"/>
            </w:r>
            <w:r>
              <w:rPr>
                <w:rFonts w:ascii="Times New Roman" w:eastAsia="Times New Roman" w:hAnsi="Times New Roman" w:cs="Times New Roman"/>
                <w:b w:val="0"/>
                <w:i w:val="0"/>
                <w:color w:val="000000"/>
                <w:sz w:val="20"/>
                <w:u w:val="single"/>
              </w:rPr>
              <w:instrText xml:space="preserve"> PAGEREF </w:instrText>
            </w:r>
            <w:r>
              <w:rPr>
                <w:rFonts w:ascii="Times New Roman" w:eastAsia="Times New Roman" w:hAnsi="Times New Roman" w:cs="Times New Roman"/>
                <w:b w:val="0"/>
                <w:i w:val="0"/>
                <w:color w:val="000000"/>
                <w:sz w:val="20"/>
                <w:u w:val="single"/>
              </w:rPr>
              <w:instrText xml:space="preserve"> </w:instrText>
            </w:r>
            <w:r>
              <w:rPr>
                <w:rFonts w:ascii="Times New Roman" w:eastAsia="Times New Roman" w:hAnsi="Times New Roman" w:cs="Times New Roman"/>
                <w:b w:val="0"/>
                <w:i w:val="0"/>
                <w:color w:val="000000"/>
                <w:sz w:val="20"/>
                <w:u w:val="single"/>
              </w:rPr>
              <w:instrText>Section35</w:instrText>
            </w:r>
            <w:r>
              <w:rPr>
                <w:rFonts w:ascii="Times New Roman" w:eastAsia="Times New Roman" w:hAnsi="Times New Roman" w:cs="Times New Roman"/>
                <w:b w:val="0"/>
                <w:i w:val="0"/>
                <w:color w:val="000000"/>
                <w:sz w:val="20"/>
                <w:u w:val="single"/>
              </w:rPr>
              <w:instrText xml:space="preserve"> \h</w:instrText>
            </w:r>
            <w:r>
              <w:rPr>
                <w:rFonts w:ascii="Times New Roman" w:eastAsia="Times New Roman" w:hAnsi="Times New Roman" w:cs="Times New Roman"/>
                <w:b w:val="0"/>
                <w:i w:val="0"/>
                <w:color w:val="000000"/>
                <w:sz w:val="20"/>
                <w:u w:val="single"/>
              </w:rPr>
              <w:fldChar w:fldCharType="separate"/>
            </w:r>
            <w:r>
              <w:rPr>
                <w:rFonts w:ascii="Times New Roman" w:eastAsia="Times New Roman" w:hAnsi="Times New Roman" w:cs="Times New Roman"/>
                <w:b w:val="0"/>
                <w:i w:val="0"/>
                <w:color w:val="000000"/>
                <w:sz w:val="20"/>
                <w:u w:val="single"/>
              </w:rPr>
              <w:t>14</w:t>
            </w:r>
            <w:r>
              <w:rPr>
                <w:rFonts w:ascii="Times New Roman" w:eastAsia="Times New Roman" w:hAnsi="Times New Roman" w:cs="Times New Roman"/>
                <w:b w:val="0"/>
                <w:i w:val="0"/>
                <w:color w:val="000000"/>
                <w:sz w:val="20"/>
                <w:u w:val="single"/>
              </w:rPr>
              <w:fldChar w:fldCharType="end"/>
            </w:r>
          </w:p>
        </w:tc>
      </w:tr>
      <w:tr>
        <w:tblPrEx>
          <w:tblW w:w="10245" w:type="dxa"/>
          <w:jc w:val="left"/>
          <w:tblInd w:w="0" w:type="dxa"/>
          <w:tblLayout w:type="fixed"/>
          <w:tblCellMar>
            <w:left w:w="108" w:type="dxa"/>
            <w:right w:w="108" w:type="dxa"/>
          </w:tblCellMar>
        </w:tblPrEx>
        <w:trPr>
          <w:cantSplit/>
          <w:trHeight w:hRule="exact" w:val="285"/>
          <w:jc w:val="left"/>
        </w:trPr>
        <w:tc>
          <w:tcPr>
            <w:tcW w:w="13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45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360" w:right="0" w:firstLine="0"/>
              <w:jc w:val="left"/>
              <w:outlineLvl w:val="9"/>
              <w:rPr>
                <w:rFonts w:ascii="Times New Roman" w:eastAsia="Times New Roman" w:hAnsi="Times New Roman" w:cs="Times New Roman"/>
                <w:b w:val="0"/>
                <w:i w:val="0"/>
                <w:sz w:val="20"/>
                <w:shd w:val="clear" w:color="auto" w:fill="auto"/>
              </w:rPr>
            </w:pPr>
            <w:hyperlink w:anchor="Section40" w:history="1">
              <w:r>
                <w:rPr>
                  <w:rFonts w:ascii="Times New Roman" w:eastAsia="Times New Roman" w:hAnsi="Times New Roman" w:cs="Times New Roman"/>
                  <w:b w:val="0"/>
                  <w:i w:val="0"/>
                  <w:color w:val="000000"/>
                  <w:sz w:val="20"/>
                  <w:u w:val="single"/>
                  <w:shd w:val="clear" w:color="auto" w:fill="auto"/>
                </w:rPr>
                <w:t>Liquidity and Capital Resources</w:t>
              </w:r>
            </w:hyperlink>
          </w:p>
        </w:tc>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00"/>
                <w:sz w:val="20"/>
                <w:u w:val="single"/>
              </w:rPr>
              <w:fldChar w:fldCharType="begin"/>
            </w:r>
            <w:r>
              <w:rPr>
                <w:rFonts w:ascii="Times New Roman" w:eastAsia="Times New Roman" w:hAnsi="Times New Roman" w:cs="Times New Roman"/>
                <w:b w:val="0"/>
                <w:i w:val="0"/>
                <w:color w:val="000000"/>
                <w:sz w:val="20"/>
                <w:u w:val="single"/>
              </w:rPr>
              <w:instrText xml:space="preserve"> PAGEREF </w:instrText>
            </w:r>
            <w:r>
              <w:rPr>
                <w:rFonts w:ascii="Times New Roman" w:eastAsia="Times New Roman" w:hAnsi="Times New Roman" w:cs="Times New Roman"/>
                <w:b w:val="0"/>
                <w:i w:val="0"/>
                <w:color w:val="000000"/>
                <w:sz w:val="20"/>
                <w:u w:val="single"/>
              </w:rPr>
              <w:instrText xml:space="preserve"> </w:instrText>
            </w:r>
            <w:r>
              <w:rPr>
                <w:rFonts w:ascii="Times New Roman" w:eastAsia="Times New Roman" w:hAnsi="Times New Roman" w:cs="Times New Roman"/>
                <w:b w:val="0"/>
                <w:i w:val="0"/>
                <w:color w:val="000000"/>
                <w:sz w:val="20"/>
                <w:u w:val="single"/>
              </w:rPr>
              <w:instrText>Section40</w:instrText>
            </w:r>
            <w:r>
              <w:rPr>
                <w:rFonts w:ascii="Times New Roman" w:eastAsia="Times New Roman" w:hAnsi="Times New Roman" w:cs="Times New Roman"/>
                <w:b w:val="0"/>
                <w:i w:val="0"/>
                <w:color w:val="000000"/>
                <w:sz w:val="20"/>
                <w:u w:val="single"/>
              </w:rPr>
              <w:instrText xml:space="preserve"> \h</w:instrText>
            </w:r>
            <w:r>
              <w:rPr>
                <w:rFonts w:ascii="Times New Roman" w:eastAsia="Times New Roman" w:hAnsi="Times New Roman" w:cs="Times New Roman"/>
                <w:b w:val="0"/>
                <w:i w:val="0"/>
                <w:color w:val="000000"/>
                <w:sz w:val="20"/>
                <w:u w:val="single"/>
              </w:rPr>
              <w:fldChar w:fldCharType="separate"/>
            </w:r>
            <w:r>
              <w:rPr>
                <w:rFonts w:ascii="Times New Roman" w:eastAsia="Times New Roman" w:hAnsi="Times New Roman" w:cs="Times New Roman"/>
                <w:b w:val="0"/>
                <w:i w:val="0"/>
                <w:color w:val="000000"/>
                <w:sz w:val="20"/>
                <w:u w:val="single"/>
              </w:rPr>
              <w:t>17</w:t>
            </w:r>
            <w:r>
              <w:rPr>
                <w:rFonts w:ascii="Times New Roman" w:eastAsia="Times New Roman" w:hAnsi="Times New Roman" w:cs="Times New Roman"/>
                <w:b w:val="0"/>
                <w:i w:val="0"/>
                <w:color w:val="000000"/>
                <w:sz w:val="20"/>
                <w:u w:val="single"/>
              </w:rPr>
              <w:fldChar w:fldCharType="end"/>
            </w:r>
          </w:p>
        </w:tc>
      </w:tr>
      <w:tr>
        <w:tblPrEx>
          <w:tblW w:w="10245" w:type="dxa"/>
          <w:jc w:val="left"/>
          <w:tblInd w:w="0" w:type="dxa"/>
          <w:tblLayout w:type="fixed"/>
          <w:tblCellMar>
            <w:left w:w="108" w:type="dxa"/>
            <w:right w:w="108" w:type="dxa"/>
          </w:tblCellMar>
        </w:tblPrEx>
        <w:trPr>
          <w:cantSplit/>
          <w:trHeight w:hRule="exact" w:val="285"/>
          <w:jc w:val="left"/>
        </w:trPr>
        <w:tc>
          <w:tcPr>
            <w:tcW w:w="13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45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360" w:right="0" w:firstLine="0"/>
              <w:jc w:val="left"/>
              <w:outlineLvl w:val="9"/>
              <w:rPr>
                <w:rFonts w:ascii="Times New Roman" w:eastAsia="Times New Roman" w:hAnsi="Times New Roman" w:cs="Times New Roman"/>
                <w:b w:val="0"/>
                <w:i w:val="0"/>
                <w:sz w:val="20"/>
                <w:shd w:val="clear" w:color="auto" w:fill="auto"/>
              </w:rPr>
            </w:pPr>
            <w:hyperlink w:anchor="Section44" w:history="1">
              <w:r>
                <w:rPr>
                  <w:rFonts w:ascii="Times New Roman" w:eastAsia="Times New Roman" w:hAnsi="Times New Roman" w:cs="Times New Roman"/>
                  <w:b w:val="0"/>
                  <w:i w:val="0"/>
                  <w:color w:val="000000"/>
                  <w:sz w:val="20"/>
                  <w:u w:val="single"/>
                  <w:shd w:val="clear" w:color="auto" w:fill="auto"/>
                </w:rPr>
                <w:t>Business Environment and Results of Operations</w:t>
              </w:r>
            </w:hyperlink>
          </w:p>
        </w:tc>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00"/>
                <w:sz w:val="20"/>
                <w:u w:val="single"/>
              </w:rPr>
              <w:fldChar w:fldCharType="begin"/>
            </w:r>
            <w:r>
              <w:rPr>
                <w:rFonts w:ascii="Times New Roman" w:eastAsia="Times New Roman" w:hAnsi="Times New Roman" w:cs="Times New Roman"/>
                <w:b w:val="0"/>
                <w:i w:val="0"/>
                <w:color w:val="000000"/>
                <w:sz w:val="20"/>
                <w:u w:val="single"/>
              </w:rPr>
              <w:instrText xml:space="preserve"> PAGEREF </w:instrText>
            </w:r>
            <w:r>
              <w:rPr>
                <w:rFonts w:ascii="Times New Roman" w:eastAsia="Times New Roman" w:hAnsi="Times New Roman" w:cs="Times New Roman"/>
                <w:b w:val="0"/>
                <w:i w:val="0"/>
                <w:color w:val="000000"/>
                <w:sz w:val="20"/>
                <w:u w:val="single"/>
              </w:rPr>
              <w:instrText xml:space="preserve"> </w:instrText>
            </w:r>
            <w:r>
              <w:rPr>
                <w:rFonts w:ascii="Times New Roman" w:eastAsia="Times New Roman" w:hAnsi="Times New Roman" w:cs="Times New Roman"/>
                <w:b w:val="0"/>
                <w:i w:val="0"/>
                <w:color w:val="000000"/>
                <w:sz w:val="20"/>
                <w:u w:val="single"/>
              </w:rPr>
              <w:instrText>Section44</w:instrText>
            </w:r>
            <w:r>
              <w:rPr>
                <w:rFonts w:ascii="Times New Roman" w:eastAsia="Times New Roman" w:hAnsi="Times New Roman" w:cs="Times New Roman"/>
                <w:b w:val="0"/>
                <w:i w:val="0"/>
                <w:color w:val="000000"/>
                <w:sz w:val="20"/>
                <w:u w:val="single"/>
              </w:rPr>
              <w:instrText xml:space="preserve"> \h</w:instrText>
            </w:r>
            <w:r>
              <w:rPr>
                <w:rFonts w:ascii="Times New Roman" w:eastAsia="Times New Roman" w:hAnsi="Times New Roman" w:cs="Times New Roman"/>
                <w:b w:val="0"/>
                <w:i w:val="0"/>
                <w:color w:val="000000"/>
                <w:sz w:val="20"/>
                <w:u w:val="single"/>
              </w:rPr>
              <w:fldChar w:fldCharType="separate"/>
            </w:r>
            <w:r>
              <w:rPr>
                <w:rFonts w:ascii="Times New Roman" w:eastAsia="Times New Roman" w:hAnsi="Times New Roman" w:cs="Times New Roman"/>
                <w:b w:val="0"/>
                <w:i w:val="0"/>
                <w:color w:val="000000"/>
                <w:sz w:val="20"/>
                <w:u w:val="single"/>
              </w:rPr>
              <w:t>19</w:t>
            </w:r>
            <w:r>
              <w:rPr>
                <w:rFonts w:ascii="Times New Roman" w:eastAsia="Times New Roman" w:hAnsi="Times New Roman" w:cs="Times New Roman"/>
                <w:b w:val="0"/>
                <w:i w:val="0"/>
                <w:color w:val="000000"/>
                <w:sz w:val="20"/>
                <w:u w:val="single"/>
              </w:rPr>
              <w:fldChar w:fldCharType="end"/>
            </w:r>
          </w:p>
        </w:tc>
      </w:tr>
      <w:tr>
        <w:tblPrEx>
          <w:tblW w:w="10245" w:type="dxa"/>
          <w:jc w:val="left"/>
          <w:tblInd w:w="0" w:type="dxa"/>
          <w:tblLayout w:type="fixed"/>
          <w:tblCellMar>
            <w:left w:w="108" w:type="dxa"/>
            <w:right w:w="108" w:type="dxa"/>
          </w:tblCellMar>
        </w:tblPrEx>
        <w:trPr>
          <w:cantSplit/>
          <w:trHeight w:hRule="exact" w:val="285"/>
          <w:jc w:val="left"/>
        </w:trPr>
        <w:tc>
          <w:tcPr>
            <w:tcW w:w="13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45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360" w:right="0" w:firstLine="0"/>
              <w:jc w:val="left"/>
              <w:outlineLvl w:val="9"/>
              <w:rPr>
                <w:rFonts w:ascii="Times New Roman" w:eastAsia="Times New Roman" w:hAnsi="Times New Roman" w:cs="Times New Roman"/>
                <w:b w:val="0"/>
                <w:i w:val="0"/>
                <w:sz w:val="20"/>
                <w:shd w:val="clear" w:color="auto" w:fill="auto"/>
              </w:rPr>
            </w:pPr>
            <w:hyperlink w:anchor="Section45" w:history="1">
              <w:r>
                <w:rPr>
                  <w:rFonts w:ascii="Times New Roman" w:eastAsia="Times New Roman" w:hAnsi="Times New Roman" w:cs="Times New Roman"/>
                  <w:b w:val="0"/>
                  <w:i w:val="0"/>
                  <w:color w:val="000000"/>
                  <w:sz w:val="20"/>
                  <w:u w:val="single"/>
                  <w:shd w:val="clear" w:color="auto" w:fill="auto"/>
                </w:rPr>
                <w:t>Results of Operations in 2025 Compared to 2024</w:t>
              </w:r>
            </w:hyperlink>
          </w:p>
        </w:tc>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00"/>
                <w:sz w:val="20"/>
                <w:u w:val="single"/>
              </w:rPr>
              <w:fldChar w:fldCharType="begin"/>
            </w:r>
            <w:r>
              <w:rPr>
                <w:rFonts w:ascii="Times New Roman" w:eastAsia="Times New Roman" w:hAnsi="Times New Roman" w:cs="Times New Roman"/>
                <w:b w:val="0"/>
                <w:i w:val="0"/>
                <w:color w:val="000000"/>
                <w:sz w:val="20"/>
                <w:u w:val="single"/>
              </w:rPr>
              <w:instrText xml:space="preserve"> PAGEREF </w:instrText>
            </w:r>
            <w:r>
              <w:rPr>
                <w:rFonts w:ascii="Times New Roman" w:eastAsia="Times New Roman" w:hAnsi="Times New Roman" w:cs="Times New Roman"/>
                <w:b w:val="0"/>
                <w:i w:val="0"/>
                <w:color w:val="000000"/>
                <w:sz w:val="20"/>
                <w:u w:val="single"/>
              </w:rPr>
              <w:instrText xml:space="preserve"> </w:instrText>
            </w:r>
            <w:r>
              <w:rPr>
                <w:rFonts w:ascii="Times New Roman" w:eastAsia="Times New Roman" w:hAnsi="Times New Roman" w:cs="Times New Roman"/>
                <w:b w:val="0"/>
                <w:i w:val="0"/>
                <w:color w:val="000000"/>
                <w:sz w:val="20"/>
                <w:u w:val="single"/>
              </w:rPr>
              <w:instrText>Section45</w:instrText>
            </w:r>
            <w:r>
              <w:rPr>
                <w:rFonts w:ascii="Times New Roman" w:eastAsia="Times New Roman" w:hAnsi="Times New Roman" w:cs="Times New Roman"/>
                <w:b w:val="0"/>
                <w:i w:val="0"/>
                <w:color w:val="000000"/>
                <w:sz w:val="20"/>
                <w:u w:val="single"/>
              </w:rPr>
              <w:instrText xml:space="preserve"> \h</w:instrText>
            </w:r>
            <w:r>
              <w:rPr>
                <w:rFonts w:ascii="Times New Roman" w:eastAsia="Times New Roman" w:hAnsi="Times New Roman" w:cs="Times New Roman"/>
                <w:b w:val="0"/>
                <w:i w:val="0"/>
                <w:color w:val="000000"/>
                <w:sz w:val="20"/>
                <w:u w:val="single"/>
              </w:rPr>
              <w:fldChar w:fldCharType="separate"/>
            </w:r>
            <w:r>
              <w:rPr>
                <w:rFonts w:ascii="Times New Roman" w:eastAsia="Times New Roman" w:hAnsi="Times New Roman" w:cs="Times New Roman"/>
                <w:b w:val="0"/>
                <w:i w:val="0"/>
                <w:color w:val="000000"/>
                <w:sz w:val="20"/>
                <w:u w:val="single"/>
              </w:rPr>
              <w:t>21</w:t>
            </w:r>
            <w:r>
              <w:rPr>
                <w:rFonts w:ascii="Times New Roman" w:eastAsia="Times New Roman" w:hAnsi="Times New Roman" w:cs="Times New Roman"/>
                <w:b w:val="0"/>
                <w:i w:val="0"/>
                <w:color w:val="000000"/>
                <w:sz w:val="20"/>
                <w:u w:val="single"/>
              </w:rPr>
              <w:fldChar w:fldCharType="end"/>
            </w:r>
          </w:p>
        </w:tc>
      </w:tr>
      <w:tr>
        <w:tblPrEx>
          <w:tblW w:w="10245" w:type="dxa"/>
          <w:jc w:val="left"/>
          <w:tblInd w:w="0" w:type="dxa"/>
          <w:tblLayout w:type="fixed"/>
          <w:tblCellMar>
            <w:left w:w="108" w:type="dxa"/>
            <w:right w:w="108" w:type="dxa"/>
          </w:tblCellMar>
        </w:tblPrEx>
        <w:trPr>
          <w:cantSplit/>
          <w:trHeight w:hRule="exact" w:val="285"/>
          <w:jc w:val="left"/>
        </w:trPr>
        <w:tc>
          <w:tcPr>
            <w:tcW w:w="13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45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360" w:right="0" w:firstLine="0"/>
              <w:jc w:val="left"/>
              <w:outlineLvl w:val="9"/>
              <w:rPr>
                <w:rFonts w:ascii="Times New Roman" w:eastAsia="Times New Roman" w:hAnsi="Times New Roman" w:cs="Times New Roman"/>
                <w:b w:val="0"/>
                <w:i w:val="0"/>
                <w:sz w:val="20"/>
                <w:shd w:val="clear" w:color="auto" w:fill="auto"/>
              </w:rPr>
            </w:pPr>
            <w:hyperlink w:anchor="Section46" w:history="1">
              <w:r>
                <w:rPr>
                  <w:rFonts w:ascii="Times New Roman" w:eastAsia="Times New Roman" w:hAnsi="Times New Roman" w:cs="Times New Roman"/>
                  <w:b w:val="0"/>
                  <w:i w:val="0"/>
                  <w:color w:val="000000"/>
                  <w:sz w:val="20"/>
                  <w:u w:val="single"/>
                  <w:shd w:val="clear" w:color="auto" w:fill="auto"/>
                </w:rPr>
                <w:t>Forward-Looking Information</w:t>
              </w:r>
            </w:hyperlink>
          </w:p>
        </w:tc>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00"/>
                <w:sz w:val="20"/>
                <w:u w:val="single"/>
              </w:rPr>
              <w:fldChar w:fldCharType="begin"/>
            </w:r>
            <w:r>
              <w:rPr>
                <w:rFonts w:ascii="Times New Roman" w:eastAsia="Times New Roman" w:hAnsi="Times New Roman" w:cs="Times New Roman"/>
                <w:b w:val="0"/>
                <w:i w:val="0"/>
                <w:color w:val="000000"/>
                <w:sz w:val="20"/>
                <w:u w:val="single"/>
              </w:rPr>
              <w:instrText xml:space="preserve"> PAGEREF </w:instrText>
            </w:r>
            <w:r>
              <w:rPr>
                <w:rFonts w:ascii="Times New Roman" w:eastAsia="Times New Roman" w:hAnsi="Times New Roman" w:cs="Times New Roman"/>
                <w:b w:val="0"/>
                <w:i w:val="0"/>
                <w:color w:val="000000"/>
                <w:sz w:val="20"/>
                <w:u w:val="single"/>
              </w:rPr>
              <w:instrText xml:space="preserve"> </w:instrText>
            </w:r>
            <w:r>
              <w:rPr>
                <w:rFonts w:ascii="Times New Roman" w:eastAsia="Times New Roman" w:hAnsi="Times New Roman" w:cs="Times New Roman"/>
                <w:b w:val="0"/>
                <w:i w:val="0"/>
                <w:color w:val="000000"/>
                <w:sz w:val="20"/>
                <w:u w:val="single"/>
              </w:rPr>
              <w:instrText>Section46</w:instrText>
            </w:r>
            <w:r>
              <w:rPr>
                <w:rFonts w:ascii="Times New Roman" w:eastAsia="Times New Roman" w:hAnsi="Times New Roman" w:cs="Times New Roman"/>
                <w:b w:val="0"/>
                <w:i w:val="0"/>
                <w:color w:val="000000"/>
                <w:sz w:val="20"/>
                <w:u w:val="single"/>
              </w:rPr>
              <w:instrText xml:space="preserve"> \h</w:instrText>
            </w:r>
            <w:r>
              <w:rPr>
                <w:rFonts w:ascii="Times New Roman" w:eastAsia="Times New Roman" w:hAnsi="Times New Roman" w:cs="Times New Roman"/>
                <w:b w:val="0"/>
                <w:i w:val="0"/>
                <w:color w:val="000000"/>
                <w:sz w:val="20"/>
                <w:u w:val="single"/>
              </w:rPr>
              <w:fldChar w:fldCharType="separate"/>
            </w:r>
            <w:r>
              <w:rPr>
                <w:rFonts w:ascii="Times New Roman" w:eastAsia="Times New Roman" w:hAnsi="Times New Roman" w:cs="Times New Roman"/>
                <w:b w:val="0"/>
                <w:i w:val="0"/>
                <w:color w:val="000000"/>
                <w:sz w:val="20"/>
                <w:u w:val="single"/>
              </w:rPr>
              <w:t>24</w:t>
            </w:r>
            <w:r>
              <w:rPr>
                <w:rFonts w:ascii="Times New Roman" w:eastAsia="Times New Roman" w:hAnsi="Times New Roman" w:cs="Times New Roman"/>
                <w:b w:val="0"/>
                <w:i w:val="0"/>
                <w:color w:val="000000"/>
                <w:sz w:val="20"/>
                <w:u w:val="single"/>
              </w:rPr>
              <w:fldChar w:fldCharType="end"/>
            </w:r>
          </w:p>
        </w:tc>
      </w:tr>
      <w:tr>
        <w:tblPrEx>
          <w:tblW w:w="10245" w:type="dxa"/>
          <w:jc w:val="left"/>
          <w:tblInd w:w="0" w:type="dxa"/>
          <w:tblLayout w:type="fixed"/>
          <w:tblCellMar>
            <w:left w:w="108" w:type="dxa"/>
            <w:right w:w="108" w:type="dxa"/>
          </w:tblCellMar>
        </w:tblPrEx>
        <w:trPr>
          <w:cantSplit/>
          <w:trHeight w:hRule="exact" w:val="285"/>
          <w:jc w:val="left"/>
        </w:trPr>
        <w:tc>
          <w:tcPr>
            <w:tcW w:w="139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 </w:t>
            </w:r>
          </w:p>
        </w:tc>
        <w:tc>
          <w:tcPr>
            <w:tcW w:w="745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 </w:t>
            </w:r>
          </w:p>
        </w:tc>
        <w:tc>
          <w:tcPr>
            <w:tcW w:w="139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 </w:t>
            </w:r>
          </w:p>
        </w:tc>
      </w:tr>
      <w:tr>
        <w:tblPrEx>
          <w:tblW w:w="10245" w:type="dxa"/>
          <w:jc w:val="left"/>
          <w:tblInd w:w="0" w:type="dxa"/>
          <w:tblLayout w:type="fixed"/>
          <w:tblCellMar>
            <w:left w:w="108" w:type="dxa"/>
            <w:right w:w="108" w:type="dxa"/>
          </w:tblCellMar>
        </w:tblPrEx>
        <w:trPr>
          <w:cantSplit/>
          <w:trHeight w:hRule="exact" w:val="285"/>
          <w:jc w:val="left"/>
        </w:trPr>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left"/>
              <w:outlineLvl w:val="9"/>
              <w:rPr>
                <w:rFonts w:ascii="Times New Roman" w:eastAsia="Times New Roman" w:hAnsi="Times New Roman" w:cs="Times New Roman"/>
                <w:b w:val="0"/>
                <w:i w:val="0"/>
                <w:color w:val="000000"/>
                <w:sz w:val="20"/>
                <w:u w:val="single"/>
                <w:shd w:val="clear" w:color="auto" w:fill="auto"/>
              </w:rPr>
            </w:pPr>
            <w:hyperlink w:anchor="Section47" w:history="1">
              <w:r>
                <w:rPr>
                  <w:rFonts w:ascii="Times New Roman" w:eastAsia="Times New Roman" w:hAnsi="Times New Roman" w:cs="Times New Roman"/>
                  <w:b w:val="0"/>
                  <w:i w:val="0"/>
                  <w:color w:val="000000"/>
                  <w:sz w:val="20"/>
                  <w:u w:val="single"/>
                  <w:shd w:val="clear" w:color="auto" w:fill="auto"/>
                </w:rPr>
                <w:t>Item 3.</w:t>
              </w:r>
            </w:hyperlink>
          </w:p>
        </w:tc>
        <w:tc>
          <w:tcPr>
            <w:tcW w:w="745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left"/>
              <w:outlineLvl w:val="9"/>
              <w:rPr>
                <w:rFonts w:ascii="Times New Roman" w:eastAsia="Times New Roman" w:hAnsi="Times New Roman" w:cs="Times New Roman"/>
                <w:b w:val="0"/>
                <w:i w:val="0"/>
                <w:color w:val="000000"/>
                <w:sz w:val="20"/>
                <w:u w:val="single"/>
                <w:shd w:val="clear" w:color="auto" w:fill="auto"/>
              </w:rPr>
            </w:pPr>
            <w:hyperlink w:anchor="Section47" w:history="1">
              <w:r>
                <w:rPr>
                  <w:rFonts w:ascii="Times New Roman" w:eastAsia="Times New Roman" w:hAnsi="Times New Roman" w:cs="Times New Roman"/>
                  <w:b w:val="0"/>
                  <w:i w:val="0"/>
                  <w:color w:val="000000"/>
                  <w:sz w:val="20"/>
                  <w:u w:val="single"/>
                  <w:shd w:val="clear" w:color="auto" w:fill="auto"/>
                </w:rPr>
                <w:t>Quantitative and Qualitative Disclosures About Market Risk</w:t>
              </w:r>
            </w:hyperlink>
          </w:p>
        </w:tc>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center"/>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val="0"/>
                <w:color w:val="000000"/>
                <w:sz w:val="20"/>
                <w:u w:val="single"/>
              </w:rPr>
              <w:fldChar w:fldCharType="begin"/>
            </w:r>
            <w:r>
              <w:rPr>
                <w:rFonts w:ascii="Times New Roman" w:eastAsia="Times New Roman" w:hAnsi="Times New Roman" w:cs="Times New Roman"/>
                <w:b w:val="0"/>
                <w:i w:val="0"/>
                <w:color w:val="000000"/>
                <w:sz w:val="20"/>
                <w:u w:val="single"/>
              </w:rPr>
              <w:instrText xml:space="preserve"> PAGEREF </w:instrText>
            </w:r>
            <w:r>
              <w:rPr>
                <w:rFonts w:ascii="Times New Roman" w:eastAsia="Times New Roman" w:hAnsi="Times New Roman" w:cs="Times New Roman"/>
                <w:b w:val="0"/>
                <w:i w:val="0"/>
                <w:color w:val="000000"/>
                <w:sz w:val="20"/>
                <w:u w:val="single"/>
              </w:rPr>
              <w:instrText xml:space="preserve"> </w:instrText>
            </w:r>
            <w:r>
              <w:rPr>
                <w:rFonts w:ascii="Times New Roman" w:eastAsia="Times New Roman" w:hAnsi="Times New Roman" w:cs="Times New Roman"/>
                <w:b w:val="0"/>
                <w:i w:val="0"/>
                <w:color w:val="000000"/>
                <w:sz w:val="20"/>
                <w:u w:val="single"/>
              </w:rPr>
              <w:instrText>Section47</w:instrText>
            </w:r>
            <w:r>
              <w:rPr>
                <w:rFonts w:ascii="Times New Roman" w:eastAsia="Times New Roman" w:hAnsi="Times New Roman" w:cs="Times New Roman"/>
                <w:b w:val="0"/>
                <w:i w:val="0"/>
                <w:color w:val="000000"/>
                <w:sz w:val="20"/>
                <w:u w:val="single"/>
              </w:rPr>
              <w:instrText xml:space="preserve"> \h</w:instrText>
            </w:r>
            <w:r>
              <w:rPr>
                <w:rFonts w:ascii="Times New Roman" w:eastAsia="Times New Roman" w:hAnsi="Times New Roman" w:cs="Times New Roman"/>
                <w:b w:val="0"/>
                <w:i w:val="0"/>
                <w:color w:val="000000"/>
                <w:sz w:val="20"/>
                <w:u w:val="single"/>
              </w:rPr>
              <w:fldChar w:fldCharType="separate"/>
            </w:r>
            <w:r>
              <w:rPr>
                <w:rFonts w:ascii="Times New Roman" w:eastAsia="Times New Roman" w:hAnsi="Times New Roman" w:cs="Times New Roman"/>
                <w:b w:val="0"/>
                <w:i w:val="0"/>
                <w:color w:val="000000"/>
                <w:sz w:val="20"/>
                <w:u w:val="single"/>
              </w:rPr>
              <w:t>24</w:t>
            </w:r>
            <w:r>
              <w:rPr>
                <w:rFonts w:ascii="Times New Roman" w:eastAsia="Times New Roman" w:hAnsi="Times New Roman" w:cs="Times New Roman"/>
                <w:b w:val="0"/>
                <w:i w:val="0"/>
                <w:color w:val="000000"/>
                <w:sz w:val="20"/>
                <w:u w:val="single"/>
              </w:rPr>
              <w:fldChar w:fldCharType="end"/>
            </w:r>
          </w:p>
        </w:tc>
      </w:tr>
      <w:tr>
        <w:tblPrEx>
          <w:tblW w:w="10245" w:type="dxa"/>
          <w:jc w:val="left"/>
          <w:tblInd w:w="0" w:type="dxa"/>
          <w:tblLayout w:type="fixed"/>
          <w:tblCellMar>
            <w:left w:w="108" w:type="dxa"/>
            <w:right w:w="108" w:type="dxa"/>
          </w:tblCellMar>
        </w:tblPrEx>
        <w:trPr>
          <w:cantSplit/>
          <w:trHeight w:hRule="exact" w:val="285"/>
          <w:jc w:val="left"/>
        </w:trPr>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left"/>
              <w:outlineLvl w:val="9"/>
              <w:rPr>
                <w:rFonts w:ascii="Times New Roman" w:eastAsia="Times New Roman" w:hAnsi="Times New Roman" w:cs="Times New Roman"/>
                <w:b w:val="0"/>
                <w:i w:val="0"/>
                <w:color w:val="000000"/>
                <w:sz w:val="20"/>
                <w:u w:val="single"/>
                <w:shd w:val="clear" w:color="auto" w:fill="auto"/>
              </w:rPr>
            </w:pPr>
            <w:hyperlink w:anchor="Section48" w:history="1">
              <w:r>
                <w:rPr>
                  <w:rFonts w:ascii="Times New Roman" w:eastAsia="Times New Roman" w:hAnsi="Times New Roman" w:cs="Times New Roman"/>
                  <w:b w:val="0"/>
                  <w:i w:val="0"/>
                  <w:color w:val="000000"/>
                  <w:sz w:val="20"/>
                  <w:u w:val="single"/>
                  <w:shd w:val="clear" w:color="auto" w:fill="auto"/>
                </w:rPr>
                <w:t>Item 4.</w:t>
              </w:r>
            </w:hyperlink>
          </w:p>
        </w:tc>
        <w:tc>
          <w:tcPr>
            <w:tcW w:w="745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left"/>
              <w:outlineLvl w:val="9"/>
              <w:rPr>
                <w:rFonts w:ascii="Times New Roman" w:eastAsia="Times New Roman" w:hAnsi="Times New Roman" w:cs="Times New Roman"/>
                <w:b w:val="0"/>
                <w:i w:val="0"/>
                <w:color w:val="000000"/>
                <w:sz w:val="20"/>
                <w:u w:val="single"/>
                <w:shd w:val="clear" w:color="auto" w:fill="auto"/>
              </w:rPr>
            </w:pPr>
            <w:hyperlink w:anchor="Section48" w:history="1">
              <w:r>
                <w:rPr>
                  <w:rFonts w:ascii="Times New Roman" w:eastAsia="Times New Roman" w:hAnsi="Times New Roman" w:cs="Times New Roman"/>
                  <w:b w:val="0"/>
                  <w:i w:val="0"/>
                  <w:color w:val="000000"/>
                  <w:sz w:val="20"/>
                  <w:u w:val="single"/>
                  <w:shd w:val="clear" w:color="auto" w:fill="auto"/>
                </w:rPr>
                <w:t>Controls and Procedures</w:t>
              </w:r>
            </w:hyperlink>
          </w:p>
        </w:tc>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center"/>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val="0"/>
                <w:color w:val="000000"/>
                <w:sz w:val="20"/>
                <w:u w:val="single"/>
              </w:rPr>
              <w:fldChar w:fldCharType="begin"/>
            </w:r>
            <w:r>
              <w:rPr>
                <w:rFonts w:ascii="Times New Roman" w:eastAsia="Times New Roman" w:hAnsi="Times New Roman" w:cs="Times New Roman"/>
                <w:b w:val="0"/>
                <w:i w:val="0"/>
                <w:color w:val="000000"/>
                <w:sz w:val="20"/>
                <w:u w:val="single"/>
              </w:rPr>
              <w:instrText xml:space="preserve"> PAGEREF </w:instrText>
            </w:r>
            <w:r>
              <w:rPr>
                <w:rFonts w:ascii="Times New Roman" w:eastAsia="Times New Roman" w:hAnsi="Times New Roman" w:cs="Times New Roman"/>
                <w:b w:val="0"/>
                <w:i w:val="0"/>
                <w:color w:val="000000"/>
                <w:sz w:val="20"/>
                <w:u w:val="single"/>
              </w:rPr>
              <w:instrText xml:space="preserve"> </w:instrText>
            </w:r>
            <w:r>
              <w:rPr>
                <w:rFonts w:ascii="Times New Roman" w:eastAsia="Times New Roman" w:hAnsi="Times New Roman" w:cs="Times New Roman"/>
                <w:b w:val="0"/>
                <w:i w:val="0"/>
                <w:color w:val="000000"/>
                <w:sz w:val="20"/>
                <w:u w:val="single"/>
              </w:rPr>
              <w:instrText>Section48</w:instrText>
            </w:r>
            <w:r>
              <w:rPr>
                <w:rFonts w:ascii="Times New Roman" w:eastAsia="Times New Roman" w:hAnsi="Times New Roman" w:cs="Times New Roman"/>
                <w:b w:val="0"/>
                <w:i w:val="0"/>
                <w:color w:val="000000"/>
                <w:sz w:val="20"/>
                <w:u w:val="single"/>
              </w:rPr>
              <w:instrText xml:space="preserve"> \h</w:instrText>
            </w:r>
            <w:r>
              <w:rPr>
                <w:rFonts w:ascii="Times New Roman" w:eastAsia="Times New Roman" w:hAnsi="Times New Roman" w:cs="Times New Roman"/>
                <w:b w:val="0"/>
                <w:i w:val="0"/>
                <w:color w:val="000000"/>
                <w:sz w:val="20"/>
                <w:u w:val="single"/>
              </w:rPr>
              <w:fldChar w:fldCharType="separate"/>
            </w:r>
            <w:r>
              <w:rPr>
                <w:rFonts w:ascii="Times New Roman" w:eastAsia="Times New Roman" w:hAnsi="Times New Roman" w:cs="Times New Roman"/>
                <w:b w:val="0"/>
                <w:i w:val="0"/>
                <w:color w:val="000000"/>
                <w:sz w:val="20"/>
                <w:u w:val="single"/>
              </w:rPr>
              <w:t>24</w:t>
            </w:r>
            <w:r>
              <w:rPr>
                <w:rFonts w:ascii="Times New Roman" w:eastAsia="Times New Roman" w:hAnsi="Times New Roman" w:cs="Times New Roman"/>
                <w:b w:val="0"/>
                <w:i w:val="0"/>
                <w:color w:val="000000"/>
                <w:sz w:val="20"/>
                <w:u w:val="single"/>
              </w:rPr>
              <w:fldChar w:fldCharType="end"/>
            </w:r>
          </w:p>
        </w:tc>
      </w:tr>
      <w:tr>
        <w:tblPrEx>
          <w:tblW w:w="10245" w:type="dxa"/>
          <w:jc w:val="left"/>
          <w:tblInd w:w="0" w:type="dxa"/>
          <w:tblLayout w:type="fixed"/>
          <w:tblCellMar>
            <w:left w:w="108" w:type="dxa"/>
            <w:right w:w="108" w:type="dxa"/>
          </w:tblCellMar>
        </w:tblPrEx>
        <w:trPr>
          <w:cantSplit/>
          <w:trHeight w:hRule="exact" w:val="285"/>
          <w:jc w:val="left"/>
        </w:trPr>
        <w:tc>
          <w:tcPr>
            <w:tcW w:w="139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 </w:t>
            </w:r>
          </w:p>
        </w:tc>
        <w:tc>
          <w:tcPr>
            <w:tcW w:w="745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 </w:t>
            </w:r>
          </w:p>
        </w:tc>
        <w:tc>
          <w:tcPr>
            <w:tcW w:w="139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 </w:t>
            </w:r>
          </w:p>
        </w:tc>
      </w:tr>
      <w:tr>
        <w:tblPrEx>
          <w:tblW w:w="10245" w:type="dxa"/>
          <w:jc w:val="left"/>
          <w:tblInd w:w="0" w:type="dxa"/>
          <w:tblLayout w:type="fixed"/>
          <w:tblCellMar>
            <w:left w:w="108" w:type="dxa"/>
            <w:right w:w="108" w:type="dxa"/>
          </w:tblCellMar>
        </w:tblPrEx>
        <w:trPr>
          <w:cantSplit/>
          <w:trHeight w:hRule="exact" w:val="285"/>
          <w:jc w:val="left"/>
        </w:trPr>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left"/>
              <w:outlineLvl w:val="9"/>
              <w:rPr>
                <w:rFonts w:ascii="Times New Roman" w:eastAsia="Times New Roman" w:hAnsi="Times New Roman" w:cs="Times New Roman"/>
                <w:b/>
                <w:i w:val="0"/>
                <w:sz w:val="20"/>
                <w:shd w:val="clear" w:color="auto" w:fill="auto"/>
              </w:rPr>
            </w:pPr>
            <w:hyperlink w:anchor="Section49" w:history="1">
              <w:r>
                <w:rPr>
                  <w:rFonts w:ascii="Times New Roman" w:eastAsia="Times New Roman" w:hAnsi="Times New Roman" w:cs="Times New Roman"/>
                  <w:b/>
                  <w:i w:val="0"/>
                  <w:color w:val="000000"/>
                  <w:sz w:val="20"/>
                  <w:u w:val="none"/>
                  <w:shd w:val="clear" w:color="auto" w:fill="auto"/>
                </w:rPr>
                <w:t>PART II.</w:t>
              </w:r>
            </w:hyperlink>
          </w:p>
        </w:tc>
        <w:tc>
          <w:tcPr>
            <w:tcW w:w="745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left"/>
              <w:outlineLvl w:val="9"/>
              <w:rPr>
                <w:rFonts w:ascii="Times New Roman" w:eastAsia="Times New Roman" w:hAnsi="Times New Roman" w:cs="Times New Roman"/>
                <w:b/>
                <w:i w:val="0"/>
                <w:sz w:val="20"/>
                <w:shd w:val="clear" w:color="auto" w:fill="auto"/>
              </w:rPr>
            </w:pPr>
            <w:hyperlink w:anchor="Section49" w:history="1">
              <w:r>
                <w:rPr>
                  <w:rFonts w:ascii="Times New Roman" w:eastAsia="Times New Roman" w:hAnsi="Times New Roman" w:cs="Times New Roman"/>
                  <w:b/>
                  <w:i w:val="0"/>
                  <w:color w:val="000000"/>
                  <w:sz w:val="20"/>
                  <w:u w:val="none"/>
                  <w:shd w:val="clear" w:color="auto" w:fill="auto"/>
                </w:rPr>
                <w:t>OTHER INFORMATION</w:t>
              </w:r>
            </w:hyperlink>
          </w:p>
        </w:tc>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center"/>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val="0"/>
                <w:color w:val="000000"/>
                <w:sz w:val="20"/>
                <w:u w:val="single"/>
              </w:rPr>
              <w:fldChar w:fldCharType="begin"/>
            </w:r>
            <w:r>
              <w:rPr>
                <w:rFonts w:ascii="Times New Roman" w:eastAsia="Times New Roman" w:hAnsi="Times New Roman" w:cs="Times New Roman"/>
                <w:b w:val="0"/>
                <w:i w:val="0"/>
                <w:color w:val="000000"/>
                <w:sz w:val="20"/>
                <w:u w:val="single"/>
              </w:rPr>
              <w:instrText xml:space="preserve"> PAGEREF </w:instrText>
            </w:r>
            <w:r>
              <w:rPr>
                <w:rFonts w:ascii="Times New Roman" w:eastAsia="Times New Roman" w:hAnsi="Times New Roman" w:cs="Times New Roman"/>
                <w:b w:val="0"/>
                <w:i w:val="0"/>
                <w:color w:val="000000"/>
                <w:sz w:val="20"/>
                <w:u w:val="single"/>
              </w:rPr>
              <w:instrText xml:space="preserve"> </w:instrText>
            </w:r>
            <w:r>
              <w:rPr>
                <w:rFonts w:ascii="Times New Roman" w:eastAsia="Times New Roman" w:hAnsi="Times New Roman" w:cs="Times New Roman"/>
                <w:b w:val="0"/>
                <w:i w:val="0"/>
                <w:color w:val="000000"/>
                <w:sz w:val="20"/>
                <w:u w:val="single"/>
              </w:rPr>
              <w:instrText>Section49</w:instrText>
            </w:r>
            <w:r>
              <w:rPr>
                <w:rFonts w:ascii="Times New Roman" w:eastAsia="Times New Roman" w:hAnsi="Times New Roman" w:cs="Times New Roman"/>
                <w:b w:val="0"/>
                <w:i w:val="0"/>
                <w:color w:val="000000"/>
                <w:sz w:val="20"/>
                <w:u w:val="single"/>
              </w:rPr>
              <w:instrText xml:space="preserve"> \h</w:instrText>
            </w:r>
            <w:r>
              <w:rPr>
                <w:rFonts w:ascii="Times New Roman" w:eastAsia="Times New Roman" w:hAnsi="Times New Roman" w:cs="Times New Roman"/>
                <w:b w:val="0"/>
                <w:i w:val="0"/>
                <w:color w:val="000000"/>
                <w:sz w:val="20"/>
                <w:u w:val="single"/>
              </w:rPr>
              <w:fldChar w:fldCharType="separate"/>
            </w:r>
            <w:r>
              <w:rPr>
                <w:rFonts w:ascii="Times New Roman" w:eastAsia="Times New Roman" w:hAnsi="Times New Roman" w:cs="Times New Roman"/>
                <w:b w:val="0"/>
                <w:i w:val="0"/>
                <w:color w:val="000000"/>
                <w:sz w:val="20"/>
                <w:u w:val="single"/>
              </w:rPr>
              <w:t>24</w:t>
            </w:r>
            <w:r>
              <w:rPr>
                <w:rFonts w:ascii="Times New Roman" w:eastAsia="Times New Roman" w:hAnsi="Times New Roman" w:cs="Times New Roman"/>
                <w:b w:val="0"/>
                <w:i w:val="0"/>
                <w:color w:val="000000"/>
                <w:sz w:val="20"/>
                <w:u w:val="single"/>
              </w:rPr>
              <w:fldChar w:fldCharType="end"/>
            </w:r>
          </w:p>
        </w:tc>
      </w:tr>
      <w:tr>
        <w:tblPrEx>
          <w:tblW w:w="10245" w:type="dxa"/>
          <w:jc w:val="left"/>
          <w:tblInd w:w="0" w:type="dxa"/>
          <w:tblLayout w:type="fixed"/>
          <w:tblCellMar>
            <w:left w:w="108" w:type="dxa"/>
            <w:right w:w="108" w:type="dxa"/>
          </w:tblCellMar>
        </w:tblPrEx>
        <w:trPr>
          <w:cantSplit/>
          <w:trHeight w:hRule="exact" w:val="285"/>
          <w:jc w:val="left"/>
        </w:trPr>
        <w:tc>
          <w:tcPr>
            <w:tcW w:w="139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 </w:t>
            </w:r>
          </w:p>
        </w:tc>
        <w:tc>
          <w:tcPr>
            <w:tcW w:w="745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 </w:t>
            </w:r>
          </w:p>
        </w:tc>
        <w:tc>
          <w:tcPr>
            <w:tcW w:w="139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 </w:t>
            </w:r>
          </w:p>
        </w:tc>
      </w:tr>
      <w:tr>
        <w:tblPrEx>
          <w:tblW w:w="10245" w:type="dxa"/>
          <w:jc w:val="left"/>
          <w:tblInd w:w="0" w:type="dxa"/>
          <w:tblLayout w:type="fixed"/>
          <w:tblCellMar>
            <w:left w:w="108" w:type="dxa"/>
            <w:right w:w="108" w:type="dxa"/>
          </w:tblCellMar>
        </w:tblPrEx>
        <w:trPr>
          <w:cantSplit/>
          <w:trHeight w:hRule="exact" w:val="285"/>
          <w:jc w:val="left"/>
        </w:trPr>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left"/>
              <w:outlineLvl w:val="9"/>
              <w:rPr>
                <w:rFonts w:ascii="Times New Roman" w:eastAsia="Times New Roman" w:hAnsi="Times New Roman" w:cs="Times New Roman"/>
                <w:b w:val="0"/>
                <w:i w:val="0"/>
                <w:color w:val="000000"/>
                <w:sz w:val="20"/>
                <w:u w:val="single"/>
                <w:shd w:val="clear" w:color="auto" w:fill="auto"/>
              </w:rPr>
            </w:pPr>
            <w:hyperlink w:anchor="112" w:history="1">
              <w:r>
                <w:rPr>
                  <w:rFonts w:ascii="Times New Roman" w:eastAsia="Times New Roman" w:hAnsi="Times New Roman" w:cs="Times New Roman"/>
                  <w:b w:val="0"/>
                  <w:i w:val="0"/>
                  <w:color w:val="000000"/>
                  <w:sz w:val="20"/>
                  <w:u w:val="single"/>
                  <w:shd w:val="clear" w:color="auto" w:fill="auto"/>
                </w:rPr>
                <w:t>Item 1.</w:t>
              </w:r>
            </w:hyperlink>
          </w:p>
        </w:tc>
        <w:tc>
          <w:tcPr>
            <w:tcW w:w="745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left"/>
              <w:outlineLvl w:val="9"/>
              <w:rPr>
                <w:rFonts w:ascii="Times New Roman" w:eastAsia="Times New Roman" w:hAnsi="Times New Roman" w:cs="Times New Roman"/>
                <w:b w:val="0"/>
                <w:i w:val="0"/>
                <w:color w:val="000000"/>
                <w:sz w:val="20"/>
                <w:u w:val="single"/>
                <w:shd w:val="clear" w:color="auto" w:fill="auto"/>
              </w:rPr>
            </w:pPr>
            <w:hyperlink w:anchor="Section50" w:history="1">
              <w:r>
                <w:rPr>
                  <w:rFonts w:ascii="Times New Roman" w:eastAsia="Times New Roman" w:hAnsi="Times New Roman" w:cs="Times New Roman"/>
                  <w:b w:val="0"/>
                  <w:i w:val="0"/>
                  <w:color w:val="000000"/>
                  <w:sz w:val="20"/>
                  <w:u w:val="single"/>
                  <w:shd w:val="clear" w:color="auto" w:fill="auto"/>
                </w:rPr>
                <w:t>Legal Proceedings</w:t>
              </w:r>
            </w:hyperlink>
          </w:p>
        </w:tc>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center"/>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val="0"/>
                <w:color w:val="000000"/>
                <w:sz w:val="20"/>
                <w:u w:val="single"/>
              </w:rPr>
              <w:fldChar w:fldCharType="begin"/>
            </w:r>
            <w:r>
              <w:rPr>
                <w:rFonts w:ascii="Times New Roman" w:eastAsia="Times New Roman" w:hAnsi="Times New Roman" w:cs="Times New Roman"/>
                <w:b w:val="0"/>
                <w:i w:val="0"/>
                <w:color w:val="000000"/>
                <w:sz w:val="20"/>
                <w:u w:val="single"/>
              </w:rPr>
              <w:instrText xml:space="preserve"> PAGEREF </w:instrText>
            </w:r>
            <w:r>
              <w:rPr>
                <w:rFonts w:ascii="Times New Roman" w:eastAsia="Times New Roman" w:hAnsi="Times New Roman" w:cs="Times New Roman"/>
                <w:b w:val="0"/>
                <w:i w:val="0"/>
                <w:color w:val="000000"/>
                <w:sz w:val="20"/>
                <w:u w:val="single"/>
              </w:rPr>
              <w:instrText xml:space="preserve"> </w:instrText>
            </w:r>
            <w:r>
              <w:rPr>
                <w:rFonts w:ascii="Times New Roman" w:eastAsia="Times New Roman" w:hAnsi="Times New Roman" w:cs="Times New Roman"/>
                <w:b w:val="0"/>
                <w:i w:val="0"/>
                <w:color w:val="000000"/>
                <w:sz w:val="20"/>
                <w:u w:val="single"/>
              </w:rPr>
              <w:instrText>Section50</w:instrText>
            </w:r>
            <w:r>
              <w:rPr>
                <w:rFonts w:ascii="Times New Roman" w:eastAsia="Times New Roman" w:hAnsi="Times New Roman" w:cs="Times New Roman"/>
                <w:b w:val="0"/>
                <w:i w:val="0"/>
                <w:color w:val="000000"/>
                <w:sz w:val="20"/>
                <w:u w:val="single"/>
              </w:rPr>
              <w:instrText xml:space="preserve"> \h</w:instrText>
            </w:r>
            <w:r>
              <w:rPr>
                <w:rFonts w:ascii="Times New Roman" w:eastAsia="Times New Roman" w:hAnsi="Times New Roman" w:cs="Times New Roman"/>
                <w:b w:val="0"/>
                <w:i w:val="0"/>
                <w:color w:val="000000"/>
                <w:sz w:val="20"/>
                <w:u w:val="single"/>
              </w:rPr>
              <w:fldChar w:fldCharType="separate"/>
            </w:r>
            <w:r>
              <w:rPr>
                <w:rFonts w:ascii="Times New Roman" w:eastAsia="Times New Roman" w:hAnsi="Times New Roman" w:cs="Times New Roman"/>
                <w:b w:val="0"/>
                <w:i w:val="0"/>
                <w:color w:val="000000"/>
                <w:sz w:val="20"/>
                <w:u w:val="single"/>
              </w:rPr>
              <w:t>24</w:t>
            </w:r>
            <w:r>
              <w:rPr>
                <w:rFonts w:ascii="Times New Roman" w:eastAsia="Times New Roman" w:hAnsi="Times New Roman" w:cs="Times New Roman"/>
                <w:b w:val="0"/>
                <w:i w:val="0"/>
                <w:color w:val="000000"/>
                <w:sz w:val="20"/>
                <w:u w:val="single"/>
              </w:rPr>
              <w:fldChar w:fldCharType="end"/>
            </w:r>
          </w:p>
        </w:tc>
      </w:tr>
      <w:tr>
        <w:tblPrEx>
          <w:tblW w:w="10245" w:type="dxa"/>
          <w:jc w:val="left"/>
          <w:tblInd w:w="0" w:type="dxa"/>
          <w:tblLayout w:type="fixed"/>
          <w:tblCellMar>
            <w:left w:w="108" w:type="dxa"/>
            <w:right w:w="108" w:type="dxa"/>
          </w:tblCellMar>
        </w:tblPrEx>
        <w:trPr>
          <w:cantSplit/>
          <w:trHeight w:hRule="exact" w:val="285"/>
          <w:jc w:val="left"/>
        </w:trPr>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left"/>
              <w:outlineLvl w:val="9"/>
              <w:rPr>
                <w:rFonts w:ascii="Times New Roman" w:eastAsia="Times New Roman" w:hAnsi="Times New Roman" w:cs="Times New Roman"/>
                <w:b w:val="0"/>
                <w:i w:val="0"/>
                <w:color w:val="000000"/>
                <w:sz w:val="20"/>
                <w:u w:val="single"/>
                <w:shd w:val="clear" w:color="auto" w:fill="auto"/>
              </w:rPr>
            </w:pPr>
            <w:hyperlink w:anchor="Section51" w:history="1">
              <w:r>
                <w:rPr>
                  <w:rFonts w:ascii="Times New Roman" w:eastAsia="Times New Roman" w:hAnsi="Times New Roman" w:cs="Times New Roman"/>
                  <w:b w:val="0"/>
                  <w:i w:val="0"/>
                  <w:color w:val="000000"/>
                  <w:sz w:val="20"/>
                  <w:u w:val="single"/>
                  <w:shd w:val="clear" w:color="auto" w:fill="auto"/>
                </w:rPr>
                <w:t>Item 1(a).</w:t>
              </w:r>
            </w:hyperlink>
          </w:p>
        </w:tc>
        <w:tc>
          <w:tcPr>
            <w:tcW w:w="745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left"/>
              <w:outlineLvl w:val="9"/>
              <w:rPr>
                <w:rFonts w:ascii="Times New Roman" w:eastAsia="Times New Roman" w:hAnsi="Times New Roman" w:cs="Times New Roman"/>
                <w:b w:val="0"/>
                <w:i w:val="0"/>
                <w:color w:val="000000"/>
                <w:sz w:val="20"/>
                <w:u w:val="single"/>
                <w:shd w:val="clear" w:color="auto" w:fill="auto"/>
              </w:rPr>
            </w:pPr>
            <w:hyperlink w:anchor="Section51" w:history="1">
              <w:r>
                <w:rPr>
                  <w:rFonts w:ascii="Times New Roman" w:eastAsia="Times New Roman" w:hAnsi="Times New Roman" w:cs="Times New Roman"/>
                  <w:b w:val="0"/>
                  <w:i w:val="0"/>
                  <w:color w:val="000000"/>
                  <w:sz w:val="20"/>
                  <w:u w:val="single"/>
                  <w:shd w:val="clear" w:color="auto" w:fill="auto"/>
                </w:rPr>
                <w:t>Risk Factors</w:t>
              </w:r>
            </w:hyperlink>
          </w:p>
        </w:tc>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center"/>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val="0"/>
                <w:color w:val="000000"/>
                <w:sz w:val="20"/>
                <w:u w:val="single"/>
              </w:rPr>
              <w:fldChar w:fldCharType="begin"/>
            </w:r>
            <w:r>
              <w:rPr>
                <w:rFonts w:ascii="Times New Roman" w:eastAsia="Times New Roman" w:hAnsi="Times New Roman" w:cs="Times New Roman"/>
                <w:b w:val="0"/>
                <w:i w:val="0"/>
                <w:color w:val="000000"/>
                <w:sz w:val="20"/>
                <w:u w:val="single"/>
              </w:rPr>
              <w:instrText xml:space="preserve"> PAGEREF </w:instrText>
            </w:r>
            <w:r>
              <w:rPr>
                <w:rFonts w:ascii="Times New Roman" w:eastAsia="Times New Roman" w:hAnsi="Times New Roman" w:cs="Times New Roman"/>
                <w:b w:val="0"/>
                <w:i w:val="0"/>
                <w:color w:val="000000"/>
                <w:sz w:val="20"/>
                <w:u w:val="single"/>
              </w:rPr>
              <w:instrText xml:space="preserve"> </w:instrText>
            </w:r>
            <w:r>
              <w:rPr>
                <w:rFonts w:ascii="Times New Roman" w:eastAsia="Times New Roman" w:hAnsi="Times New Roman" w:cs="Times New Roman"/>
                <w:b w:val="0"/>
                <w:i w:val="0"/>
                <w:color w:val="000000"/>
                <w:sz w:val="20"/>
                <w:u w:val="single"/>
              </w:rPr>
              <w:instrText>Section51</w:instrText>
            </w:r>
            <w:r>
              <w:rPr>
                <w:rFonts w:ascii="Times New Roman" w:eastAsia="Times New Roman" w:hAnsi="Times New Roman" w:cs="Times New Roman"/>
                <w:b w:val="0"/>
                <w:i w:val="0"/>
                <w:color w:val="000000"/>
                <w:sz w:val="20"/>
                <w:u w:val="single"/>
              </w:rPr>
              <w:instrText xml:space="preserve"> \h</w:instrText>
            </w:r>
            <w:r>
              <w:rPr>
                <w:rFonts w:ascii="Times New Roman" w:eastAsia="Times New Roman" w:hAnsi="Times New Roman" w:cs="Times New Roman"/>
                <w:b w:val="0"/>
                <w:i w:val="0"/>
                <w:color w:val="000000"/>
                <w:sz w:val="20"/>
                <w:u w:val="single"/>
              </w:rPr>
              <w:fldChar w:fldCharType="separate"/>
            </w:r>
            <w:r>
              <w:rPr>
                <w:rFonts w:ascii="Times New Roman" w:eastAsia="Times New Roman" w:hAnsi="Times New Roman" w:cs="Times New Roman"/>
                <w:b w:val="0"/>
                <w:i w:val="0"/>
                <w:color w:val="000000"/>
                <w:sz w:val="20"/>
                <w:u w:val="single"/>
              </w:rPr>
              <w:t>24</w:t>
            </w:r>
            <w:r>
              <w:rPr>
                <w:rFonts w:ascii="Times New Roman" w:eastAsia="Times New Roman" w:hAnsi="Times New Roman" w:cs="Times New Roman"/>
                <w:b w:val="0"/>
                <w:i w:val="0"/>
                <w:color w:val="000000"/>
                <w:sz w:val="20"/>
                <w:u w:val="single"/>
              </w:rPr>
              <w:fldChar w:fldCharType="end"/>
            </w:r>
          </w:p>
        </w:tc>
      </w:tr>
      <w:tr>
        <w:tblPrEx>
          <w:tblW w:w="10245" w:type="dxa"/>
          <w:jc w:val="left"/>
          <w:tblInd w:w="0" w:type="dxa"/>
          <w:tblLayout w:type="fixed"/>
          <w:tblCellMar>
            <w:left w:w="108" w:type="dxa"/>
            <w:right w:w="108" w:type="dxa"/>
          </w:tblCellMar>
        </w:tblPrEx>
        <w:trPr>
          <w:cantSplit/>
          <w:trHeight w:hRule="exact" w:val="300"/>
          <w:jc w:val="left"/>
        </w:trPr>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left"/>
              <w:outlineLvl w:val="9"/>
              <w:rPr>
                <w:rFonts w:ascii="Times New Roman" w:eastAsia="Times New Roman" w:hAnsi="Times New Roman" w:cs="Times New Roman"/>
                <w:b w:val="0"/>
                <w:i w:val="0"/>
                <w:color w:val="000000"/>
                <w:sz w:val="20"/>
                <w:u w:val="single"/>
                <w:shd w:val="clear" w:color="auto" w:fill="auto"/>
              </w:rPr>
            </w:pPr>
            <w:hyperlink w:anchor="Section52" w:history="1">
              <w:r>
                <w:rPr>
                  <w:rFonts w:ascii="Times New Roman" w:eastAsia="Times New Roman" w:hAnsi="Times New Roman" w:cs="Times New Roman"/>
                  <w:b w:val="0"/>
                  <w:i w:val="0"/>
                  <w:color w:val="000000"/>
                  <w:sz w:val="20"/>
                  <w:u w:val="single"/>
                  <w:shd w:val="clear" w:color="auto" w:fill="auto"/>
                </w:rPr>
                <w:t>Item 2.</w:t>
              </w:r>
            </w:hyperlink>
          </w:p>
        </w:tc>
        <w:tc>
          <w:tcPr>
            <w:tcW w:w="745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left"/>
              <w:outlineLvl w:val="9"/>
              <w:rPr>
                <w:rFonts w:ascii="Times New Roman" w:eastAsia="Times New Roman" w:hAnsi="Times New Roman" w:cs="Times New Roman"/>
                <w:b w:val="0"/>
                <w:i w:val="0"/>
                <w:color w:val="000000"/>
                <w:sz w:val="20"/>
                <w:u w:val="single"/>
                <w:shd w:val="clear" w:color="auto" w:fill="auto"/>
              </w:rPr>
            </w:pPr>
            <w:hyperlink w:anchor="Section52" w:history="1">
              <w:r>
                <w:rPr>
                  <w:rFonts w:ascii="Times New Roman" w:eastAsia="Times New Roman" w:hAnsi="Times New Roman" w:cs="Times New Roman"/>
                  <w:b w:val="0"/>
                  <w:i w:val="0"/>
                  <w:color w:val="000000"/>
                  <w:sz w:val="20"/>
                  <w:u w:val="single"/>
                  <w:shd w:val="clear" w:color="auto" w:fill="auto"/>
                </w:rPr>
                <w:t>Unregistered Sales of Equity Securities and Use of Proceeds</w:t>
              </w:r>
            </w:hyperlink>
          </w:p>
        </w:tc>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center"/>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val="0"/>
                <w:color w:val="000000"/>
                <w:sz w:val="20"/>
                <w:u w:val="single"/>
              </w:rPr>
              <w:fldChar w:fldCharType="begin"/>
            </w:r>
            <w:r>
              <w:rPr>
                <w:rFonts w:ascii="Times New Roman" w:eastAsia="Times New Roman" w:hAnsi="Times New Roman" w:cs="Times New Roman"/>
                <w:b w:val="0"/>
                <w:i w:val="0"/>
                <w:color w:val="000000"/>
                <w:sz w:val="20"/>
                <w:u w:val="single"/>
              </w:rPr>
              <w:instrText xml:space="preserve"> PAGEREF </w:instrText>
            </w:r>
            <w:r>
              <w:rPr>
                <w:rFonts w:ascii="Times New Roman" w:eastAsia="Times New Roman" w:hAnsi="Times New Roman" w:cs="Times New Roman"/>
                <w:b w:val="0"/>
                <w:i w:val="0"/>
                <w:color w:val="000000"/>
                <w:sz w:val="20"/>
                <w:u w:val="single"/>
              </w:rPr>
              <w:instrText xml:space="preserve"> </w:instrText>
            </w:r>
            <w:r>
              <w:rPr>
                <w:rFonts w:ascii="Times New Roman" w:eastAsia="Times New Roman" w:hAnsi="Times New Roman" w:cs="Times New Roman"/>
                <w:b w:val="0"/>
                <w:i w:val="0"/>
                <w:color w:val="000000"/>
                <w:sz w:val="20"/>
                <w:u w:val="single"/>
              </w:rPr>
              <w:instrText>Section52</w:instrText>
            </w:r>
            <w:r>
              <w:rPr>
                <w:rFonts w:ascii="Times New Roman" w:eastAsia="Times New Roman" w:hAnsi="Times New Roman" w:cs="Times New Roman"/>
                <w:b w:val="0"/>
                <w:i w:val="0"/>
                <w:color w:val="000000"/>
                <w:sz w:val="20"/>
                <w:u w:val="single"/>
              </w:rPr>
              <w:instrText xml:space="preserve"> \h</w:instrText>
            </w:r>
            <w:r>
              <w:rPr>
                <w:rFonts w:ascii="Times New Roman" w:eastAsia="Times New Roman" w:hAnsi="Times New Roman" w:cs="Times New Roman"/>
                <w:b w:val="0"/>
                <w:i w:val="0"/>
                <w:color w:val="000000"/>
                <w:sz w:val="20"/>
                <w:u w:val="single"/>
              </w:rPr>
              <w:fldChar w:fldCharType="separate"/>
            </w:r>
            <w:r>
              <w:rPr>
                <w:rFonts w:ascii="Times New Roman" w:eastAsia="Times New Roman" w:hAnsi="Times New Roman" w:cs="Times New Roman"/>
                <w:b w:val="0"/>
                <w:i w:val="0"/>
                <w:color w:val="000000"/>
                <w:sz w:val="20"/>
                <w:u w:val="single"/>
              </w:rPr>
              <w:t>25</w:t>
            </w:r>
            <w:r>
              <w:rPr>
                <w:rFonts w:ascii="Times New Roman" w:eastAsia="Times New Roman" w:hAnsi="Times New Roman" w:cs="Times New Roman"/>
                <w:b w:val="0"/>
                <w:i w:val="0"/>
                <w:color w:val="000000"/>
                <w:sz w:val="20"/>
                <w:u w:val="single"/>
              </w:rPr>
              <w:fldChar w:fldCharType="end"/>
            </w:r>
          </w:p>
        </w:tc>
      </w:tr>
      <w:tr>
        <w:tblPrEx>
          <w:tblW w:w="10245" w:type="dxa"/>
          <w:jc w:val="left"/>
          <w:tblInd w:w="0" w:type="dxa"/>
          <w:tblLayout w:type="fixed"/>
          <w:tblCellMar>
            <w:left w:w="108" w:type="dxa"/>
            <w:right w:w="108" w:type="dxa"/>
          </w:tblCellMar>
        </w:tblPrEx>
        <w:trPr>
          <w:cantSplit/>
          <w:trHeight w:hRule="exact" w:val="285"/>
          <w:jc w:val="left"/>
        </w:trPr>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left"/>
              <w:outlineLvl w:val="9"/>
              <w:rPr>
                <w:rFonts w:ascii="Times New Roman" w:eastAsia="Times New Roman" w:hAnsi="Times New Roman" w:cs="Times New Roman"/>
                <w:b w:val="0"/>
                <w:i w:val="0"/>
                <w:color w:val="000000"/>
                <w:sz w:val="20"/>
                <w:u w:val="single"/>
                <w:shd w:val="clear" w:color="auto" w:fill="auto"/>
              </w:rPr>
            </w:pPr>
            <w:hyperlink w:anchor="Section53" w:history="1">
              <w:r>
                <w:rPr>
                  <w:rFonts w:ascii="Times New Roman" w:eastAsia="Times New Roman" w:hAnsi="Times New Roman" w:cs="Times New Roman"/>
                  <w:b w:val="0"/>
                  <w:i w:val="0"/>
                  <w:color w:val="000000"/>
                  <w:sz w:val="20"/>
                  <w:u w:val="single"/>
                  <w:shd w:val="clear" w:color="auto" w:fill="auto"/>
                </w:rPr>
                <w:t>Item 3.</w:t>
              </w:r>
            </w:hyperlink>
          </w:p>
        </w:tc>
        <w:tc>
          <w:tcPr>
            <w:tcW w:w="745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left"/>
              <w:outlineLvl w:val="9"/>
              <w:rPr>
                <w:rFonts w:ascii="Times New Roman" w:eastAsia="Times New Roman" w:hAnsi="Times New Roman" w:cs="Times New Roman"/>
                <w:b w:val="0"/>
                <w:i w:val="0"/>
                <w:color w:val="000000"/>
                <w:sz w:val="20"/>
                <w:u w:val="single"/>
                <w:shd w:val="clear" w:color="auto" w:fill="auto"/>
              </w:rPr>
            </w:pPr>
            <w:hyperlink w:anchor="Section53" w:history="1">
              <w:r>
                <w:rPr>
                  <w:rFonts w:ascii="Times New Roman" w:eastAsia="Times New Roman" w:hAnsi="Times New Roman" w:cs="Times New Roman"/>
                  <w:b w:val="0"/>
                  <w:i w:val="0"/>
                  <w:color w:val="000000"/>
                  <w:sz w:val="20"/>
                  <w:u w:val="single"/>
                  <w:shd w:val="clear" w:color="auto" w:fill="auto"/>
                </w:rPr>
                <w:t>Defaults Upon Senior Securities</w:t>
              </w:r>
            </w:hyperlink>
          </w:p>
        </w:tc>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center"/>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val="0"/>
                <w:color w:val="000000"/>
                <w:sz w:val="20"/>
                <w:u w:val="single"/>
              </w:rPr>
              <w:fldChar w:fldCharType="begin"/>
            </w:r>
            <w:r>
              <w:rPr>
                <w:rFonts w:ascii="Times New Roman" w:eastAsia="Times New Roman" w:hAnsi="Times New Roman" w:cs="Times New Roman"/>
                <w:b w:val="0"/>
                <w:i w:val="0"/>
                <w:color w:val="000000"/>
                <w:sz w:val="20"/>
                <w:u w:val="single"/>
              </w:rPr>
              <w:instrText xml:space="preserve"> PAGEREF </w:instrText>
            </w:r>
            <w:r>
              <w:rPr>
                <w:rFonts w:ascii="Times New Roman" w:eastAsia="Times New Roman" w:hAnsi="Times New Roman" w:cs="Times New Roman"/>
                <w:b w:val="0"/>
                <w:i w:val="0"/>
                <w:color w:val="000000"/>
                <w:sz w:val="20"/>
                <w:u w:val="single"/>
              </w:rPr>
              <w:instrText xml:space="preserve"> </w:instrText>
            </w:r>
            <w:r>
              <w:rPr>
                <w:rFonts w:ascii="Times New Roman" w:eastAsia="Times New Roman" w:hAnsi="Times New Roman" w:cs="Times New Roman"/>
                <w:b w:val="0"/>
                <w:i w:val="0"/>
                <w:color w:val="000000"/>
                <w:sz w:val="20"/>
                <w:u w:val="single"/>
              </w:rPr>
              <w:instrText>Section53</w:instrText>
            </w:r>
            <w:r>
              <w:rPr>
                <w:rFonts w:ascii="Times New Roman" w:eastAsia="Times New Roman" w:hAnsi="Times New Roman" w:cs="Times New Roman"/>
                <w:b w:val="0"/>
                <w:i w:val="0"/>
                <w:color w:val="000000"/>
                <w:sz w:val="20"/>
                <w:u w:val="single"/>
              </w:rPr>
              <w:instrText xml:space="preserve"> \h</w:instrText>
            </w:r>
            <w:r>
              <w:rPr>
                <w:rFonts w:ascii="Times New Roman" w:eastAsia="Times New Roman" w:hAnsi="Times New Roman" w:cs="Times New Roman"/>
                <w:b w:val="0"/>
                <w:i w:val="0"/>
                <w:color w:val="000000"/>
                <w:sz w:val="20"/>
                <w:u w:val="single"/>
              </w:rPr>
              <w:fldChar w:fldCharType="separate"/>
            </w:r>
            <w:r>
              <w:rPr>
                <w:rFonts w:ascii="Times New Roman" w:eastAsia="Times New Roman" w:hAnsi="Times New Roman" w:cs="Times New Roman"/>
                <w:b w:val="0"/>
                <w:i w:val="0"/>
                <w:color w:val="000000"/>
                <w:sz w:val="20"/>
                <w:u w:val="single"/>
              </w:rPr>
              <w:t>25</w:t>
            </w:r>
            <w:r>
              <w:rPr>
                <w:rFonts w:ascii="Times New Roman" w:eastAsia="Times New Roman" w:hAnsi="Times New Roman" w:cs="Times New Roman"/>
                <w:b w:val="0"/>
                <w:i w:val="0"/>
                <w:color w:val="000000"/>
                <w:sz w:val="20"/>
                <w:u w:val="single"/>
              </w:rPr>
              <w:fldChar w:fldCharType="end"/>
            </w:r>
          </w:p>
        </w:tc>
      </w:tr>
      <w:tr>
        <w:tblPrEx>
          <w:tblW w:w="10245" w:type="dxa"/>
          <w:jc w:val="left"/>
          <w:tblInd w:w="0" w:type="dxa"/>
          <w:tblLayout w:type="fixed"/>
          <w:tblCellMar>
            <w:left w:w="108" w:type="dxa"/>
            <w:right w:w="108" w:type="dxa"/>
          </w:tblCellMar>
        </w:tblPrEx>
        <w:trPr>
          <w:cantSplit/>
          <w:trHeight w:hRule="exact" w:val="285"/>
          <w:jc w:val="left"/>
        </w:trPr>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left"/>
              <w:outlineLvl w:val="9"/>
              <w:rPr>
                <w:rFonts w:ascii="Times New Roman" w:eastAsia="Times New Roman" w:hAnsi="Times New Roman" w:cs="Times New Roman"/>
                <w:b w:val="0"/>
                <w:i w:val="0"/>
                <w:color w:val="000000"/>
                <w:sz w:val="20"/>
                <w:u w:val="single"/>
                <w:shd w:val="clear" w:color="auto" w:fill="auto"/>
              </w:rPr>
            </w:pPr>
            <w:hyperlink w:anchor="Section54" w:history="1">
              <w:r>
                <w:rPr>
                  <w:rFonts w:ascii="Times New Roman" w:eastAsia="Times New Roman" w:hAnsi="Times New Roman" w:cs="Times New Roman"/>
                  <w:b w:val="0"/>
                  <w:i w:val="0"/>
                  <w:color w:val="000000"/>
                  <w:sz w:val="20"/>
                  <w:u w:val="single"/>
                  <w:shd w:val="clear" w:color="auto" w:fill="auto"/>
                </w:rPr>
                <w:t>Item 4.</w:t>
              </w:r>
            </w:hyperlink>
          </w:p>
        </w:tc>
        <w:tc>
          <w:tcPr>
            <w:tcW w:w="745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left"/>
              <w:outlineLvl w:val="9"/>
              <w:rPr>
                <w:rFonts w:ascii="Times New Roman" w:eastAsia="Times New Roman" w:hAnsi="Times New Roman" w:cs="Times New Roman"/>
                <w:b w:val="0"/>
                <w:i w:val="0"/>
                <w:color w:val="000000"/>
                <w:sz w:val="20"/>
                <w:u w:val="single"/>
                <w:shd w:val="clear" w:color="auto" w:fill="auto"/>
              </w:rPr>
            </w:pPr>
            <w:hyperlink w:anchor="Section54" w:history="1">
              <w:r>
                <w:rPr>
                  <w:rFonts w:ascii="Times New Roman" w:eastAsia="Times New Roman" w:hAnsi="Times New Roman" w:cs="Times New Roman"/>
                  <w:b w:val="0"/>
                  <w:i w:val="0"/>
                  <w:color w:val="000000"/>
                  <w:sz w:val="20"/>
                  <w:u w:val="single"/>
                  <w:shd w:val="clear" w:color="auto" w:fill="auto"/>
                </w:rPr>
                <w:t>Mine Safety Disclosures</w:t>
              </w:r>
            </w:hyperlink>
          </w:p>
        </w:tc>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center"/>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val="0"/>
                <w:color w:val="000000"/>
                <w:sz w:val="20"/>
                <w:u w:val="single"/>
              </w:rPr>
              <w:fldChar w:fldCharType="begin"/>
            </w:r>
            <w:r>
              <w:rPr>
                <w:rFonts w:ascii="Times New Roman" w:eastAsia="Times New Roman" w:hAnsi="Times New Roman" w:cs="Times New Roman"/>
                <w:b w:val="0"/>
                <w:i w:val="0"/>
                <w:color w:val="000000"/>
                <w:sz w:val="20"/>
                <w:u w:val="single"/>
              </w:rPr>
              <w:instrText xml:space="preserve"> PAGEREF </w:instrText>
            </w:r>
            <w:r>
              <w:rPr>
                <w:rFonts w:ascii="Times New Roman" w:eastAsia="Times New Roman" w:hAnsi="Times New Roman" w:cs="Times New Roman"/>
                <w:b w:val="0"/>
                <w:i w:val="0"/>
                <w:color w:val="000000"/>
                <w:sz w:val="20"/>
                <w:u w:val="single"/>
              </w:rPr>
              <w:instrText xml:space="preserve"> </w:instrText>
            </w:r>
            <w:r>
              <w:rPr>
                <w:rFonts w:ascii="Times New Roman" w:eastAsia="Times New Roman" w:hAnsi="Times New Roman" w:cs="Times New Roman"/>
                <w:b w:val="0"/>
                <w:i w:val="0"/>
                <w:color w:val="000000"/>
                <w:sz w:val="20"/>
                <w:u w:val="single"/>
              </w:rPr>
              <w:instrText>Section54</w:instrText>
            </w:r>
            <w:r>
              <w:rPr>
                <w:rFonts w:ascii="Times New Roman" w:eastAsia="Times New Roman" w:hAnsi="Times New Roman" w:cs="Times New Roman"/>
                <w:b w:val="0"/>
                <w:i w:val="0"/>
                <w:color w:val="000000"/>
                <w:sz w:val="20"/>
                <w:u w:val="single"/>
              </w:rPr>
              <w:instrText xml:space="preserve"> \h</w:instrText>
            </w:r>
            <w:r>
              <w:rPr>
                <w:rFonts w:ascii="Times New Roman" w:eastAsia="Times New Roman" w:hAnsi="Times New Roman" w:cs="Times New Roman"/>
                <w:b w:val="0"/>
                <w:i w:val="0"/>
                <w:color w:val="000000"/>
                <w:sz w:val="20"/>
                <w:u w:val="single"/>
              </w:rPr>
              <w:fldChar w:fldCharType="separate"/>
            </w:r>
            <w:r>
              <w:rPr>
                <w:rFonts w:ascii="Times New Roman" w:eastAsia="Times New Roman" w:hAnsi="Times New Roman" w:cs="Times New Roman"/>
                <w:b w:val="0"/>
                <w:i w:val="0"/>
                <w:color w:val="000000"/>
                <w:sz w:val="20"/>
                <w:u w:val="single"/>
              </w:rPr>
              <w:t>25</w:t>
            </w:r>
            <w:r>
              <w:rPr>
                <w:rFonts w:ascii="Times New Roman" w:eastAsia="Times New Roman" w:hAnsi="Times New Roman" w:cs="Times New Roman"/>
                <w:b w:val="0"/>
                <w:i w:val="0"/>
                <w:color w:val="000000"/>
                <w:sz w:val="20"/>
                <w:u w:val="single"/>
              </w:rPr>
              <w:fldChar w:fldCharType="end"/>
            </w:r>
          </w:p>
        </w:tc>
      </w:tr>
      <w:tr>
        <w:tblPrEx>
          <w:tblW w:w="10245" w:type="dxa"/>
          <w:jc w:val="left"/>
          <w:tblInd w:w="0" w:type="dxa"/>
          <w:tblLayout w:type="fixed"/>
          <w:tblCellMar>
            <w:left w:w="108" w:type="dxa"/>
            <w:right w:w="108" w:type="dxa"/>
          </w:tblCellMar>
        </w:tblPrEx>
        <w:trPr>
          <w:cantSplit/>
          <w:trHeight w:hRule="exact" w:val="285"/>
          <w:jc w:val="left"/>
        </w:trPr>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left"/>
              <w:outlineLvl w:val="9"/>
              <w:rPr>
                <w:rFonts w:ascii="Times New Roman" w:eastAsia="Times New Roman" w:hAnsi="Times New Roman" w:cs="Times New Roman"/>
                <w:b w:val="0"/>
                <w:i w:val="0"/>
                <w:color w:val="000000"/>
                <w:sz w:val="20"/>
                <w:u w:val="single"/>
                <w:shd w:val="clear" w:color="auto" w:fill="auto"/>
              </w:rPr>
            </w:pPr>
            <w:hyperlink w:anchor="Section55" w:history="1">
              <w:r>
                <w:rPr>
                  <w:rFonts w:ascii="Times New Roman" w:eastAsia="Times New Roman" w:hAnsi="Times New Roman" w:cs="Times New Roman"/>
                  <w:b w:val="0"/>
                  <w:i w:val="0"/>
                  <w:color w:val="000000"/>
                  <w:sz w:val="20"/>
                  <w:u w:val="single"/>
                  <w:shd w:val="clear" w:color="auto" w:fill="auto"/>
                </w:rPr>
                <w:t>Item 5.</w:t>
              </w:r>
            </w:hyperlink>
          </w:p>
        </w:tc>
        <w:tc>
          <w:tcPr>
            <w:tcW w:w="745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left"/>
              <w:outlineLvl w:val="9"/>
              <w:rPr>
                <w:rFonts w:ascii="Times New Roman" w:eastAsia="Times New Roman" w:hAnsi="Times New Roman" w:cs="Times New Roman"/>
                <w:b w:val="0"/>
                <w:i w:val="0"/>
                <w:color w:val="000000"/>
                <w:sz w:val="20"/>
                <w:u w:val="single"/>
                <w:shd w:val="clear" w:color="auto" w:fill="auto"/>
              </w:rPr>
            </w:pPr>
            <w:hyperlink w:anchor="Section55" w:history="1">
              <w:r>
                <w:rPr>
                  <w:rFonts w:ascii="Times New Roman" w:eastAsia="Times New Roman" w:hAnsi="Times New Roman" w:cs="Times New Roman"/>
                  <w:b w:val="0"/>
                  <w:i w:val="0"/>
                  <w:color w:val="000000"/>
                  <w:sz w:val="20"/>
                  <w:u w:val="single"/>
                  <w:shd w:val="clear" w:color="auto" w:fill="auto"/>
                </w:rPr>
                <w:t>Other Information</w:t>
              </w:r>
            </w:hyperlink>
          </w:p>
        </w:tc>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center"/>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val="0"/>
                <w:color w:val="000000"/>
                <w:sz w:val="20"/>
                <w:u w:val="single"/>
              </w:rPr>
              <w:fldChar w:fldCharType="begin"/>
            </w:r>
            <w:r>
              <w:rPr>
                <w:rFonts w:ascii="Times New Roman" w:eastAsia="Times New Roman" w:hAnsi="Times New Roman" w:cs="Times New Roman"/>
                <w:b w:val="0"/>
                <w:i w:val="0"/>
                <w:color w:val="000000"/>
                <w:sz w:val="20"/>
                <w:u w:val="single"/>
              </w:rPr>
              <w:instrText xml:space="preserve"> PAGEREF </w:instrText>
            </w:r>
            <w:r>
              <w:rPr>
                <w:rFonts w:ascii="Times New Roman" w:eastAsia="Times New Roman" w:hAnsi="Times New Roman" w:cs="Times New Roman"/>
                <w:b w:val="0"/>
                <w:i w:val="0"/>
                <w:color w:val="000000"/>
                <w:sz w:val="20"/>
                <w:u w:val="single"/>
              </w:rPr>
              <w:instrText xml:space="preserve"> </w:instrText>
            </w:r>
            <w:r>
              <w:rPr>
                <w:rFonts w:ascii="Times New Roman" w:eastAsia="Times New Roman" w:hAnsi="Times New Roman" w:cs="Times New Roman"/>
                <w:b w:val="0"/>
                <w:i w:val="0"/>
                <w:color w:val="000000"/>
                <w:sz w:val="20"/>
                <w:u w:val="single"/>
              </w:rPr>
              <w:instrText>Section55</w:instrText>
            </w:r>
            <w:r>
              <w:rPr>
                <w:rFonts w:ascii="Times New Roman" w:eastAsia="Times New Roman" w:hAnsi="Times New Roman" w:cs="Times New Roman"/>
                <w:b w:val="0"/>
                <w:i w:val="0"/>
                <w:color w:val="000000"/>
                <w:sz w:val="20"/>
                <w:u w:val="single"/>
              </w:rPr>
              <w:instrText xml:space="preserve"> \h</w:instrText>
            </w:r>
            <w:r>
              <w:rPr>
                <w:rFonts w:ascii="Times New Roman" w:eastAsia="Times New Roman" w:hAnsi="Times New Roman" w:cs="Times New Roman"/>
                <w:b w:val="0"/>
                <w:i w:val="0"/>
                <w:color w:val="000000"/>
                <w:sz w:val="20"/>
                <w:u w:val="single"/>
              </w:rPr>
              <w:fldChar w:fldCharType="separate"/>
            </w:r>
            <w:r>
              <w:rPr>
                <w:rFonts w:ascii="Times New Roman" w:eastAsia="Times New Roman" w:hAnsi="Times New Roman" w:cs="Times New Roman"/>
                <w:b w:val="0"/>
                <w:i w:val="0"/>
                <w:color w:val="000000"/>
                <w:sz w:val="20"/>
                <w:u w:val="single"/>
              </w:rPr>
              <w:t>25</w:t>
            </w:r>
            <w:r>
              <w:rPr>
                <w:rFonts w:ascii="Times New Roman" w:eastAsia="Times New Roman" w:hAnsi="Times New Roman" w:cs="Times New Roman"/>
                <w:b w:val="0"/>
                <w:i w:val="0"/>
                <w:color w:val="000000"/>
                <w:sz w:val="20"/>
                <w:u w:val="single"/>
              </w:rPr>
              <w:fldChar w:fldCharType="end"/>
            </w:r>
          </w:p>
        </w:tc>
      </w:tr>
      <w:tr>
        <w:tblPrEx>
          <w:tblW w:w="10245" w:type="dxa"/>
          <w:jc w:val="left"/>
          <w:tblInd w:w="0" w:type="dxa"/>
          <w:tblLayout w:type="fixed"/>
          <w:tblCellMar>
            <w:left w:w="108" w:type="dxa"/>
            <w:right w:w="108" w:type="dxa"/>
          </w:tblCellMar>
        </w:tblPrEx>
        <w:trPr>
          <w:cantSplit/>
          <w:trHeight w:hRule="exact" w:val="285"/>
          <w:jc w:val="left"/>
        </w:trPr>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left"/>
              <w:outlineLvl w:val="9"/>
              <w:rPr>
                <w:rFonts w:ascii="Times New Roman" w:eastAsia="Times New Roman" w:hAnsi="Times New Roman" w:cs="Times New Roman"/>
                <w:b w:val="0"/>
                <w:i w:val="0"/>
                <w:color w:val="000000"/>
                <w:sz w:val="20"/>
                <w:u w:val="single"/>
                <w:shd w:val="clear" w:color="auto" w:fill="auto"/>
              </w:rPr>
            </w:pPr>
            <w:hyperlink w:anchor="Section56" w:history="1">
              <w:r>
                <w:rPr>
                  <w:rFonts w:ascii="Times New Roman" w:eastAsia="Times New Roman" w:hAnsi="Times New Roman" w:cs="Times New Roman"/>
                  <w:b w:val="0"/>
                  <w:i w:val="0"/>
                  <w:color w:val="000000"/>
                  <w:sz w:val="20"/>
                  <w:u w:val="single"/>
                  <w:shd w:val="clear" w:color="auto" w:fill="auto"/>
                </w:rPr>
                <w:t>Item 6.</w:t>
              </w:r>
            </w:hyperlink>
          </w:p>
        </w:tc>
        <w:tc>
          <w:tcPr>
            <w:tcW w:w="745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left"/>
              <w:outlineLvl w:val="9"/>
              <w:rPr>
                <w:rFonts w:ascii="Times New Roman" w:eastAsia="Times New Roman" w:hAnsi="Times New Roman" w:cs="Times New Roman"/>
                <w:b w:val="0"/>
                <w:i w:val="0"/>
                <w:color w:val="000000"/>
                <w:sz w:val="20"/>
                <w:u w:val="single"/>
                <w:shd w:val="clear" w:color="auto" w:fill="auto"/>
              </w:rPr>
            </w:pPr>
            <w:hyperlink w:anchor="Section56" w:history="1">
              <w:r>
                <w:rPr>
                  <w:rFonts w:ascii="Times New Roman" w:eastAsia="Times New Roman" w:hAnsi="Times New Roman" w:cs="Times New Roman"/>
                  <w:b w:val="0"/>
                  <w:i w:val="0"/>
                  <w:color w:val="000000"/>
                  <w:sz w:val="20"/>
                  <w:u w:val="single"/>
                  <w:shd w:val="clear" w:color="auto" w:fill="auto"/>
                </w:rPr>
                <w:t>Exhibits</w:t>
              </w:r>
            </w:hyperlink>
          </w:p>
        </w:tc>
        <w:tc>
          <w:tcPr>
            <w:tcW w:w="13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center"/>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val="0"/>
                <w:color w:val="000000"/>
                <w:sz w:val="20"/>
                <w:u w:val="single"/>
              </w:rPr>
              <w:fldChar w:fldCharType="begin"/>
            </w:r>
            <w:r>
              <w:rPr>
                <w:rFonts w:ascii="Times New Roman" w:eastAsia="Times New Roman" w:hAnsi="Times New Roman" w:cs="Times New Roman"/>
                <w:b w:val="0"/>
                <w:i w:val="0"/>
                <w:color w:val="000000"/>
                <w:sz w:val="20"/>
                <w:u w:val="single"/>
              </w:rPr>
              <w:instrText xml:space="preserve"> PAGEREF </w:instrText>
            </w:r>
            <w:r>
              <w:rPr>
                <w:rFonts w:ascii="Times New Roman" w:eastAsia="Times New Roman" w:hAnsi="Times New Roman" w:cs="Times New Roman"/>
                <w:b w:val="0"/>
                <w:i w:val="0"/>
                <w:color w:val="000000"/>
                <w:sz w:val="20"/>
                <w:u w:val="single"/>
              </w:rPr>
              <w:instrText xml:space="preserve"> </w:instrText>
            </w:r>
            <w:r>
              <w:rPr>
                <w:rFonts w:ascii="Times New Roman" w:eastAsia="Times New Roman" w:hAnsi="Times New Roman" w:cs="Times New Roman"/>
                <w:b w:val="0"/>
                <w:i w:val="0"/>
                <w:color w:val="000000"/>
                <w:sz w:val="20"/>
                <w:u w:val="single"/>
              </w:rPr>
              <w:instrText>Section56</w:instrText>
            </w:r>
            <w:r>
              <w:rPr>
                <w:rFonts w:ascii="Times New Roman" w:eastAsia="Times New Roman" w:hAnsi="Times New Roman" w:cs="Times New Roman"/>
                <w:b w:val="0"/>
                <w:i w:val="0"/>
                <w:color w:val="000000"/>
                <w:sz w:val="20"/>
                <w:u w:val="single"/>
              </w:rPr>
              <w:instrText xml:space="preserve"> \h</w:instrText>
            </w:r>
            <w:r>
              <w:rPr>
                <w:rFonts w:ascii="Times New Roman" w:eastAsia="Times New Roman" w:hAnsi="Times New Roman" w:cs="Times New Roman"/>
                <w:b w:val="0"/>
                <w:i w:val="0"/>
                <w:color w:val="000000"/>
                <w:sz w:val="20"/>
                <w:u w:val="single"/>
              </w:rPr>
              <w:fldChar w:fldCharType="separate"/>
            </w:r>
            <w:r>
              <w:rPr>
                <w:rFonts w:ascii="Times New Roman" w:eastAsia="Times New Roman" w:hAnsi="Times New Roman" w:cs="Times New Roman"/>
                <w:b w:val="0"/>
                <w:i w:val="0"/>
                <w:color w:val="000000"/>
                <w:sz w:val="20"/>
                <w:u w:val="single"/>
              </w:rPr>
              <w:t>26</w:t>
            </w:r>
            <w:r>
              <w:rPr>
                <w:rFonts w:ascii="Times New Roman" w:eastAsia="Times New Roman" w:hAnsi="Times New Roman" w:cs="Times New Roman"/>
                <w:b w:val="0"/>
                <w:i w:val="0"/>
                <w:color w:val="000000"/>
                <w:sz w:val="20"/>
                <w:u w:val="single"/>
              </w:rPr>
              <w:fldChar w:fldCharType="end"/>
            </w:r>
          </w:p>
        </w:tc>
      </w:tr>
      <w:tr>
        <w:tblPrEx>
          <w:tblW w:w="10245" w:type="dxa"/>
          <w:jc w:val="left"/>
          <w:tblInd w:w="0" w:type="dxa"/>
          <w:tblLayout w:type="fixed"/>
          <w:tblCellMar>
            <w:left w:w="108" w:type="dxa"/>
            <w:right w:w="108" w:type="dxa"/>
          </w:tblCellMar>
        </w:tblPrEx>
        <w:trPr>
          <w:cantSplit/>
          <w:trHeight w:hRule="exact" w:val="285"/>
          <w:jc w:val="left"/>
        </w:trPr>
        <w:tc>
          <w:tcPr>
            <w:tcW w:w="139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 </w:t>
            </w:r>
          </w:p>
        </w:tc>
        <w:tc>
          <w:tcPr>
            <w:tcW w:w="745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 </w:t>
            </w:r>
          </w:p>
        </w:tc>
        <w:tc>
          <w:tcPr>
            <w:tcW w:w="139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 </w:t>
            </w:r>
          </w:p>
        </w:tc>
      </w:tr>
      <w:tr>
        <w:tblPrEx>
          <w:tblW w:w="10245" w:type="dxa"/>
          <w:jc w:val="left"/>
          <w:tblInd w:w="0" w:type="dxa"/>
          <w:tblLayout w:type="fixed"/>
          <w:tblCellMar>
            <w:left w:w="108" w:type="dxa"/>
            <w:right w:w="108" w:type="dxa"/>
          </w:tblCellMar>
        </w:tblPrEx>
        <w:trPr>
          <w:cantSplit/>
          <w:trHeight w:hRule="exact" w:val="285"/>
          <w:jc w:val="left"/>
        </w:trPr>
        <w:tc>
          <w:tcPr>
            <w:tcW w:w="1395"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75" w:after="30" w:line="240" w:lineRule="auto"/>
              <w:ind w:left="0" w:right="0" w:firstLine="0"/>
              <w:jc w:val="left"/>
              <w:outlineLvl w:val="9"/>
              <w:rPr>
                <w:rFonts w:ascii="Times New Roman" w:eastAsia="Times New Roman" w:hAnsi="Times New Roman" w:cs="Times New Roman"/>
                <w:b w:val="0"/>
                <w:i w:val="0"/>
                <w:color w:val="000000"/>
                <w:sz w:val="20"/>
                <w:u w:val="single"/>
                <w:shd w:val="clear" w:color="auto" w:fill="auto"/>
              </w:rPr>
            </w:pPr>
            <w:hyperlink w:anchor="Section57" w:history="1">
              <w:r>
                <w:rPr>
                  <w:rFonts w:ascii="Times New Roman" w:eastAsia="Times New Roman" w:hAnsi="Times New Roman" w:cs="Times New Roman"/>
                  <w:b w:val="0"/>
                  <w:i w:val="0"/>
                  <w:color w:val="000000"/>
                  <w:sz w:val="20"/>
                  <w:u w:val="single"/>
                  <w:shd w:val="clear" w:color="auto" w:fill="auto"/>
                </w:rPr>
                <w:t>SIGNATURES</w:t>
              </w:r>
            </w:hyperlink>
          </w:p>
        </w:tc>
        <w:tc>
          <w:tcPr>
            <w:tcW w:w="7455" w:type="dxa"/>
            <w:tcBorders>
              <w:top w:val="nil"/>
              <w:left w:val="nil"/>
              <w:bottom w:val="nil"/>
              <w:right w:val="nil"/>
            </w:tcBorders>
            <w:tcMar>
              <w:top w:w="0" w:type="dxa"/>
              <w:left w:w="53" w:type="dxa"/>
              <w:bottom w:w="0" w:type="dxa"/>
              <w:right w:w="53" w:type="dxa"/>
            </w:tcMar>
            <w:vAlign w:val="top"/>
          </w:tcPr>
          <w:p>
            <w:pPr>
              <w:pageBreakBefore w:val="0"/>
              <w:spacing w:before="75" w:after="30" w:line="240" w:lineRule="auto"/>
              <w:jc w:val="left"/>
            </w:pPr>
            <w:r>
              <w:rPr>
                <w:rFonts w:ascii="Times New Roman" w:eastAsia="Times New Roman" w:hAnsi="Times New Roman" w:cs="Times New Roman"/>
                <w:b w:val="0"/>
                <w:i w:val="0"/>
                <w:color w:val="000000"/>
                <w:sz w:val="20"/>
                <w:u w:val="none"/>
              </w:rPr>
              <w:t> </w:t>
            </w:r>
          </w:p>
        </w:tc>
        <w:tc>
          <w:tcPr>
            <w:tcW w:w="1395"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75" w:after="30" w:line="240" w:lineRule="auto"/>
              <w:ind w:left="0" w:right="0" w:firstLine="0"/>
              <w:jc w:val="center"/>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val="0"/>
                <w:color w:val="000000"/>
                <w:sz w:val="20"/>
                <w:u w:val="single"/>
              </w:rPr>
              <w:fldChar w:fldCharType="begin"/>
            </w:r>
            <w:r>
              <w:rPr>
                <w:rFonts w:ascii="Times New Roman" w:eastAsia="Times New Roman" w:hAnsi="Times New Roman" w:cs="Times New Roman"/>
                <w:b w:val="0"/>
                <w:i w:val="0"/>
                <w:color w:val="000000"/>
                <w:sz w:val="20"/>
                <w:u w:val="single"/>
              </w:rPr>
              <w:instrText xml:space="preserve"> PAGEREF </w:instrText>
            </w:r>
            <w:r>
              <w:rPr>
                <w:rFonts w:ascii="Times New Roman" w:eastAsia="Times New Roman" w:hAnsi="Times New Roman" w:cs="Times New Roman"/>
                <w:b w:val="0"/>
                <w:i w:val="0"/>
                <w:color w:val="000000"/>
                <w:sz w:val="20"/>
                <w:u w:val="single"/>
              </w:rPr>
              <w:instrText xml:space="preserve"> </w:instrText>
            </w:r>
            <w:r>
              <w:rPr>
                <w:rFonts w:ascii="Times New Roman" w:eastAsia="Times New Roman" w:hAnsi="Times New Roman" w:cs="Times New Roman"/>
                <w:b w:val="0"/>
                <w:i w:val="0"/>
                <w:color w:val="000000"/>
                <w:sz w:val="20"/>
                <w:u w:val="single"/>
              </w:rPr>
              <w:instrText>Section57</w:instrText>
            </w:r>
            <w:r>
              <w:rPr>
                <w:rFonts w:ascii="Times New Roman" w:eastAsia="Times New Roman" w:hAnsi="Times New Roman" w:cs="Times New Roman"/>
                <w:b w:val="0"/>
                <w:i w:val="0"/>
                <w:color w:val="000000"/>
                <w:sz w:val="20"/>
                <w:u w:val="single"/>
              </w:rPr>
              <w:instrText xml:space="preserve"> \h</w:instrText>
            </w:r>
            <w:r>
              <w:rPr>
                <w:rFonts w:ascii="Times New Roman" w:eastAsia="Times New Roman" w:hAnsi="Times New Roman" w:cs="Times New Roman"/>
                <w:b w:val="0"/>
                <w:i w:val="0"/>
                <w:color w:val="000000"/>
                <w:sz w:val="20"/>
                <w:u w:val="single"/>
              </w:rPr>
              <w:fldChar w:fldCharType="separate"/>
            </w:r>
            <w:r>
              <w:rPr>
                <w:rFonts w:ascii="Times New Roman" w:eastAsia="Times New Roman" w:hAnsi="Times New Roman" w:cs="Times New Roman"/>
                <w:b w:val="0"/>
                <w:i w:val="0"/>
                <w:color w:val="000000"/>
                <w:sz w:val="20"/>
                <w:u w:val="single"/>
              </w:rPr>
              <w:t>27</w:t>
            </w:r>
            <w:r>
              <w:rPr>
                <w:rFonts w:ascii="Times New Roman" w:eastAsia="Times New Roman" w:hAnsi="Times New Roman" w:cs="Times New Roman"/>
                <w:b w:val="0"/>
                <w:i w:val="0"/>
                <w:color w:val="000000"/>
                <w:sz w:val="20"/>
                <w:u w:val="single"/>
              </w:rPr>
              <w:fldChar w:fldCharType="end"/>
            </w:r>
          </w:p>
        </w:tc>
      </w:tr>
    </w:tbl>
    <w:p>
      <w:pPr>
        <w:keepNext w:val="0"/>
        <w:keepLines w:val="0"/>
        <w:pageBreakBefore w:val="0"/>
        <w:widowControl/>
        <w:numPr>
          <w:ilvl w:val="0"/>
          <w:numId w:val="0"/>
        </w:numPr>
        <w:spacing w:before="160" w:after="160" w:line="288" w:lineRule="auto"/>
        <w:ind w:left="0" w:right="0" w:firstLine="0"/>
        <w:jc w:val="left"/>
        <w:outlineLvl w:val="9"/>
        <w:rPr>
          <w:rFonts w:ascii="Times New Roman" w:eastAsia="Times New Roman" w:hAnsi="Times New Roman" w:cs="Times New Roman"/>
          <w:b w:val="0"/>
          <w:i w:val="0"/>
          <w:sz w:val="20"/>
        </w:rPr>
      </w:pPr>
    </w:p>
    <w:p>
      <w:pPr>
        <w:keepNext w:val="0"/>
        <w:keepLines w:val="0"/>
        <w:pageBreakBefore w:val="0"/>
        <w:widowControl/>
        <w:numPr>
          <w:ilvl w:val="0"/>
          <w:numId w:val="0"/>
        </w:numPr>
        <w:spacing w:before="160" w:after="160" w:line="288" w:lineRule="auto"/>
        <w:ind w:left="0" w:right="0" w:firstLine="0"/>
        <w:jc w:val="left"/>
        <w:outlineLvl w:val="9"/>
        <w:rPr>
          <w:rFonts w:ascii="Times New Roman" w:eastAsia="Times New Roman" w:hAnsi="Times New Roman" w:cs="Times New Roman"/>
          <w:b w:val="0"/>
          <w:i w:val="0"/>
          <w:sz w:val="20"/>
        </w:rPr>
        <w:sectPr>
          <w:pgSz w:w="12240" w:h="15840"/>
          <w:pgMar w:top="900" w:right="990" w:bottom="900" w:left="990" w:header="0" w:footer="0"/>
          <w:pgNumType w:fmt="lowerRoman" w:start="1"/>
          <w:cols w:space="708"/>
        </w:sectPr>
      </w:pPr>
    </w:p>
    <w:p>
      <w:pPr>
        <w:keepNext w:val="0"/>
        <w:keepLines w:val="0"/>
        <w:pageBreakBefore w:val="0"/>
        <w:widowControl/>
        <w:numPr>
          <w:ilvl w:val="0"/>
          <w:numId w:val="0"/>
        </w:numPr>
        <w:spacing w:before="0" w:after="0" w:line="288" w:lineRule="auto"/>
        <w:ind w:left="0" w:right="0" w:firstLine="0"/>
        <w:jc w:val="left"/>
        <w:outlineLvl w:val="0"/>
        <w:rPr>
          <w:rFonts w:ascii="Times New Roman" w:eastAsia="Times New Roman" w:hAnsi="Times New Roman" w:cs="Times New Roman"/>
          <w:b/>
          <w:i w:val="0"/>
          <w:sz w:val="20"/>
        </w:rPr>
      </w:pPr>
      <w:bookmarkStart w:id="2" w:name="Section3"/>
      <w:bookmarkEnd w:id="2"/>
      <w:r>
        <w:rPr>
          <w:rFonts w:ascii="Times New Roman" w:eastAsia="Times New Roman" w:hAnsi="Times New Roman" w:cs="Times New Roman"/>
          <w:b/>
          <w:i w:val="0"/>
          <w:sz w:val="20"/>
        </w:rPr>
        <w:t>PART I</w:t>
      </w:r>
      <w:r>
        <w:rPr>
          <w:rFonts w:ascii="Times New Roman" w:eastAsia="Times New Roman" w:hAnsi="Times New Roman" w:cs="Times New Roman"/>
          <w:b/>
          <w:i w:val="0"/>
          <w:sz w:val="20"/>
        </w:rPr>
        <w:t>.</w:t>
      </w:r>
      <w:r>
        <w:rPr>
          <w:rFonts w:ascii="Times New Roman" w:eastAsia="Times New Roman" w:hAnsi="Times New Roman" w:cs="Times New Roman"/>
          <w:b/>
          <w:i w:val="0"/>
          <w:sz w:val="20"/>
        </w:rPr>
        <w:t xml:space="preserve"> </w:t>
      </w:r>
      <w:r>
        <w:rPr>
          <w:rFonts w:ascii="Times New Roman" w:eastAsia="Times New Roman" w:hAnsi="Times New Roman" w:cs="Times New Roman"/>
          <w:b/>
          <w:i w:val="0"/>
          <w:sz w:val="20"/>
        </w:rPr>
        <w:t>FINANCIAL INFORMATION</w:t>
      </w:r>
    </w:p>
    <w:p>
      <w:pPr>
        <w:keepNext w:val="0"/>
        <w:keepLines w:val="0"/>
        <w:pageBreakBefore w:val="0"/>
        <w:widowControl/>
        <w:numPr>
          <w:ilvl w:val="0"/>
          <w:numId w:val="0"/>
        </w:numPr>
        <w:spacing w:before="0" w:after="0" w:line="288" w:lineRule="auto"/>
        <w:ind w:left="0" w:right="0" w:firstLine="0"/>
        <w:jc w:val="left"/>
        <w:outlineLvl w:val="0"/>
        <w:sectPr>
          <w:headerReference w:type="default" r:id="rId6"/>
          <w:footerReference w:type="default" r:id="rId7"/>
          <w:pgSz w:w="12240" w:h="15840"/>
          <w:pgMar w:top="900" w:right="990" w:bottom="900" w:left="990" w:header="270" w:footer="270"/>
          <w:pgNumType w:start="1"/>
          <w:cols w:space="708"/>
        </w:sectPr>
      </w:pPr>
    </w:p>
    <w:p>
      <w:pPr>
        <w:keepNext w:val="0"/>
        <w:keepLines w:val="0"/>
        <w:pageBreakBefore w:val="0"/>
        <w:widowControl/>
        <w:numPr>
          <w:ilvl w:val="0"/>
          <w:numId w:val="0"/>
        </w:numPr>
        <w:spacing w:before="0" w:after="160" w:line="288" w:lineRule="auto"/>
        <w:ind w:left="0" w:right="0" w:firstLine="0"/>
        <w:jc w:val="left"/>
        <w:outlineLvl w:val="0"/>
        <w:rPr>
          <w:rFonts w:ascii="Times New Roman" w:eastAsia="Times New Roman" w:hAnsi="Times New Roman" w:cs="Times New Roman"/>
          <w:b/>
          <w:i w:val="0"/>
          <w:sz w:val="20"/>
        </w:rPr>
      </w:pPr>
      <w:bookmarkStart w:id="3" w:name="Section4"/>
      <w:bookmarkEnd w:id="3"/>
      <w:r>
        <w:rPr>
          <w:rFonts w:ascii="Times New Roman" w:eastAsia="Times New Roman" w:hAnsi="Times New Roman" w:cs="Times New Roman"/>
          <w:b/>
          <w:i w:val="0"/>
          <w:color w:val="000000"/>
          <w:sz w:val="20"/>
          <w:u w:val="none"/>
        </w:rPr>
        <w:t>Item 1.</w:t>
      </w:r>
      <w:r>
        <w:rPr>
          <w:rFonts w:ascii="Times New Roman" w:eastAsia="Times New Roman" w:hAnsi="Times New Roman" w:cs="Times New Roman"/>
          <w:b/>
          <w:i w:val="0"/>
          <w:sz w:val="20"/>
        </w:rPr>
        <w:t xml:space="preserve"> </w:t>
      </w:r>
      <w:r>
        <w:rPr>
          <w:rFonts w:ascii="Times New Roman" w:eastAsia="Times New Roman" w:hAnsi="Times New Roman" w:cs="Times New Roman"/>
          <w:b/>
          <w:i w:val="0"/>
          <w:color w:val="000000"/>
          <w:sz w:val="20"/>
          <w:u w:val="none"/>
        </w:rPr>
        <w:t>Financial Statements</w:t>
      </w:r>
    </w:p>
    <w:p>
      <w:pPr>
        <w:keepNext w:val="0"/>
        <w:keepLines w:val="0"/>
        <w:pageBreakBefore w:val="0"/>
        <w:widowControl/>
        <w:numPr>
          <w:ilvl w:val="0"/>
          <w:numId w:val="0"/>
        </w:numPr>
        <w:spacing w:before="0" w:after="160" w:line="288" w:lineRule="auto"/>
        <w:ind w:left="0" w:right="0" w:firstLine="0"/>
        <w:jc w:val="left"/>
        <w:outlineLvl w:val="0"/>
        <w:sectPr>
          <w:headerReference w:type="default" r:id="rId8"/>
          <w:footerReference w:type="default" r:id="rId9"/>
          <w:type w:val="continuous"/>
          <w:pgSz w:w="12240" w:h="15840"/>
          <w:pgMar w:top="900" w:right="990" w:bottom="900" w:left="990" w:header="270" w:footer="270"/>
          <w:cols w:space="708"/>
        </w:sectPr>
      </w:pPr>
    </w:p>
    <w:p>
      <w:pPr>
        <w:keepNext/>
        <w:keepLines w:val="0"/>
        <w:pageBreakBefore w:val="0"/>
        <w:widowControl/>
        <w:numPr>
          <w:ilvl w:val="0"/>
          <w:numId w:val="0"/>
        </w:numPr>
        <w:spacing w:before="0" w:after="0" w:line="288" w:lineRule="auto"/>
        <w:ind w:left="0" w:right="0" w:firstLine="0"/>
        <w:jc w:val="center"/>
        <w:outlineLvl w:val="1"/>
        <w:rPr>
          <w:rFonts w:ascii="Times New Roman" w:eastAsia="Times New Roman" w:hAnsi="Times New Roman" w:cs="Times New Roman"/>
          <w:b/>
          <w:i w:val="0"/>
          <w:sz w:val="20"/>
        </w:rPr>
      </w:pPr>
      <w:bookmarkStart w:id="4" w:name="Section5"/>
      <w:bookmarkEnd w:id="4"/>
      <w:r>
        <w:rPr>
          <w:rFonts w:ascii="Times New Roman" w:eastAsia="Times New Roman" w:hAnsi="Times New Roman" w:cs="Times New Roman"/>
          <w:b/>
          <w:i w:val="0"/>
          <w:sz w:val="20"/>
        </w:rPr>
        <w:t>HALLIBURTON COMPANY</w:t>
      </w:r>
    </w:p>
    <w:p>
      <w:pPr>
        <w:keepNext/>
        <w:keepLines w:val="0"/>
        <w:pageBreakBefore w:val="0"/>
        <w:widowControl/>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color w:val="000000"/>
          <w:sz w:val="20"/>
          <w:u w:val="none"/>
        </w:rPr>
        <w:t>Condensed Consolidated</w:t>
      </w:r>
      <w:r>
        <w:rPr>
          <w:rFonts w:ascii="Times New Roman" w:eastAsia="Times New Roman" w:hAnsi="Times New Roman" w:cs="Times New Roman"/>
          <w:b/>
          <w:i w:val="0"/>
          <w:color w:val="000000"/>
          <w:sz w:val="20"/>
          <w:u w:val="none"/>
        </w:rPr>
        <w:t xml:space="preserve"> Statements of Operations</w:t>
      </w:r>
    </w:p>
    <w:p>
      <w:pPr>
        <w:keepNext/>
        <w:keepLines w:val="0"/>
        <w:pageBreakBefore w:val="0"/>
        <w:widowControl/>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color w:val="000000"/>
          <w:sz w:val="20"/>
          <w:u w:val="none"/>
        </w:rPr>
        <w:t>(Unaudited)</w:t>
      </w:r>
    </w:p>
    <w:tbl>
      <w:tblPr>
        <w:tblW w:w="8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105"/>
        <w:gridCol w:w="1020"/>
        <w:gridCol w:w="1020"/>
      </w:tblGrid>
      <w:tr>
        <w:tblPrEx>
          <w:tblW w:w="8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00"/>
          <w:jc w:val="center"/>
        </w:trPr>
        <w:tc>
          <w:tcPr>
            <w:tcW w:w="6105"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p>
        </w:tc>
        <w:tc>
          <w:tcPr>
            <w:tcW w:w="2040" w:type="dxa"/>
            <w:gridSpan w:val="2"/>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20"/>
                <w:u w:val="none"/>
              </w:rPr>
              <w:t>Three Months Ended</w:t>
            </w:r>
          </w:p>
        </w:tc>
      </w:tr>
      <w:tr>
        <w:tblPrEx>
          <w:tblW w:w="8145" w:type="dxa"/>
          <w:jc w:val="center"/>
          <w:tblLayout w:type="fixed"/>
          <w:tblCellMar>
            <w:left w:w="108" w:type="dxa"/>
            <w:right w:w="108" w:type="dxa"/>
          </w:tblCellMar>
        </w:tblPrEx>
        <w:trPr>
          <w:cantSplit/>
          <w:trHeight w:hRule="exact" w:val="300"/>
          <w:jc w:val="center"/>
        </w:trPr>
        <w:tc>
          <w:tcPr>
            <w:tcW w:w="6105"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p>
        </w:tc>
        <w:tc>
          <w:tcPr>
            <w:tcW w:w="2040" w:type="dxa"/>
            <w:gridSpan w:val="2"/>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20"/>
                <w:u w:val="none"/>
              </w:rPr>
              <w:t xml:space="preserve">March 31, </w:t>
            </w:r>
          </w:p>
        </w:tc>
      </w:tr>
      <w:tr>
        <w:tblPrEx>
          <w:tblW w:w="8145" w:type="dxa"/>
          <w:jc w:val="center"/>
          <w:tblLayout w:type="fixed"/>
          <w:tblCellMar>
            <w:left w:w="108" w:type="dxa"/>
            <w:right w:w="108" w:type="dxa"/>
          </w:tblCellMar>
        </w:tblPrEx>
        <w:trPr>
          <w:cantSplit/>
          <w:trHeight w:hRule="exact" w:val="300"/>
          <w:jc w:val="center"/>
        </w:trPr>
        <w:tc>
          <w:tcPr>
            <w:tcW w:w="61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color w:val="000000"/>
                <w:sz w:val="20"/>
                <w:u w:val="none"/>
              </w:rPr>
              <w:t>Millions of dollars and shares except per share data</w:t>
            </w:r>
          </w:p>
        </w:tc>
        <w:tc>
          <w:tcPr>
            <w:tcW w:w="102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2025</w:t>
            </w:r>
          </w:p>
        </w:tc>
        <w:tc>
          <w:tcPr>
            <w:tcW w:w="102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2024</w:t>
            </w:r>
          </w:p>
        </w:tc>
      </w:tr>
      <w:tr>
        <w:tblPrEx>
          <w:tblW w:w="8145" w:type="dxa"/>
          <w:jc w:val="center"/>
          <w:tblLayout w:type="fixed"/>
          <w:tblCellMar>
            <w:left w:w="108" w:type="dxa"/>
            <w:right w:w="108" w:type="dxa"/>
          </w:tblCellMar>
        </w:tblPrEx>
        <w:trPr>
          <w:cantSplit/>
          <w:trHeight w:hRule="exact" w:val="300"/>
          <w:jc w:val="center"/>
        </w:trPr>
        <w:tc>
          <w:tcPr>
            <w:tcW w:w="610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20"/>
                <w:u w:val="none"/>
              </w:rPr>
              <w:t>Revenue:</w:t>
            </w:r>
          </w:p>
        </w:tc>
        <w:tc>
          <w:tcPr>
            <w:tcW w:w="1020"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pPr>
              <w:keepNext/>
              <w:pageBreakBefore w:val="0"/>
              <w:spacing w:before="55" w:after="30" w:line="240" w:lineRule="auto"/>
              <w:jc w:val="center"/>
            </w:pPr>
          </w:p>
        </w:tc>
        <w:tc>
          <w:tcPr>
            <w:tcW w:w="1020"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pPr>
              <w:keepNext/>
              <w:pageBreakBefore w:val="0"/>
              <w:spacing w:before="55" w:after="30" w:line="240" w:lineRule="auto"/>
              <w:jc w:val="center"/>
            </w:pPr>
          </w:p>
        </w:tc>
      </w:tr>
      <w:tr>
        <w:tblPrEx>
          <w:tblW w:w="8145" w:type="dxa"/>
          <w:jc w:val="center"/>
          <w:tblLayout w:type="fixed"/>
          <w:tblCellMar>
            <w:left w:w="108" w:type="dxa"/>
            <w:right w:w="108" w:type="dxa"/>
          </w:tblCellMar>
        </w:tblPrEx>
        <w:trPr>
          <w:cantSplit/>
          <w:trHeight w:hRule="exact" w:val="300"/>
          <w:jc w:val="center"/>
        </w:trPr>
        <w:tc>
          <w:tcPr>
            <w:tcW w:w="6105"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20"/>
                <w:u w:val="none"/>
              </w:rPr>
              <w:t>Services</w:t>
            </w:r>
          </w:p>
        </w:tc>
        <w:tc>
          <w:tcPr>
            <w:tcW w:w="1020" w:type="dxa"/>
            <w:tcBorders>
              <w:top w:val="nil"/>
              <w:left w:val="nil"/>
              <w:bottom w:val="nil"/>
              <w:right w:val="nil"/>
            </w:tcBorders>
            <w:tcMar>
              <w:top w:w="0" w:type="dxa"/>
              <w:left w:w="0" w:type="dxa"/>
              <w:bottom w:w="0" w:type="dxa"/>
              <w:right w:w="15" w:type="dxa"/>
            </w:tcMar>
            <w:vAlign w:val="bottom"/>
          </w:tcPr>
          <w:p>
            <w:pPr>
              <w:keepNext/>
              <w:pageBreakBefore w:val="0"/>
              <w:tabs>
                <w:tab w:val="left" w:pos="437"/>
                <w:tab w:val="left" w:pos="952"/>
              </w:tabs>
              <w:spacing w:before="55" w:after="30" w:line="240" w:lineRule="auto"/>
              <w:jc w:val="right"/>
            </w:pPr>
            <w:r>
              <w:rPr>
                <w:rFonts w:ascii="Times New Roman" w:eastAsia="Times New Roman" w:hAnsi="Times New Roman" w:cs="Times New Roman"/>
                <w:b w:val="0"/>
                <w:i w:val="0"/>
                <w:color w:val="000000"/>
                <w:sz w:val="20"/>
                <w:u w:val="none"/>
              </w:rPr>
              <w:t>$</w:t>
              <w:tab/>
              <w:t>3,809</w:t>
              <w:tab/>
            </w:r>
          </w:p>
        </w:tc>
        <w:tc>
          <w:tcPr>
            <w:tcW w:w="1020" w:type="dxa"/>
            <w:tcBorders>
              <w:top w:val="nil"/>
              <w:left w:val="nil"/>
              <w:bottom w:val="nil"/>
              <w:right w:val="nil"/>
            </w:tcBorders>
            <w:tcMar>
              <w:top w:w="0" w:type="dxa"/>
              <w:left w:w="0" w:type="dxa"/>
              <w:bottom w:w="0" w:type="dxa"/>
              <w:right w:w="15" w:type="dxa"/>
            </w:tcMar>
            <w:vAlign w:val="bottom"/>
          </w:tcPr>
          <w:p>
            <w:pPr>
              <w:keepNext/>
              <w:pageBreakBefore w:val="0"/>
              <w:tabs>
                <w:tab w:val="left" w:pos="437"/>
                <w:tab w:val="left" w:pos="952"/>
              </w:tabs>
              <w:spacing w:before="55" w:after="30" w:line="240" w:lineRule="auto"/>
              <w:jc w:val="right"/>
            </w:pPr>
            <w:r>
              <w:rPr>
                <w:rFonts w:ascii="Times New Roman" w:eastAsia="Times New Roman" w:hAnsi="Times New Roman" w:cs="Times New Roman"/>
                <w:b w:val="0"/>
                <w:i w:val="0"/>
                <w:color w:val="000000"/>
                <w:sz w:val="20"/>
                <w:u w:val="none"/>
              </w:rPr>
              <w:t>$</w:t>
              <w:tab/>
              <w:t>4,146</w:t>
              <w:tab/>
            </w:r>
          </w:p>
        </w:tc>
      </w:tr>
      <w:tr>
        <w:tblPrEx>
          <w:tblW w:w="8145" w:type="dxa"/>
          <w:jc w:val="center"/>
          <w:tblLayout w:type="fixed"/>
          <w:tblCellMar>
            <w:left w:w="108" w:type="dxa"/>
            <w:right w:w="108" w:type="dxa"/>
          </w:tblCellMar>
        </w:tblPrEx>
        <w:trPr>
          <w:cantSplit/>
          <w:trHeight w:hRule="exact" w:val="300"/>
          <w:jc w:val="center"/>
        </w:trPr>
        <w:tc>
          <w:tcPr>
            <w:tcW w:w="6105"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20"/>
                <w:u w:val="none"/>
              </w:rPr>
              <w:t>Product sales</w:t>
            </w:r>
          </w:p>
        </w:tc>
        <w:tc>
          <w:tcPr>
            <w:tcW w:w="102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437"/>
                <w:tab w:val="left" w:pos="952"/>
              </w:tabs>
              <w:spacing w:before="55" w:after="30" w:line="240" w:lineRule="auto"/>
              <w:jc w:val="right"/>
            </w:pPr>
            <w:r>
              <w:rPr>
                <w:rFonts w:ascii="Times New Roman" w:eastAsia="Times New Roman" w:hAnsi="Times New Roman" w:cs="Times New Roman"/>
                <w:b w:val="0"/>
                <w:i w:val="0"/>
                <w:color w:val="000000"/>
                <w:sz w:val="20"/>
                <w:u w:val="none"/>
              </w:rPr>
              <w:tab/>
              <w:t>1,608</w:t>
              <w:tab/>
            </w:r>
          </w:p>
        </w:tc>
        <w:tc>
          <w:tcPr>
            <w:tcW w:w="102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437"/>
                <w:tab w:val="left" w:pos="952"/>
              </w:tabs>
              <w:spacing w:before="55" w:after="30" w:line="240" w:lineRule="auto"/>
              <w:jc w:val="right"/>
            </w:pPr>
            <w:r>
              <w:rPr>
                <w:rFonts w:ascii="Times New Roman" w:eastAsia="Times New Roman" w:hAnsi="Times New Roman" w:cs="Times New Roman"/>
                <w:b w:val="0"/>
                <w:i w:val="0"/>
                <w:color w:val="000000"/>
                <w:sz w:val="20"/>
                <w:u w:val="none"/>
              </w:rPr>
              <w:tab/>
              <w:t>1,658</w:t>
              <w:tab/>
            </w:r>
          </w:p>
        </w:tc>
      </w:tr>
      <w:tr>
        <w:tblPrEx>
          <w:tblW w:w="8145" w:type="dxa"/>
          <w:jc w:val="center"/>
          <w:tblLayout w:type="fixed"/>
          <w:tblCellMar>
            <w:left w:w="108" w:type="dxa"/>
            <w:right w:w="108" w:type="dxa"/>
          </w:tblCellMar>
        </w:tblPrEx>
        <w:trPr>
          <w:cantSplit/>
          <w:trHeight w:hRule="exact" w:val="300"/>
          <w:jc w:val="center"/>
        </w:trPr>
        <w:tc>
          <w:tcPr>
            <w:tcW w:w="610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20"/>
                <w:u w:val="none"/>
              </w:rPr>
              <w:t>Total revenue</w:t>
            </w:r>
          </w:p>
        </w:tc>
        <w:tc>
          <w:tcPr>
            <w:tcW w:w="102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437"/>
                <w:tab w:val="left" w:pos="952"/>
              </w:tabs>
              <w:spacing w:before="55" w:after="30" w:line="240" w:lineRule="auto"/>
              <w:jc w:val="right"/>
            </w:pPr>
            <w:r>
              <w:rPr>
                <w:rFonts w:ascii="Times New Roman" w:eastAsia="Times New Roman" w:hAnsi="Times New Roman" w:cs="Times New Roman"/>
                <w:b w:val="0"/>
                <w:i w:val="0"/>
                <w:color w:val="000000"/>
                <w:sz w:val="20"/>
                <w:u w:val="none"/>
              </w:rPr>
              <w:tab/>
              <w:t>5,417</w:t>
              <w:tab/>
            </w:r>
          </w:p>
        </w:tc>
        <w:tc>
          <w:tcPr>
            <w:tcW w:w="102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437"/>
                <w:tab w:val="left" w:pos="952"/>
              </w:tabs>
              <w:spacing w:before="55" w:after="30" w:line="240" w:lineRule="auto"/>
              <w:jc w:val="right"/>
            </w:pPr>
            <w:r>
              <w:rPr>
                <w:rFonts w:ascii="Times New Roman" w:eastAsia="Times New Roman" w:hAnsi="Times New Roman" w:cs="Times New Roman"/>
                <w:b w:val="0"/>
                <w:i w:val="0"/>
                <w:color w:val="000000"/>
                <w:sz w:val="20"/>
                <w:u w:val="none"/>
              </w:rPr>
              <w:tab/>
              <w:t>5,804</w:t>
              <w:tab/>
            </w:r>
          </w:p>
        </w:tc>
      </w:tr>
      <w:tr>
        <w:tblPrEx>
          <w:tblW w:w="8145" w:type="dxa"/>
          <w:jc w:val="center"/>
          <w:tblLayout w:type="fixed"/>
          <w:tblCellMar>
            <w:left w:w="108" w:type="dxa"/>
            <w:right w:w="108" w:type="dxa"/>
          </w:tblCellMar>
        </w:tblPrEx>
        <w:trPr>
          <w:cantSplit/>
          <w:trHeight w:hRule="exact" w:val="300"/>
          <w:jc w:val="center"/>
        </w:trPr>
        <w:tc>
          <w:tcPr>
            <w:tcW w:w="610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20"/>
                <w:u w:val="none"/>
              </w:rPr>
              <w:t>Operating costs and expenses:</w:t>
            </w:r>
          </w:p>
        </w:tc>
        <w:tc>
          <w:tcPr>
            <w:tcW w:w="1020" w:type="dxa"/>
            <w:tcBorders>
              <w:top w:val="single" w:sz="8" w:space="0" w:color="000000"/>
              <w:left w:val="nil"/>
              <w:bottom w:val="nil"/>
              <w:right w:val="nil"/>
            </w:tcBorders>
            <w:shd w:val="clear" w:color="auto" w:fill="CCEEFF"/>
            <w:tcMar>
              <w:top w:w="0" w:type="dxa"/>
              <w:left w:w="0" w:type="dxa"/>
              <w:bottom w:w="0" w:type="dxa"/>
              <w:right w:w="53" w:type="dxa"/>
            </w:tcMar>
            <w:vAlign w:val="bottom"/>
          </w:tcPr>
          <w:p>
            <w:pPr>
              <w:keepNext/>
              <w:pageBreakBefore w:val="0"/>
              <w:spacing w:before="55" w:after="30" w:line="240" w:lineRule="auto"/>
              <w:jc w:val="right"/>
            </w:pPr>
            <w:r>
              <w:rPr>
                <w:rFonts w:ascii="Times New Roman" w:eastAsia="Times New Roman" w:hAnsi="Times New Roman" w:cs="Times New Roman"/>
                <w:b w:val="0"/>
                <w:i w:val="0"/>
                <w:color w:val="000000"/>
                <w:sz w:val="20"/>
                <w:u w:val="none"/>
              </w:rPr>
              <w:t> </w:t>
            </w:r>
          </w:p>
        </w:tc>
        <w:tc>
          <w:tcPr>
            <w:tcW w:w="102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spacing w:before="55" w:after="30" w:line="240" w:lineRule="auto"/>
              <w:jc w:val="right"/>
            </w:pPr>
          </w:p>
        </w:tc>
      </w:tr>
      <w:tr>
        <w:tblPrEx>
          <w:tblW w:w="8145" w:type="dxa"/>
          <w:jc w:val="center"/>
          <w:tblLayout w:type="fixed"/>
          <w:tblCellMar>
            <w:left w:w="108" w:type="dxa"/>
            <w:right w:w="108" w:type="dxa"/>
          </w:tblCellMar>
        </w:tblPrEx>
        <w:trPr>
          <w:cantSplit/>
          <w:trHeight w:hRule="exact" w:val="300"/>
          <w:jc w:val="center"/>
        </w:trPr>
        <w:tc>
          <w:tcPr>
            <w:tcW w:w="61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20"/>
                <w:u w:val="none"/>
              </w:rPr>
              <w:t>Cost of services</w:t>
            </w: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37"/>
                <w:tab w:val="left" w:pos="952"/>
              </w:tabs>
              <w:spacing w:before="55" w:after="30" w:line="240" w:lineRule="auto"/>
              <w:jc w:val="right"/>
            </w:pPr>
            <w:r>
              <w:rPr>
                <w:rFonts w:ascii="Times New Roman" w:eastAsia="Times New Roman" w:hAnsi="Times New Roman" w:cs="Times New Roman"/>
                <w:b w:val="0"/>
                <w:i w:val="0"/>
                <w:color w:val="000000"/>
                <w:sz w:val="20"/>
                <w:u w:val="none"/>
              </w:rPr>
              <w:tab/>
              <w:t>3,286</w:t>
              <w:tab/>
            </w: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37"/>
                <w:tab w:val="left" w:pos="952"/>
              </w:tabs>
              <w:spacing w:before="55" w:after="30" w:line="240" w:lineRule="auto"/>
              <w:jc w:val="right"/>
            </w:pPr>
            <w:r>
              <w:rPr>
                <w:rFonts w:ascii="Times New Roman" w:eastAsia="Times New Roman" w:hAnsi="Times New Roman" w:cs="Times New Roman"/>
                <w:b w:val="0"/>
                <w:i w:val="0"/>
                <w:color w:val="000000"/>
                <w:sz w:val="20"/>
                <w:u w:val="none"/>
              </w:rPr>
              <w:tab/>
              <w:t>3,428</w:t>
              <w:tab/>
            </w:r>
          </w:p>
        </w:tc>
      </w:tr>
      <w:tr>
        <w:tblPrEx>
          <w:tblW w:w="8145" w:type="dxa"/>
          <w:jc w:val="center"/>
          <w:tblLayout w:type="fixed"/>
          <w:tblCellMar>
            <w:left w:w="108" w:type="dxa"/>
            <w:right w:w="108" w:type="dxa"/>
          </w:tblCellMar>
        </w:tblPrEx>
        <w:trPr>
          <w:cantSplit/>
          <w:trHeight w:hRule="exact" w:val="300"/>
          <w:jc w:val="center"/>
        </w:trPr>
        <w:tc>
          <w:tcPr>
            <w:tcW w:w="61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20"/>
                <w:u w:val="none"/>
              </w:rPr>
              <w:t>Cost of sales</w:t>
            </w: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37"/>
                <w:tab w:val="left" w:pos="952"/>
              </w:tabs>
              <w:spacing w:before="55" w:after="30" w:line="240" w:lineRule="auto"/>
              <w:jc w:val="right"/>
            </w:pPr>
            <w:r>
              <w:rPr>
                <w:rFonts w:ascii="Times New Roman" w:eastAsia="Times New Roman" w:hAnsi="Times New Roman" w:cs="Times New Roman"/>
                <w:b w:val="0"/>
                <w:i w:val="0"/>
                <w:color w:val="000000"/>
                <w:sz w:val="20"/>
                <w:u w:val="none"/>
              </w:rPr>
              <w:tab/>
              <w:t>1,252</w:t>
              <w:tab/>
            </w: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37"/>
                <w:tab w:val="left" w:pos="952"/>
              </w:tabs>
              <w:spacing w:before="55" w:after="30" w:line="240" w:lineRule="auto"/>
              <w:jc w:val="right"/>
            </w:pPr>
            <w:r>
              <w:rPr>
                <w:rFonts w:ascii="Times New Roman" w:eastAsia="Times New Roman" w:hAnsi="Times New Roman" w:cs="Times New Roman"/>
                <w:b w:val="0"/>
                <w:i w:val="0"/>
                <w:color w:val="000000"/>
                <w:sz w:val="20"/>
                <w:u w:val="none"/>
              </w:rPr>
              <w:tab/>
              <w:t>1,294</w:t>
              <w:tab/>
            </w:r>
          </w:p>
        </w:tc>
      </w:tr>
      <w:tr>
        <w:tblPrEx>
          <w:tblW w:w="8145" w:type="dxa"/>
          <w:jc w:val="center"/>
          <w:tblLayout w:type="fixed"/>
          <w:tblCellMar>
            <w:left w:w="108" w:type="dxa"/>
            <w:right w:w="108" w:type="dxa"/>
          </w:tblCellMar>
        </w:tblPrEx>
        <w:trPr>
          <w:cantSplit/>
          <w:trHeight w:hRule="exact" w:val="300"/>
          <w:jc w:val="center"/>
        </w:trPr>
        <w:tc>
          <w:tcPr>
            <w:tcW w:w="61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Impairments and other charges</w:t>
            </w: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87"/>
                <w:tab w:val="left" w:pos="952"/>
              </w:tabs>
              <w:spacing w:before="75" w:after="30" w:line="240" w:lineRule="auto"/>
              <w:jc w:val="right"/>
            </w:pPr>
            <w:r>
              <w:rPr>
                <w:rFonts w:ascii="Times New Roman" w:eastAsia="Times New Roman" w:hAnsi="Times New Roman" w:cs="Times New Roman"/>
                <w:b w:val="0"/>
                <w:i w:val="0"/>
                <w:color w:val="000000"/>
                <w:sz w:val="20"/>
                <w:u w:val="none"/>
              </w:rPr>
              <w:tab/>
              <w:t>356</w:t>
              <w:tab/>
            </w: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87"/>
                <w:tab w:val="left" w:pos="952"/>
              </w:tabs>
              <w:spacing w:before="75" w:after="30" w:line="240" w:lineRule="auto"/>
              <w:jc w:val="right"/>
            </w:pPr>
            <w:r>
              <w:rPr>
                <w:rFonts w:ascii="Times New Roman" w:eastAsia="Times New Roman" w:hAnsi="Times New Roman" w:cs="Times New Roman"/>
                <w:b w:val="0"/>
                <w:i w:val="0"/>
                <w:color w:val="000000"/>
                <w:sz w:val="20"/>
                <w:u w:val="none"/>
              </w:rPr>
              <w:tab/>
              <w:t>—</w:t>
              <w:tab/>
            </w:r>
          </w:p>
        </w:tc>
      </w:tr>
      <w:tr>
        <w:tblPrEx>
          <w:tblW w:w="8145" w:type="dxa"/>
          <w:jc w:val="center"/>
          <w:tblLayout w:type="fixed"/>
          <w:tblCellMar>
            <w:left w:w="108" w:type="dxa"/>
            <w:right w:w="108" w:type="dxa"/>
          </w:tblCellMar>
        </w:tblPrEx>
        <w:trPr>
          <w:cantSplit/>
          <w:trHeight w:hRule="exact" w:val="300"/>
          <w:jc w:val="center"/>
        </w:trPr>
        <w:tc>
          <w:tcPr>
            <w:tcW w:w="61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General and administrative</w:t>
            </w: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7"/>
                <w:tab w:val="left" w:pos="952"/>
              </w:tabs>
              <w:spacing w:before="75" w:after="30" w:line="240" w:lineRule="auto"/>
              <w:jc w:val="right"/>
            </w:pPr>
            <w:r>
              <w:rPr>
                <w:rFonts w:ascii="Times New Roman" w:eastAsia="Times New Roman" w:hAnsi="Times New Roman" w:cs="Times New Roman"/>
                <w:b w:val="0"/>
                <w:i w:val="0"/>
                <w:color w:val="000000"/>
                <w:sz w:val="20"/>
                <w:u w:val="none"/>
              </w:rPr>
              <w:tab/>
              <w:t>62</w:t>
              <w:tab/>
            </w: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7"/>
                <w:tab w:val="left" w:pos="952"/>
              </w:tabs>
              <w:spacing w:before="75" w:after="30" w:line="240" w:lineRule="auto"/>
              <w:jc w:val="right"/>
            </w:pPr>
            <w:r>
              <w:rPr>
                <w:rFonts w:ascii="Times New Roman" w:eastAsia="Times New Roman" w:hAnsi="Times New Roman" w:cs="Times New Roman"/>
                <w:b w:val="0"/>
                <w:i w:val="0"/>
                <w:color w:val="000000"/>
                <w:sz w:val="20"/>
                <w:u w:val="none"/>
              </w:rPr>
              <w:tab/>
              <w:t>61</w:t>
              <w:tab/>
            </w:r>
          </w:p>
        </w:tc>
      </w:tr>
      <w:tr>
        <w:tblPrEx>
          <w:tblW w:w="8145" w:type="dxa"/>
          <w:jc w:val="center"/>
          <w:tblLayout w:type="fixed"/>
          <w:tblCellMar>
            <w:left w:w="108" w:type="dxa"/>
            <w:right w:w="108" w:type="dxa"/>
          </w:tblCellMar>
        </w:tblPrEx>
        <w:trPr>
          <w:cantSplit/>
          <w:trHeight w:hRule="exact" w:val="300"/>
          <w:jc w:val="center"/>
        </w:trPr>
        <w:tc>
          <w:tcPr>
            <w:tcW w:w="610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SAP S4 upgrade expense</w:t>
            </w:r>
          </w:p>
        </w:tc>
        <w:tc>
          <w:tcPr>
            <w:tcW w:w="102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87"/>
                <w:tab w:val="left" w:pos="952"/>
              </w:tabs>
              <w:spacing w:before="75" w:after="30" w:line="240" w:lineRule="auto"/>
              <w:jc w:val="right"/>
            </w:pPr>
            <w:r>
              <w:rPr>
                <w:rFonts w:ascii="Times New Roman" w:eastAsia="Times New Roman" w:hAnsi="Times New Roman" w:cs="Times New Roman"/>
                <w:b w:val="0"/>
                <w:i w:val="0"/>
                <w:color w:val="000000"/>
                <w:sz w:val="20"/>
                <w:u w:val="none"/>
              </w:rPr>
              <w:tab/>
              <w:t>30</w:t>
              <w:tab/>
            </w:r>
          </w:p>
        </w:tc>
        <w:tc>
          <w:tcPr>
            <w:tcW w:w="102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87"/>
                <w:tab w:val="left" w:pos="952"/>
              </w:tabs>
              <w:spacing w:before="75" w:after="30" w:line="240" w:lineRule="auto"/>
              <w:jc w:val="right"/>
            </w:pPr>
            <w:r>
              <w:rPr>
                <w:rFonts w:ascii="Times New Roman" w:eastAsia="Times New Roman" w:hAnsi="Times New Roman" w:cs="Times New Roman"/>
                <w:b w:val="0"/>
                <w:i w:val="0"/>
                <w:color w:val="000000"/>
                <w:sz w:val="20"/>
                <w:u w:val="none"/>
              </w:rPr>
              <w:tab/>
              <w:t>34</w:t>
              <w:tab/>
            </w:r>
          </w:p>
        </w:tc>
      </w:tr>
      <w:tr>
        <w:tblPrEx>
          <w:tblW w:w="8145" w:type="dxa"/>
          <w:jc w:val="center"/>
          <w:tblLayout w:type="fixed"/>
          <w:tblCellMar>
            <w:left w:w="108" w:type="dxa"/>
            <w:right w:w="108" w:type="dxa"/>
          </w:tblCellMar>
        </w:tblPrEx>
        <w:trPr>
          <w:cantSplit/>
          <w:trHeight w:hRule="exact" w:val="300"/>
          <w:jc w:val="center"/>
        </w:trPr>
        <w:tc>
          <w:tcPr>
            <w:tcW w:w="6105" w:type="dxa"/>
            <w:tcBorders>
              <w:top w:val="single" w:sz="8" w:space="0" w:color="000000"/>
              <w:left w:val="nil"/>
              <w:bottom w:val="single" w:sz="8" w:space="0" w:color="000000"/>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20"/>
                <w:u w:val="none"/>
              </w:rPr>
              <w:t>Total operating costs and expenses</w:t>
            </w:r>
          </w:p>
        </w:tc>
        <w:tc>
          <w:tcPr>
            <w:tcW w:w="102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437"/>
                <w:tab w:val="left" w:pos="952"/>
              </w:tabs>
              <w:spacing w:before="55" w:after="30" w:line="240" w:lineRule="auto"/>
              <w:jc w:val="right"/>
            </w:pPr>
            <w:r>
              <w:rPr>
                <w:rFonts w:ascii="Times New Roman" w:eastAsia="Times New Roman" w:hAnsi="Times New Roman" w:cs="Times New Roman"/>
                <w:b w:val="0"/>
                <w:i w:val="0"/>
                <w:color w:val="000000"/>
                <w:sz w:val="20"/>
                <w:u w:val="none"/>
              </w:rPr>
              <w:tab/>
              <w:t>4,986</w:t>
              <w:tab/>
            </w:r>
          </w:p>
        </w:tc>
        <w:tc>
          <w:tcPr>
            <w:tcW w:w="102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437"/>
                <w:tab w:val="left" w:pos="952"/>
              </w:tabs>
              <w:spacing w:before="55" w:after="30" w:line="240" w:lineRule="auto"/>
              <w:jc w:val="right"/>
            </w:pPr>
            <w:r>
              <w:rPr>
                <w:rFonts w:ascii="Times New Roman" w:eastAsia="Times New Roman" w:hAnsi="Times New Roman" w:cs="Times New Roman"/>
                <w:b w:val="0"/>
                <w:i w:val="0"/>
                <w:color w:val="000000"/>
                <w:sz w:val="20"/>
                <w:u w:val="none"/>
              </w:rPr>
              <w:tab/>
              <w:t>4,817</w:t>
              <w:tab/>
            </w:r>
          </w:p>
        </w:tc>
      </w:tr>
      <w:tr>
        <w:tblPrEx>
          <w:tblW w:w="8145" w:type="dxa"/>
          <w:jc w:val="center"/>
          <w:tblLayout w:type="fixed"/>
          <w:tblCellMar>
            <w:left w:w="108" w:type="dxa"/>
            <w:right w:w="108" w:type="dxa"/>
          </w:tblCellMar>
        </w:tblPrEx>
        <w:trPr>
          <w:cantSplit/>
          <w:trHeight w:hRule="exact" w:val="300"/>
          <w:jc w:val="center"/>
        </w:trPr>
        <w:tc>
          <w:tcPr>
            <w:tcW w:w="6105"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20"/>
                <w:u w:val="none"/>
              </w:rPr>
              <w:t>Operating income</w:t>
            </w:r>
          </w:p>
        </w:tc>
        <w:tc>
          <w:tcPr>
            <w:tcW w:w="102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587"/>
                <w:tab w:val="left" w:pos="952"/>
              </w:tabs>
              <w:spacing w:before="55" w:after="30" w:line="240" w:lineRule="auto"/>
              <w:jc w:val="right"/>
            </w:pPr>
            <w:r>
              <w:rPr>
                <w:rFonts w:ascii="Times New Roman" w:eastAsia="Times New Roman" w:hAnsi="Times New Roman" w:cs="Times New Roman"/>
                <w:b w:val="0"/>
                <w:i w:val="0"/>
                <w:color w:val="000000"/>
                <w:sz w:val="20"/>
                <w:u w:val="none"/>
              </w:rPr>
              <w:tab/>
              <w:t>431</w:t>
              <w:tab/>
            </w:r>
          </w:p>
        </w:tc>
        <w:tc>
          <w:tcPr>
            <w:tcW w:w="102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587"/>
                <w:tab w:val="left" w:pos="952"/>
              </w:tabs>
              <w:spacing w:before="55" w:after="30" w:line="240" w:lineRule="auto"/>
              <w:jc w:val="right"/>
            </w:pPr>
            <w:r>
              <w:rPr>
                <w:rFonts w:ascii="Times New Roman" w:eastAsia="Times New Roman" w:hAnsi="Times New Roman" w:cs="Times New Roman"/>
                <w:b w:val="0"/>
                <w:i w:val="0"/>
                <w:color w:val="000000"/>
                <w:sz w:val="20"/>
                <w:u w:val="none"/>
              </w:rPr>
              <w:tab/>
              <w:t>987</w:t>
              <w:tab/>
            </w:r>
          </w:p>
        </w:tc>
      </w:tr>
      <w:tr>
        <w:tblPrEx>
          <w:tblW w:w="8145" w:type="dxa"/>
          <w:jc w:val="center"/>
          <w:tblLayout w:type="fixed"/>
          <w:tblCellMar>
            <w:left w:w="108" w:type="dxa"/>
            <w:right w:w="108" w:type="dxa"/>
          </w:tblCellMar>
        </w:tblPrEx>
        <w:trPr>
          <w:cantSplit/>
          <w:trHeight w:hRule="exact" w:val="300"/>
          <w:jc w:val="center"/>
        </w:trPr>
        <w:tc>
          <w:tcPr>
            <w:tcW w:w="61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Interest expense, net of interest income of $25 and $22</w:t>
            </w: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01"/>
              </w:tabs>
              <w:spacing w:before="75" w:after="30" w:line="240" w:lineRule="auto"/>
              <w:jc w:val="right"/>
            </w:pPr>
            <w:r>
              <w:rPr>
                <w:rFonts w:ascii="Times New Roman" w:eastAsia="Times New Roman" w:hAnsi="Times New Roman" w:cs="Times New Roman"/>
                <w:b w:val="0"/>
                <w:i w:val="0"/>
                <w:color w:val="000000"/>
                <w:sz w:val="20"/>
                <w:u w:val="none"/>
              </w:rPr>
              <w:tab/>
              <w:t>(86)</w:t>
            </w: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01"/>
              </w:tabs>
              <w:spacing w:before="75" w:after="30" w:line="240" w:lineRule="auto"/>
              <w:jc w:val="right"/>
            </w:pPr>
            <w:r>
              <w:rPr>
                <w:rFonts w:ascii="Times New Roman" w:eastAsia="Times New Roman" w:hAnsi="Times New Roman" w:cs="Times New Roman"/>
                <w:b w:val="0"/>
                <w:i w:val="0"/>
                <w:color w:val="000000"/>
                <w:sz w:val="20"/>
                <w:u w:val="none"/>
              </w:rPr>
              <w:tab/>
              <w:t>(92)</w:t>
            </w:r>
          </w:p>
        </w:tc>
      </w:tr>
      <w:tr>
        <w:tblPrEx>
          <w:tblW w:w="8145" w:type="dxa"/>
          <w:jc w:val="center"/>
          <w:tblLayout w:type="fixed"/>
          <w:tblCellMar>
            <w:left w:w="108" w:type="dxa"/>
            <w:right w:w="108" w:type="dxa"/>
          </w:tblCellMar>
        </w:tblPrEx>
        <w:trPr>
          <w:cantSplit/>
          <w:trHeight w:hRule="exact" w:val="300"/>
          <w:jc w:val="center"/>
        </w:trPr>
        <w:tc>
          <w:tcPr>
            <w:tcW w:w="610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Other, net</w:t>
            </w:r>
          </w:p>
        </w:tc>
        <w:tc>
          <w:tcPr>
            <w:tcW w:w="102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01"/>
              </w:tabs>
              <w:spacing w:before="75" w:after="30" w:line="240" w:lineRule="auto"/>
              <w:jc w:val="right"/>
            </w:pPr>
            <w:r>
              <w:rPr>
                <w:rFonts w:ascii="Times New Roman" w:eastAsia="Times New Roman" w:hAnsi="Times New Roman" w:cs="Times New Roman"/>
                <w:b w:val="0"/>
                <w:i w:val="0"/>
                <w:color w:val="000000"/>
                <w:sz w:val="20"/>
                <w:u w:val="none"/>
              </w:rPr>
              <w:tab/>
              <w:t>(39)</w:t>
            </w:r>
          </w:p>
        </w:tc>
        <w:tc>
          <w:tcPr>
            <w:tcW w:w="102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501"/>
              </w:tabs>
              <w:spacing w:before="75" w:after="30" w:line="240" w:lineRule="auto"/>
              <w:jc w:val="right"/>
            </w:pPr>
            <w:r>
              <w:rPr>
                <w:rFonts w:ascii="Times New Roman" w:eastAsia="Times New Roman" w:hAnsi="Times New Roman" w:cs="Times New Roman"/>
                <w:b w:val="0"/>
                <w:i w:val="0"/>
                <w:color w:val="000000"/>
                <w:sz w:val="20"/>
                <w:u w:val="none"/>
              </w:rPr>
              <w:tab/>
              <w:t>(108)</w:t>
            </w:r>
          </w:p>
        </w:tc>
      </w:tr>
      <w:tr>
        <w:tblPrEx>
          <w:tblW w:w="8145" w:type="dxa"/>
          <w:jc w:val="center"/>
          <w:tblLayout w:type="fixed"/>
          <w:tblCellMar>
            <w:left w:w="108" w:type="dxa"/>
            <w:right w:w="108" w:type="dxa"/>
          </w:tblCellMar>
        </w:tblPrEx>
        <w:trPr>
          <w:cantSplit/>
          <w:trHeight w:hRule="exact" w:val="300"/>
          <w:jc w:val="center"/>
        </w:trPr>
        <w:tc>
          <w:tcPr>
            <w:tcW w:w="610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20"/>
                <w:u w:val="none"/>
              </w:rPr>
              <w:t>Income before income taxes</w:t>
            </w:r>
          </w:p>
        </w:tc>
        <w:tc>
          <w:tcPr>
            <w:tcW w:w="102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587"/>
                <w:tab w:val="left" w:pos="952"/>
              </w:tabs>
              <w:spacing w:before="55" w:after="30" w:line="240" w:lineRule="auto"/>
              <w:jc w:val="right"/>
            </w:pPr>
            <w:r>
              <w:rPr>
                <w:rFonts w:ascii="Times New Roman" w:eastAsia="Times New Roman" w:hAnsi="Times New Roman" w:cs="Times New Roman"/>
                <w:b w:val="0"/>
                <w:i w:val="0"/>
                <w:color w:val="000000"/>
                <w:sz w:val="20"/>
                <w:u w:val="none"/>
              </w:rPr>
              <w:tab/>
              <w:t>306</w:t>
              <w:tab/>
            </w:r>
          </w:p>
        </w:tc>
        <w:tc>
          <w:tcPr>
            <w:tcW w:w="102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587"/>
                <w:tab w:val="left" w:pos="952"/>
              </w:tabs>
              <w:spacing w:before="55" w:after="30" w:line="240" w:lineRule="auto"/>
              <w:jc w:val="right"/>
            </w:pPr>
            <w:r>
              <w:rPr>
                <w:rFonts w:ascii="Times New Roman" w:eastAsia="Times New Roman" w:hAnsi="Times New Roman" w:cs="Times New Roman"/>
                <w:b w:val="0"/>
                <w:i w:val="0"/>
                <w:color w:val="000000"/>
                <w:sz w:val="20"/>
                <w:u w:val="none"/>
              </w:rPr>
              <w:tab/>
              <w:t>787</w:t>
              <w:tab/>
            </w:r>
          </w:p>
        </w:tc>
      </w:tr>
      <w:tr>
        <w:tblPrEx>
          <w:tblW w:w="8145" w:type="dxa"/>
          <w:jc w:val="center"/>
          <w:tblLayout w:type="fixed"/>
          <w:tblCellMar>
            <w:left w:w="108" w:type="dxa"/>
            <w:right w:w="108" w:type="dxa"/>
          </w:tblCellMar>
        </w:tblPrEx>
        <w:trPr>
          <w:cantSplit/>
          <w:trHeight w:hRule="exact" w:val="300"/>
          <w:jc w:val="center"/>
        </w:trPr>
        <w:tc>
          <w:tcPr>
            <w:tcW w:w="61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Income tax provision</w:t>
            </w: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01"/>
              </w:tabs>
              <w:spacing w:before="75" w:after="30" w:line="240" w:lineRule="auto"/>
              <w:jc w:val="right"/>
            </w:pPr>
            <w:r>
              <w:rPr>
                <w:rFonts w:ascii="Times New Roman" w:eastAsia="Times New Roman" w:hAnsi="Times New Roman" w:cs="Times New Roman"/>
                <w:b w:val="0"/>
                <w:i w:val="0"/>
                <w:color w:val="000000"/>
                <w:sz w:val="20"/>
                <w:u w:val="none"/>
              </w:rPr>
              <w:tab/>
              <w:t>(103)</w:t>
            </w: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01"/>
              </w:tabs>
              <w:spacing w:before="75" w:after="30" w:line="240" w:lineRule="auto"/>
              <w:jc w:val="right"/>
            </w:pPr>
            <w:r>
              <w:rPr>
                <w:rFonts w:ascii="Times New Roman" w:eastAsia="Times New Roman" w:hAnsi="Times New Roman" w:cs="Times New Roman"/>
                <w:b w:val="0"/>
                <w:i w:val="0"/>
                <w:color w:val="000000"/>
                <w:sz w:val="20"/>
                <w:u w:val="none"/>
              </w:rPr>
              <w:tab/>
              <w:t>(178)</w:t>
            </w:r>
          </w:p>
        </w:tc>
      </w:tr>
      <w:tr>
        <w:tblPrEx>
          <w:tblW w:w="8145" w:type="dxa"/>
          <w:jc w:val="center"/>
          <w:tblLayout w:type="fixed"/>
          <w:tblCellMar>
            <w:left w:w="108" w:type="dxa"/>
            <w:right w:w="108" w:type="dxa"/>
          </w:tblCellMar>
        </w:tblPrEx>
        <w:trPr>
          <w:cantSplit/>
          <w:trHeight w:hRule="exact" w:val="300"/>
          <w:jc w:val="center"/>
        </w:trPr>
        <w:tc>
          <w:tcPr>
            <w:tcW w:w="6105" w:type="dxa"/>
            <w:tcBorders>
              <w:top w:val="single" w:sz="8" w:space="0" w:color="000000"/>
              <w:left w:val="nil"/>
              <w:bottom w:val="double" w:sz="8" w:space="0" w:color="000000"/>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20"/>
                <w:u w:val="none"/>
              </w:rPr>
              <w:t>Net income</w:t>
            </w:r>
          </w:p>
        </w:tc>
        <w:tc>
          <w:tcPr>
            <w:tcW w:w="102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587"/>
                <w:tab w:val="left" w:pos="952"/>
              </w:tabs>
              <w:spacing w:before="55" w:after="30" w:line="240" w:lineRule="auto"/>
              <w:jc w:val="right"/>
            </w:pPr>
            <w:r>
              <w:rPr>
                <w:rFonts w:ascii="Times New Roman" w:eastAsia="Times New Roman" w:hAnsi="Times New Roman" w:cs="Times New Roman"/>
                <w:b w:val="0"/>
                <w:i w:val="0"/>
                <w:color w:val="000000"/>
                <w:sz w:val="20"/>
                <w:u w:val="none"/>
              </w:rPr>
              <w:t>$</w:t>
              <w:tab/>
              <w:t>203</w:t>
              <w:tab/>
            </w:r>
          </w:p>
        </w:tc>
        <w:tc>
          <w:tcPr>
            <w:tcW w:w="102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587"/>
                <w:tab w:val="left" w:pos="952"/>
              </w:tabs>
              <w:spacing w:before="55" w:after="30" w:line="240" w:lineRule="auto"/>
              <w:jc w:val="right"/>
            </w:pPr>
            <w:r>
              <w:rPr>
                <w:rFonts w:ascii="Times New Roman" w:eastAsia="Times New Roman" w:hAnsi="Times New Roman" w:cs="Times New Roman"/>
                <w:b w:val="0"/>
                <w:i w:val="0"/>
                <w:color w:val="000000"/>
                <w:sz w:val="20"/>
                <w:u w:val="none"/>
              </w:rPr>
              <w:t>$</w:t>
              <w:tab/>
              <w:t>609</w:t>
              <w:tab/>
            </w:r>
          </w:p>
        </w:tc>
      </w:tr>
      <w:tr>
        <w:tblPrEx>
          <w:tblW w:w="8145" w:type="dxa"/>
          <w:jc w:val="center"/>
          <w:tblLayout w:type="fixed"/>
          <w:tblCellMar>
            <w:left w:w="108" w:type="dxa"/>
            <w:right w:w="108" w:type="dxa"/>
          </w:tblCellMar>
        </w:tblPrEx>
        <w:trPr>
          <w:cantSplit/>
          <w:trHeight w:hRule="exact" w:val="300"/>
          <w:jc w:val="center"/>
        </w:trPr>
        <w:tc>
          <w:tcPr>
            <w:tcW w:w="6105" w:type="dxa"/>
            <w:tcBorders>
              <w:top w:val="doub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15" w:after="30" w:line="240" w:lineRule="auto"/>
              <w:jc w:val="left"/>
            </w:pPr>
            <w:r>
              <w:rPr>
                <w:rFonts w:ascii="Times New Roman" w:eastAsia="Times New Roman" w:hAnsi="Times New Roman" w:cs="Times New Roman"/>
                <w:b w:val="0"/>
                <w:i w:val="0"/>
                <w:color w:val="000000"/>
                <w:sz w:val="20"/>
                <w:u w:val="none"/>
              </w:rPr>
              <w:t>Net (income) loss attributable to noncontrolling interest</w:t>
            </w:r>
          </w:p>
        </w:tc>
        <w:tc>
          <w:tcPr>
            <w:tcW w:w="1020" w:type="dxa"/>
            <w:tcBorders>
              <w:top w:val="doub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87"/>
                <w:tab w:val="left" w:pos="952"/>
              </w:tabs>
              <w:spacing w:before="15" w:after="30" w:line="240" w:lineRule="auto"/>
              <w:jc w:val="right"/>
            </w:pPr>
            <w:r>
              <w:rPr>
                <w:rFonts w:ascii="Times New Roman" w:eastAsia="Times New Roman" w:hAnsi="Times New Roman" w:cs="Times New Roman"/>
                <w:b w:val="0"/>
                <w:i w:val="0"/>
                <w:color w:val="000000"/>
                <w:sz w:val="20"/>
                <w:u w:val="none"/>
              </w:rPr>
              <w:tab/>
              <w:t>1</w:t>
              <w:tab/>
            </w:r>
          </w:p>
        </w:tc>
        <w:tc>
          <w:tcPr>
            <w:tcW w:w="1020" w:type="dxa"/>
            <w:tcBorders>
              <w:top w:val="doub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01"/>
              </w:tabs>
              <w:spacing w:before="15" w:after="30" w:line="240" w:lineRule="auto"/>
              <w:jc w:val="right"/>
            </w:pPr>
            <w:r>
              <w:rPr>
                <w:rFonts w:ascii="Times New Roman" w:eastAsia="Times New Roman" w:hAnsi="Times New Roman" w:cs="Times New Roman"/>
                <w:b w:val="0"/>
                <w:i w:val="0"/>
                <w:color w:val="000000"/>
                <w:sz w:val="20"/>
                <w:u w:val="none"/>
              </w:rPr>
              <w:tab/>
              <w:t>(3)</w:t>
            </w:r>
          </w:p>
        </w:tc>
      </w:tr>
      <w:tr>
        <w:tblPrEx>
          <w:tblW w:w="8145" w:type="dxa"/>
          <w:jc w:val="center"/>
          <w:tblLayout w:type="fixed"/>
          <w:tblCellMar>
            <w:left w:w="108" w:type="dxa"/>
            <w:right w:w="108" w:type="dxa"/>
          </w:tblCellMar>
        </w:tblPrEx>
        <w:trPr>
          <w:cantSplit/>
          <w:trHeight w:hRule="exact" w:val="300"/>
          <w:jc w:val="center"/>
        </w:trPr>
        <w:tc>
          <w:tcPr>
            <w:tcW w:w="6105" w:type="dxa"/>
            <w:tcBorders>
              <w:top w:val="single" w:sz="8" w:space="0" w:color="000000"/>
              <w:left w:val="nil"/>
              <w:bottom w:val="double" w:sz="8" w:space="0" w:color="000000"/>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20"/>
                <w:u w:val="none"/>
              </w:rPr>
              <w:t>Net income attributable to company</w:t>
            </w:r>
          </w:p>
        </w:tc>
        <w:tc>
          <w:tcPr>
            <w:tcW w:w="102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587"/>
                <w:tab w:val="left" w:pos="952"/>
              </w:tabs>
              <w:spacing w:before="55" w:after="30" w:line="240" w:lineRule="auto"/>
              <w:jc w:val="right"/>
            </w:pPr>
            <w:r>
              <w:rPr>
                <w:rFonts w:ascii="Times New Roman" w:eastAsia="Times New Roman" w:hAnsi="Times New Roman" w:cs="Times New Roman"/>
                <w:b w:val="0"/>
                <w:i w:val="0"/>
                <w:color w:val="000000"/>
                <w:sz w:val="20"/>
                <w:u w:val="none"/>
              </w:rPr>
              <w:t>$</w:t>
              <w:tab/>
              <w:t>204</w:t>
              <w:tab/>
            </w:r>
          </w:p>
        </w:tc>
        <w:tc>
          <w:tcPr>
            <w:tcW w:w="102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587"/>
                <w:tab w:val="left" w:pos="952"/>
              </w:tabs>
              <w:spacing w:before="55" w:after="30" w:line="240" w:lineRule="auto"/>
              <w:jc w:val="right"/>
            </w:pPr>
            <w:r>
              <w:rPr>
                <w:rFonts w:ascii="Times New Roman" w:eastAsia="Times New Roman" w:hAnsi="Times New Roman" w:cs="Times New Roman"/>
                <w:b w:val="0"/>
                <w:i w:val="0"/>
                <w:color w:val="000000"/>
                <w:sz w:val="20"/>
                <w:u w:val="none"/>
              </w:rPr>
              <w:t>$</w:t>
              <w:tab/>
              <w:t>606</w:t>
              <w:tab/>
            </w:r>
          </w:p>
        </w:tc>
      </w:tr>
      <w:tr>
        <w:tblPrEx>
          <w:tblW w:w="8145" w:type="dxa"/>
          <w:jc w:val="center"/>
          <w:tblLayout w:type="fixed"/>
          <w:tblCellMar>
            <w:left w:w="108" w:type="dxa"/>
            <w:right w:w="108" w:type="dxa"/>
          </w:tblCellMar>
        </w:tblPrEx>
        <w:trPr>
          <w:cantSplit/>
          <w:trHeight w:hRule="exact" w:val="300"/>
          <w:jc w:val="center"/>
        </w:trPr>
        <w:tc>
          <w:tcPr>
            <w:tcW w:w="6105" w:type="dxa"/>
            <w:tcBorders>
              <w:top w:val="double" w:sz="8" w:space="0" w:color="000000"/>
              <w:left w:val="nil"/>
              <w:bottom w:val="nil"/>
              <w:right w:val="nil"/>
            </w:tcBorders>
            <w:shd w:val="clear" w:color="auto" w:fill="FFFFFF"/>
            <w:tcMar>
              <w:top w:w="0" w:type="dxa"/>
              <w:left w:w="53" w:type="dxa"/>
              <w:bottom w:w="0" w:type="dxa"/>
              <w:right w:w="53" w:type="dxa"/>
            </w:tcMar>
            <w:vAlign w:val="bottom"/>
          </w:tcPr>
          <w:p>
            <w:pPr>
              <w:keepNext/>
              <w:pageBreakBefore w:val="0"/>
              <w:spacing w:before="15" w:after="30" w:line="240" w:lineRule="auto"/>
              <w:jc w:val="left"/>
            </w:pPr>
          </w:p>
        </w:tc>
        <w:tc>
          <w:tcPr>
            <w:tcW w:w="102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spacing w:before="15" w:after="30" w:line="240" w:lineRule="auto"/>
              <w:jc w:val="right"/>
            </w:pPr>
          </w:p>
        </w:tc>
        <w:tc>
          <w:tcPr>
            <w:tcW w:w="102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spacing w:before="15" w:after="30" w:line="240" w:lineRule="auto"/>
              <w:jc w:val="right"/>
            </w:pPr>
          </w:p>
        </w:tc>
      </w:tr>
      <w:tr>
        <w:tblPrEx>
          <w:tblW w:w="8145" w:type="dxa"/>
          <w:jc w:val="center"/>
          <w:tblLayout w:type="fixed"/>
          <w:tblCellMar>
            <w:left w:w="108" w:type="dxa"/>
            <w:right w:w="108" w:type="dxa"/>
          </w:tblCellMar>
        </w:tblPrEx>
        <w:trPr>
          <w:cantSplit/>
          <w:trHeight w:hRule="exact" w:val="300"/>
          <w:jc w:val="center"/>
        </w:trPr>
        <w:tc>
          <w:tcPr>
            <w:tcW w:w="61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Basic and diluted net income per share</w:t>
            </w: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37"/>
                <w:tab w:val="left" w:pos="952"/>
              </w:tabs>
              <w:spacing w:before="75" w:after="30" w:line="240" w:lineRule="auto"/>
              <w:jc w:val="right"/>
            </w:pPr>
            <w:r>
              <w:rPr>
                <w:rFonts w:ascii="Times New Roman" w:eastAsia="Times New Roman" w:hAnsi="Times New Roman" w:cs="Times New Roman"/>
                <w:b w:val="0"/>
                <w:i w:val="0"/>
                <w:color w:val="000000"/>
                <w:sz w:val="20"/>
                <w:u w:val="none"/>
              </w:rPr>
              <w:t>$</w:t>
              <w:tab/>
              <w:t>0.24</w:t>
              <w:tab/>
            </w: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37"/>
                <w:tab w:val="left" w:pos="952"/>
              </w:tabs>
              <w:spacing w:before="75" w:after="30" w:line="240" w:lineRule="auto"/>
              <w:jc w:val="right"/>
            </w:pPr>
            <w:r>
              <w:rPr>
                <w:rFonts w:ascii="Times New Roman" w:eastAsia="Times New Roman" w:hAnsi="Times New Roman" w:cs="Times New Roman"/>
                <w:b w:val="0"/>
                <w:i w:val="0"/>
                <w:color w:val="000000"/>
                <w:sz w:val="20"/>
                <w:u w:val="none"/>
              </w:rPr>
              <w:t>$</w:t>
              <w:tab/>
              <w:t>0.68</w:t>
              <w:tab/>
            </w:r>
          </w:p>
        </w:tc>
      </w:tr>
      <w:tr>
        <w:tblPrEx>
          <w:tblW w:w="8145" w:type="dxa"/>
          <w:jc w:val="center"/>
          <w:tblLayout w:type="fixed"/>
          <w:tblCellMar>
            <w:left w:w="108" w:type="dxa"/>
            <w:right w:w="108" w:type="dxa"/>
          </w:tblCellMar>
        </w:tblPrEx>
        <w:trPr>
          <w:cantSplit/>
          <w:trHeight w:hRule="exact" w:val="300"/>
          <w:jc w:val="center"/>
        </w:trPr>
        <w:tc>
          <w:tcPr>
            <w:tcW w:w="61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Basic weighted average common shares outstanding</w:t>
            </w: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87"/>
                <w:tab w:val="left" w:pos="952"/>
              </w:tabs>
              <w:spacing w:before="75" w:after="30" w:line="240" w:lineRule="auto"/>
              <w:jc w:val="right"/>
            </w:pPr>
            <w:r>
              <w:rPr>
                <w:rFonts w:ascii="Times New Roman" w:eastAsia="Times New Roman" w:hAnsi="Times New Roman" w:cs="Times New Roman"/>
                <w:b w:val="0"/>
                <w:i w:val="0"/>
                <w:color w:val="000000"/>
                <w:sz w:val="20"/>
                <w:u w:val="none"/>
              </w:rPr>
              <w:tab/>
              <w:t>866</w:t>
              <w:tab/>
            </w: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87"/>
                <w:tab w:val="left" w:pos="952"/>
              </w:tabs>
              <w:spacing w:before="75" w:after="30" w:line="240" w:lineRule="auto"/>
              <w:jc w:val="right"/>
            </w:pPr>
            <w:r>
              <w:rPr>
                <w:rFonts w:ascii="Times New Roman" w:eastAsia="Times New Roman" w:hAnsi="Times New Roman" w:cs="Times New Roman"/>
                <w:b w:val="0"/>
                <w:i w:val="0"/>
                <w:color w:val="000000"/>
                <w:sz w:val="20"/>
                <w:u w:val="none"/>
              </w:rPr>
              <w:tab/>
              <w:t>889</w:t>
              <w:tab/>
            </w:r>
          </w:p>
        </w:tc>
      </w:tr>
      <w:tr>
        <w:tblPrEx>
          <w:tblW w:w="8145" w:type="dxa"/>
          <w:jc w:val="center"/>
          <w:tblLayout w:type="fixed"/>
          <w:tblCellMar>
            <w:left w:w="108" w:type="dxa"/>
            <w:right w:w="108" w:type="dxa"/>
          </w:tblCellMar>
        </w:tblPrEx>
        <w:trPr>
          <w:cantSplit/>
          <w:trHeight w:hRule="exact" w:val="300"/>
          <w:jc w:val="center"/>
        </w:trPr>
        <w:tc>
          <w:tcPr>
            <w:tcW w:w="6105" w:type="dxa"/>
            <w:tcBorders>
              <w:top w:val="nil"/>
              <w:left w:val="nil"/>
              <w:bottom w:val="double" w:sz="8" w:space="0" w:color="000000"/>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Diluted weighted average common shares outstanding</w:t>
            </w:r>
          </w:p>
        </w:tc>
        <w:tc>
          <w:tcPr>
            <w:tcW w:w="102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587"/>
                <w:tab w:val="left" w:pos="952"/>
              </w:tabs>
              <w:spacing w:before="75" w:after="30" w:line="240" w:lineRule="auto"/>
              <w:jc w:val="right"/>
            </w:pPr>
            <w:r>
              <w:rPr>
                <w:rFonts w:ascii="Times New Roman" w:eastAsia="Times New Roman" w:hAnsi="Times New Roman" w:cs="Times New Roman"/>
                <w:b w:val="0"/>
                <w:i w:val="0"/>
                <w:color w:val="000000"/>
                <w:sz w:val="20"/>
                <w:u w:val="none"/>
              </w:rPr>
              <w:tab/>
              <w:t>866</w:t>
              <w:tab/>
            </w:r>
          </w:p>
        </w:tc>
        <w:tc>
          <w:tcPr>
            <w:tcW w:w="102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587"/>
                <w:tab w:val="left" w:pos="952"/>
              </w:tabs>
              <w:spacing w:before="75" w:after="30" w:line="240" w:lineRule="auto"/>
              <w:jc w:val="right"/>
            </w:pPr>
            <w:r>
              <w:rPr>
                <w:rFonts w:ascii="Times New Roman" w:eastAsia="Times New Roman" w:hAnsi="Times New Roman" w:cs="Times New Roman"/>
                <w:b w:val="0"/>
                <w:i w:val="0"/>
                <w:color w:val="000000"/>
                <w:sz w:val="20"/>
                <w:u w:val="none"/>
              </w:rPr>
              <w:tab/>
              <w:t>891</w:t>
              <w:tab/>
            </w:r>
          </w:p>
        </w:tc>
      </w:tr>
      <w:tr>
        <w:tblPrEx>
          <w:tblW w:w="8145" w:type="dxa"/>
          <w:jc w:val="center"/>
          <w:tblLayout w:type="fixed"/>
          <w:tblCellMar>
            <w:left w:w="108" w:type="dxa"/>
            <w:right w:w="108" w:type="dxa"/>
          </w:tblCellMar>
        </w:tblPrEx>
        <w:trPr>
          <w:cantSplit/>
          <w:trHeight w:hRule="exact" w:val="300"/>
          <w:jc w:val="center"/>
        </w:trPr>
        <w:tc>
          <w:tcPr>
            <w:tcW w:w="6105" w:type="dxa"/>
            <w:tcBorders>
              <w:top w:val="double" w:sz="8" w:space="0" w:color="000000"/>
              <w:left w:val="nil"/>
              <w:bottom w:val="nil"/>
              <w:right w:val="nil"/>
            </w:tcBorders>
            <w:tcMar>
              <w:top w:w="0" w:type="dxa"/>
              <w:left w:w="53" w:type="dxa"/>
              <w:bottom w:w="0" w:type="dxa"/>
              <w:right w:w="53" w:type="dxa"/>
            </w:tcMar>
            <w:vAlign w:val="bottom"/>
          </w:tcPr>
          <w:p>
            <w:pPr>
              <w:pageBreakBefore w:val="0"/>
              <w:spacing w:before="15" w:after="30" w:line="240" w:lineRule="auto"/>
              <w:jc w:val="left"/>
            </w:pPr>
            <w:r>
              <w:rPr>
                <w:rFonts w:ascii="Times New Roman" w:eastAsia="Times New Roman" w:hAnsi="Times New Roman" w:cs="Times New Roman"/>
                <w:b w:val="0"/>
                <w:i w:val="0"/>
                <w:color w:val="000000"/>
                <w:sz w:val="20"/>
                <w:u w:val="none"/>
              </w:rPr>
              <w:t xml:space="preserve">     See notes to condensed consolidated financial statements.</w:t>
            </w:r>
          </w:p>
        </w:tc>
        <w:tc>
          <w:tcPr>
            <w:tcW w:w="1020" w:type="dxa"/>
            <w:tcBorders>
              <w:top w:val="double" w:sz="8" w:space="0" w:color="000000"/>
              <w:left w:val="nil"/>
              <w:bottom w:val="nil"/>
              <w:right w:val="nil"/>
            </w:tcBorders>
            <w:tcMar>
              <w:top w:w="0" w:type="dxa"/>
              <w:left w:w="53" w:type="dxa"/>
              <w:bottom w:w="0" w:type="dxa"/>
              <w:right w:w="15" w:type="dxa"/>
            </w:tcMar>
            <w:vAlign w:val="bottom"/>
          </w:tcPr>
          <w:p>
            <w:pPr>
              <w:pageBreakBefore w:val="0"/>
              <w:spacing w:before="15" w:after="30" w:line="240" w:lineRule="auto"/>
              <w:jc w:val="left"/>
            </w:pPr>
          </w:p>
        </w:tc>
        <w:tc>
          <w:tcPr>
            <w:tcW w:w="1020" w:type="dxa"/>
            <w:tcBorders>
              <w:top w:val="double" w:sz="8" w:space="0" w:color="000000"/>
              <w:left w:val="nil"/>
              <w:bottom w:val="nil"/>
              <w:right w:val="nil"/>
            </w:tcBorders>
            <w:tcMar>
              <w:top w:w="0" w:type="dxa"/>
              <w:left w:w="53" w:type="dxa"/>
              <w:bottom w:w="0" w:type="dxa"/>
              <w:right w:w="15" w:type="dxa"/>
            </w:tcMar>
            <w:vAlign w:val="bottom"/>
          </w:tcPr>
          <w:p>
            <w:pPr>
              <w:pageBreakBefore w:val="0"/>
              <w:spacing w:before="15" w:after="30" w:line="240" w:lineRule="auto"/>
              <w:jc w:val="left"/>
            </w:pPr>
          </w:p>
        </w:tc>
      </w:tr>
    </w:tbl>
    <w:p>
      <w:pPr>
        <w:keepNext w:val="0"/>
        <w:keepLines w:val="0"/>
        <w:pageBreakBefore w:val="0"/>
        <w:widowControl/>
        <w:numPr>
          <w:ilvl w:val="0"/>
          <w:numId w:val="0"/>
        </w:numPr>
        <w:spacing w:before="160" w:after="160" w:line="288"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 </w:t>
      </w:r>
    </w:p>
    <w:p>
      <w:pPr>
        <w:keepNext w:val="0"/>
        <w:keepLines w:val="0"/>
        <w:pageBreakBefore w:val="0"/>
        <w:widowControl/>
        <w:numPr>
          <w:ilvl w:val="0"/>
          <w:numId w:val="0"/>
        </w:numPr>
        <w:spacing w:before="160" w:after="160" w:line="288" w:lineRule="auto"/>
        <w:ind w:left="0" w:right="0" w:firstLine="0"/>
        <w:jc w:val="center"/>
        <w:outlineLvl w:val="9"/>
        <w:rPr>
          <w:rFonts w:ascii="Times New Roman" w:eastAsia="Times New Roman" w:hAnsi="Times New Roman" w:cs="Times New Roman"/>
          <w:b w:val="0"/>
          <w:i w:val="0"/>
          <w:sz w:val="20"/>
        </w:rPr>
        <w:sectPr>
          <w:footerReference w:type="default" r:id="rId10"/>
          <w:type w:val="continuous"/>
          <w:pgSz w:w="12240" w:h="15840"/>
          <w:pgMar w:top="900" w:right="990" w:bottom="900" w:left="990" w:header="270" w:footer="270"/>
          <w:cols w:space="708"/>
        </w:sectPr>
      </w:pPr>
    </w:p>
    <w:p>
      <w:pPr>
        <w:keepNext w:val="0"/>
        <w:keepLines w:val="0"/>
        <w:pageBreakBefore w:val="0"/>
        <w:widowControl/>
        <w:numPr>
          <w:ilvl w:val="0"/>
          <w:numId w:val="0"/>
        </w:numPr>
        <w:spacing w:before="0" w:after="0" w:line="288" w:lineRule="auto"/>
        <w:ind w:left="0" w:right="0" w:firstLine="0"/>
        <w:jc w:val="center"/>
        <w:outlineLvl w:val="1"/>
        <w:rPr>
          <w:rFonts w:ascii="Times New Roman" w:eastAsia="Times New Roman" w:hAnsi="Times New Roman" w:cs="Times New Roman"/>
          <w:b/>
          <w:i w:val="0"/>
          <w:sz w:val="20"/>
        </w:rPr>
      </w:pPr>
      <w:bookmarkStart w:id="5" w:name="Section6"/>
      <w:bookmarkEnd w:id="5"/>
      <w:r>
        <w:rPr>
          <w:rFonts w:ascii="Times New Roman" w:eastAsia="Times New Roman" w:hAnsi="Times New Roman" w:cs="Times New Roman"/>
          <w:b/>
          <w:i w:val="0"/>
          <w:sz w:val="20"/>
        </w:rPr>
        <w:t>HALLIBURTON COMPANY</w:t>
      </w:r>
    </w:p>
    <w:p>
      <w:pPr>
        <w:keepNext w:val="0"/>
        <w:keepLines w:val="0"/>
        <w:pageBreakBefore w:val="0"/>
        <w:widowControl/>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color w:val="000000"/>
          <w:sz w:val="20"/>
          <w:u w:val="none"/>
        </w:rPr>
        <w:t>Condensed Consolidated</w:t>
      </w:r>
      <w:r>
        <w:rPr>
          <w:rFonts w:ascii="Times New Roman" w:eastAsia="Times New Roman" w:hAnsi="Times New Roman" w:cs="Times New Roman"/>
          <w:b/>
          <w:i w:val="0"/>
          <w:color w:val="000000"/>
          <w:sz w:val="20"/>
          <w:u w:val="none"/>
        </w:rPr>
        <w:t xml:space="preserve"> Statements of Comprehensiv</w:t>
      </w:r>
      <w:r>
        <w:rPr>
          <w:rFonts w:ascii="Times New Roman" w:eastAsia="Times New Roman" w:hAnsi="Times New Roman" w:cs="Times New Roman"/>
          <w:b/>
          <w:i w:val="0"/>
          <w:color w:val="000000"/>
          <w:sz w:val="20"/>
          <w:u w:val="none"/>
        </w:rPr>
        <w:t>e Income</w:t>
      </w:r>
    </w:p>
    <w:p>
      <w:pPr>
        <w:keepNext w:val="0"/>
        <w:keepLines w:val="0"/>
        <w:pageBreakBefore w:val="0"/>
        <w:widowControl/>
        <w:numPr>
          <w:ilvl w:val="0"/>
          <w:numId w:val="0"/>
        </w:numPr>
        <w:spacing w:before="0" w:after="16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color w:val="000000"/>
          <w:sz w:val="20"/>
          <w:u w:val="none"/>
        </w:rPr>
        <w:t>(Unaudited)</w:t>
      </w:r>
    </w:p>
    <w:tbl>
      <w:tblPr>
        <w:tblW w:w="8190" w:type="dxa"/>
        <w:jc w:val="lef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120"/>
        <w:gridCol w:w="1035"/>
        <w:gridCol w:w="1035"/>
      </w:tblGrid>
      <w:tr>
        <w:tblPrEx>
          <w:tblW w:w="8190" w:type="dxa"/>
          <w:jc w:val="lef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00"/>
          <w:jc w:val="left"/>
        </w:trPr>
        <w:tc>
          <w:tcPr>
            <w:tcW w:w="6120"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p>
        </w:tc>
        <w:tc>
          <w:tcPr>
            <w:tcW w:w="2070" w:type="dxa"/>
            <w:gridSpan w:val="2"/>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20"/>
                <w:u w:val="none"/>
              </w:rPr>
              <w:t>Three Months Ended</w:t>
            </w:r>
          </w:p>
        </w:tc>
      </w:tr>
      <w:tr>
        <w:tblPrEx>
          <w:tblW w:w="8190" w:type="dxa"/>
          <w:jc w:val="left"/>
          <w:tblInd w:w="720" w:type="dxa"/>
          <w:tblLayout w:type="fixed"/>
          <w:tblCellMar>
            <w:left w:w="108" w:type="dxa"/>
            <w:right w:w="108" w:type="dxa"/>
          </w:tblCellMar>
        </w:tblPrEx>
        <w:trPr>
          <w:cantSplit/>
          <w:trHeight w:hRule="exact" w:val="300"/>
          <w:jc w:val="left"/>
        </w:trPr>
        <w:tc>
          <w:tcPr>
            <w:tcW w:w="6120"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p>
        </w:tc>
        <w:tc>
          <w:tcPr>
            <w:tcW w:w="2070" w:type="dxa"/>
            <w:gridSpan w:val="2"/>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20"/>
                <w:u w:val="none"/>
              </w:rPr>
              <w:t xml:space="preserve">March 31, </w:t>
            </w:r>
          </w:p>
        </w:tc>
      </w:tr>
      <w:tr>
        <w:tblPrEx>
          <w:tblW w:w="8190" w:type="dxa"/>
          <w:jc w:val="left"/>
          <w:tblInd w:w="720" w:type="dxa"/>
          <w:tblLayout w:type="fixed"/>
          <w:tblCellMar>
            <w:left w:w="108" w:type="dxa"/>
            <w:right w:w="108" w:type="dxa"/>
          </w:tblCellMar>
        </w:tblPrEx>
        <w:trPr>
          <w:cantSplit/>
          <w:trHeight w:hRule="exact" w:val="300"/>
          <w:jc w:val="left"/>
        </w:trPr>
        <w:tc>
          <w:tcPr>
            <w:tcW w:w="612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color w:val="000000"/>
                <w:sz w:val="20"/>
                <w:u w:val="none"/>
              </w:rPr>
              <w:t>Millions of dollars</w:t>
            </w:r>
          </w:p>
        </w:tc>
        <w:tc>
          <w:tcPr>
            <w:tcW w:w="103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2025</w:t>
            </w:r>
          </w:p>
        </w:tc>
        <w:tc>
          <w:tcPr>
            <w:tcW w:w="103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2024</w:t>
            </w:r>
          </w:p>
        </w:tc>
      </w:tr>
      <w:tr>
        <w:tblPrEx>
          <w:tblW w:w="8190" w:type="dxa"/>
          <w:jc w:val="left"/>
          <w:tblInd w:w="720" w:type="dxa"/>
          <w:tblLayout w:type="fixed"/>
          <w:tblCellMar>
            <w:left w:w="108" w:type="dxa"/>
            <w:right w:w="108" w:type="dxa"/>
          </w:tblCellMar>
        </w:tblPrEx>
        <w:trPr>
          <w:cantSplit/>
          <w:trHeight w:hRule="exact" w:val="300"/>
          <w:jc w:val="left"/>
        </w:trPr>
        <w:tc>
          <w:tcPr>
            <w:tcW w:w="612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20"/>
                <w:u w:val="none"/>
              </w:rPr>
              <w:t>Net income</w:t>
            </w:r>
          </w:p>
        </w:tc>
        <w:tc>
          <w:tcPr>
            <w:tcW w:w="103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602"/>
                <w:tab w:val="left" w:pos="967"/>
              </w:tabs>
              <w:spacing w:before="55" w:after="30" w:line="240" w:lineRule="auto"/>
              <w:jc w:val="right"/>
            </w:pPr>
            <w:r>
              <w:rPr>
                <w:rFonts w:ascii="Times New Roman" w:eastAsia="Times New Roman" w:hAnsi="Times New Roman" w:cs="Times New Roman"/>
                <w:b w:val="0"/>
                <w:i w:val="0"/>
                <w:color w:val="000000"/>
                <w:sz w:val="20"/>
                <w:u w:val="none"/>
              </w:rPr>
              <w:t>$</w:t>
              <w:tab/>
              <w:t>203</w:t>
              <w:tab/>
            </w:r>
          </w:p>
        </w:tc>
        <w:tc>
          <w:tcPr>
            <w:tcW w:w="103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602"/>
                <w:tab w:val="left" w:pos="967"/>
              </w:tabs>
              <w:spacing w:before="55" w:after="30" w:line="240" w:lineRule="auto"/>
              <w:jc w:val="right"/>
            </w:pPr>
            <w:r>
              <w:rPr>
                <w:rFonts w:ascii="Times New Roman" w:eastAsia="Times New Roman" w:hAnsi="Times New Roman" w:cs="Times New Roman"/>
                <w:b w:val="0"/>
                <w:i w:val="0"/>
                <w:color w:val="000000"/>
                <w:sz w:val="20"/>
                <w:u w:val="none"/>
              </w:rPr>
              <w:t>$</w:t>
              <w:tab/>
              <w:t>609</w:t>
              <w:tab/>
            </w:r>
          </w:p>
        </w:tc>
      </w:tr>
      <w:tr>
        <w:tblPrEx>
          <w:tblW w:w="8190" w:type="dxa"/>
          <w:jc w:val="left"/>
          <w:tblInd w:w="720" w:type="dxa"/>
          <w:tblLayout w:type="fixed"/>
          <w:tblCellMar>
            <w:left w:w="108" w:type="dxa"/>
            <w:right w:w="108" w:type="dxa"/>
          </w:tblCellMar>
        </w:tblPrEx>
        <w:trPr>
          <w:cantSplit/>
          <w:trHeight w:hRule="exact" w:val="300"/>
          <w:jc w:val="left"/>
        </w:trPr>
        <w:tc>
          <w:tcPr>
            <w:tcW w:w="612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20"/>
                <w:u w:val="none"/>
              </w:rPr>
              <w:t>Other comprehensive loss, net of income taxes</w:t>
            </w:r>
          </w:p>
        </w:tc>
        <w:tc>
          <w:tcPr>
            <w:tcW w:w="103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16"/>
              </w:tabs>
              <w:spacing w:before="55" w:after="30" w:line="240" w:lineRule="auto"/>
              <w:jc w:val="right"/>
            </w:pPr>
            <w:r>
              <w:rPr>
                <w:rFonts w:ascii="Times New Roman" w:eastAsia="Times New Roman" w:hAnsi="Times New Roman" w:cs="Times New Roman"/>
                <w:b w:val="0"/>
                <w:i w:val="0"/>
                <w:color w:val="000000"/>
                <w:sz w:val="20"/>
                <w:u w:val="none"/>
              </w:rPr>
              <w:tab/>
              <w:t>(6)</w:t>
            </w:r>
          </w:p>
        </w:tc>
        <w:tc>
          <w:tcPr>
            <w:tcW w:w="103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02"/>
                <w:tab w:val="left" w:pos="967"/>
              </w:tabs>
              <w:spacing w:before="55" w:after="30" w:line="240" w:lineRule="auto"/>
              <w:jc w:val="right"/>
            </w:pPr>
            <w:r>
              <w:rPr>
                <w:rFonts w:ascii="Times New Roman" w:eastAsia="Times New Roman" w:hAnsi="Times New Roman" w:cs="Times New Roman"/>
                <w:b w:val="0"/>
                <w:i w:val="0"/>
                <w:color w:val="000000"/>
                <w:sz w:val="20"/>
                <w:u w:val="none"/>
              </w:rPr>
              <w:tab/>
              <w:t>—</w:t>
              <w:tab/>
            </w:r>
          </w:p>
        </w:tc>
      </w:tr>
      <w:tr>
        <w:tblPrEx>
          <w:tblW w:w="8190" w:type="dxa"/>
          <w:jc w:val="left"/>
          <w:tblInd w:w="720" w:type="dxa"/>
          <w:tblLayout w:type="fixed"/>
          <w:tblCellMar>
            <w:left w:w="108" w:type="dxa"/>
            <w:right w:w="108" w:type="dxa"/>
          </w:tblCellMar>
        </w:tblPrEx>
        <w:trPr>
          <w:cantSplit/>
          <w:trHeight w:hRule="exact" w:val="300"/>
          <w:jc w:val="left"/>
        </w:trPr>
        <w:tc>
          <w:tcPr>
            <w:tcW w:w="6120" w:type="dxa"/>
            <w:tcBorders>
              <w:top w:val="single" w:sz="8" w:space="0" w:color="000000"/>
              <w:left w:val="nil"/>
              <w:bottom w:val="double" w:sz="8" w:space="0" w:color="000000"/>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20"/>
                <w:u w:val="none"/>
              </w:rPr>
              <w:t>Comprehensive income</w:t>
            </w:r>
          </w:p>
        </w:tc>
        <w:tc>
          <w:tcPr>
            <w:tcW w:w="103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602"/>
                <w:tab w:val="left" w:pos="967"/>
              </w:tabs>
              <w:spacing w:before="55" w:after="30" w:line="240" w:lineRule="auto"/>
              <w:jc w:val="right"/>
            </w:pPr>
            <w:r>
              <w:rPr>
                <w:rFonts w:ascii="Times New Roman" w:eastAsia="Times New Roman" w:hAnsi="Times New Roman" w:cs="Times New Roman"/>
                <w:b w:val="0"/>
                <w:i w:val="0"/>
                <w:color w:val="000000"/>
                <w:sz w:val="20"/>
                <w:u w:val="none"/>
              </w:rPr>
              <w:t>$</w:t>
              <w:tab/>
              <w:t>197</w:t>
              <w:tab/>
            </w:r>
          </w:p>
        </w:tc>
        <w:tc>
          <w:tcPr>
            <w:tcW w:w="103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602"/>
                <w:tab w:val="left" w:pos="967"/>
              </w:tabs>
              <w:spacing w:before="55" w:after="30" w:line="240" w:lineRule="auto"/>
              <w:jc w:val="right"/>
            </w:pPr>
            <w:r>
              <w:rPr>
                <w:rFonts w:ascii="Times New Roman" w:eastAsia="Times New Roman" w:hAnsi="Times New Roman" w:cs="Times New Roman"/>
                <w:b w:val="0"/>
                <w:i w:val="0"/>
                <w:color w:val="000000"/>
                <w:sz w:val="20"/>
                <w:u w:val="none"/>
              </w:rPr>
              <w:t>$</w:t>
              <w:tab/>
              <w:t>609</w:t>
              <w:tab/>
            </w:r>
          </w:p>
        </w:tc>
      </w:tr>
      <w:tr>
        <w:tblPrEx>
          <w:tblW w:w="8190" w:type="dxa"/>
          <w:jc w:val="left"/>
          <w:tblInd w:w="720" w:type="dxa"/>
          <w:tblLayout w:type="fixed"/>
          <w:tblCellMar>
            <w:left w:w="108" w:type="dxa"/>
            <w:right w:w="108" w:type="dxa"/>
          </w:tblCellMar>
        </w:tblPrEx>
        <w:trPr>
          <w:cantSplit/>
          <w:trHeight w:hRule="exact" w:val="300"/>
          <w:jc w:val="left"/>
        </w:trPr>
        <w:tc>
          <w:tcPr>
            <w:tcW w:w="6120" w:type="dxa"/>
            <w:tcBorders>
              <w:top w:val="doub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15" w:after="30" w:line="240" w:lineRule="auto"/>
              <w:jc w:val="left"/>
            </w:pPr>
            <w:r>
              <w:rPr>
                <w:rFonts w:ascii="Times New Roman" w:eastAsia="Times New Roman" w:hAnsi="Times New Roman" w:cs="Times New Roman"/>
                <w:b w:val="0"/>
                <w:i w:val="0"/>
                <w:color w:val="000000"/>
                <w:sz w:val="20"/>
                <w:u w:val="none"/>
              </w:rPr>
              <w:t>Comprehensive (income) loss attributable to noncontrolling interest</w:t>
            </w:r>
          </w:p>
        </w:tc>
        <w:tc>
          <w:tcPr>
            <w:tcW w:w="1035" w:type="dxa"/>
            <w:tcBorders>
              <w:top w:val="doub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02"/>
                <w:tab w:val="left" w:pos="967"/>
              </w:tabs>
              <w:spacing w:before="15" w:after="30" w:line="240" w:lineRule="auto"/>
              <w:jc w:val="right"/>
            </w:pPr>
            <w:r>
              <w:rPr>
                <w:rFonts w:ascii="Times New Roman" w:eastAsia="Times New Roman" w:hAnsi="Times New Roman" w:cs="Times New Roman"/>
                <w:b w:val="0"/>
                <w:i w:val="0"/>
                <w:color w:val="000000"/>
                <w:sz w:val="20"/>
                <w:u w:val="none"/>
              </w:rPr>
              <w:tab/>
              <w:t>1</w:t>
              <w:tab/>
            </w:r>
          </w:p>
        </w:tc>
        <w:tc>
          <w:tcPr>
            <w:tcW w:w="1035" w:type="dxa"/>
            <w:tcBorders>
              <w:top w:val="doub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16"/>
              </w:tabs>
              <w:spacing w:before="15" w:after="30" w:line="240" w:lineRule="auto"/>
              <w:jc w:val="right"/>
            </w:pPr>
            <w:r>
              <w:rPr>
                <w:rFonts w:ascii="Times New Roman" w:eastAsia="Times New Roman" w:hAnsi="Times New Roman" w:cs="Times New Roman"/>
                <w:b w:val="0"/>
                <w:i w:val="0"/>
                <w:color w:val="000000"/>
                <w:sz w:val="20"/>
                <w:u w:val="none"/>
              </w:rPr>
              <w:tab/>
              <w:t>(4)</w:t>
            </w:r>
          </w:p>
        </w:tc>
      </w:tr>
      <w:tr>
        <w:tblPrEx>
          <w:tblW w:w="8190" w:type="dxa"/>
          <w:jc w:val="left"/>
          <w:tblInd w:w="720" w:type="dxa"/>
          <w:tblLayout w:type="fixed"/>
          <w:tblCellMar>
            <w:left w:w="108" w:type="dxa"/>
            <w:right w:w="108" w:type="dxa"/>
          </w:tblCellMar>
        </w:tblPrEx>
        <w:trPr>
          <w:cantSplit/>
          <w:trHeight w:hRule="exact" w:val="300"/>
          <w:jc w:val="left"/>
        </w:trPr>
        <w:tc>
          <w:tcPr>
            <w:tcW w:w="6120" w:type="dxa"/>
            <w:tcBorders>
              <w:top w:val="single" w:sz="8" w:space="0" w:color="000000"/>
              <w:left w:val="nil"/>
              <w:bottom w:val="double" w:sz="8" w:space="0" w:color="000000"/>
              <w:right w:val="nil"/>
            </w:tcBorders>
            <w:shd w:val="clear" w:color="auto" w:fill="CCEEFF"/>
            <w:tcMar>
              <w:top w:w="0" w:type="dxa"/>
              <w:left w:w="53" w:type="dxa"/>
              <w:bottom w:w="0" w:type="dxa"/>
              <w:right w:w="53" w:type="dxa"/>
            </w:tcMar>
            <w:vAlign w:val="bottom"/>
          </w:tcPr>
          <w:p>
            <w:pPr>
              <w:pageBreakBefore w:val="0"/>
              <w:spacing w:before="55" w:after="30" w:line="240" w:lineRule="auto"/>
              <w:jc w:val="left"/>
            </w:pPr>
            <w:r>
              <w:rPr>
                <w:rFonts w:ascii="Times New Roman" w:eastAsia="Times New Roman" w:hAnsi="Times New Roman" w:cs="Times New Roman"/>
                <w:b/>
                <w:i w:val="0"/>
                <w:color w:val="000000"/>
                <w:sz w:val="20"/>
                <w:u w:val="none"/>
              </w:rPr>
              <w:t>Comprehensive income attributable to company shareholders</w:t>
            </w:r>
          </w:p>
        </w:tc>
        <w:tc>
          <w:tcPr>
            <w:tcW w:w="103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602"/>
                <w:tab w:val="left" w:pos="967"/>
              </w:tabs>
              <w:spacing w:before="55" w:after="30" w:line="240" w:lineRule="auto"/>
              <w:jc w:val="right"/>
            </w:pPr>
            <w:r>
              <w:rPr>
                <w:rFonts w:ascii="Times New Roman" w:eastAsia="Times New Roman" w:hAnsi="Times New Roman" w:cs="Times New Roman"/>
                <w:b w:val="0"/>
                <w:i w:val="0"/>
                <w:color w:val="000000"/>
                <w:sz w:val="20"/>
                <w:u w:val="none"/>
              </w:rPr>
              <w:t>$</w:t>
              <w:tab/>
              <w:t>198</w:t>
              <w:tab/>
            </w:r>
          </w:p>
        </w:tc>
        <w:tc>
          <w:tcPr>
            <w:tcW w:w="103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602"/>
                <w:tab w:val="left" w:pos="967"/>
              </w:tabs>
              <w:spacing w:before="55" w:after="30" w:line="240" w:lineRule="auto"/>
              <w:jc w:val="right"/>
            </w:pPr>
            <w:r>
              <w:rPr>
                <w:rFonts w:ascii="Times New Roman" w:eastAsia="Times New Roman" w:hAnsi="Times New Roman" w:cs="Times New Roman"/>
                <w:b w:val="0"/>
                <w:i w:val="0"/>
                <w:color w:val="000000"/>
                <w:sz w:val="20"/>
                <w:u w:val="none"/>
              </w:rPr>
              <w:t>$</w:t>
              <w:tab/>
              <w:t>605</w:t>
              <w:tab/>
            </w:r>
          </w:p>
        </w:tc>
      </w:tr>
    </w:tbl>
    <w:p>
      <w:pPr>
        <w:keepNext w:val="0"/>
        <w:keepLines w:val="0"/>
        <w:pageBreakBefore w:val="0"/>
        <w:widowControl/>
        <w:numPr>
          <w:ilvl w:val="0"/>
          <w:numId w:val="0"/>
        </w:numPr>
        <w:spacing w:before="0" w:after="160" w:line="288" w:lineRule="auto"/>
        <w:ind w:left="0" w:right="0" w:firstLine="72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 xml:space="preserve">See notes to </w:t>
      </w:r>
      <w:r>
        <w:rPr>
          <w:rFonts w:ascii="Times New Roman" w:eastAsia="Times New Roman" w:hAnsi="Times New Roman" w:cs="Times New Roman"/>
          <w:b w:val="0"/>
          <w:i w:val="0"/>
          <w:color w:val="000000"/>
          <w:sz w:val="20"/>
          <w:u w:val="none"/>
        </w:rPr>
        <w:t>condensed consolidated</w:t>
      </w:r>
      <w:r>
        <w:rPr>
          <w:rFonts w:ascii="Times New Roman" w:eastAsia="Times New Roman" w:hAnsi="Times New Roman" w:cs="Times New Roman"/>
          <w:b w:val="0"/>
          <w:i w:val="0"/>
          <w:sz w:val="20"/>
        </w:rPr>
        <w:t xml:space="preserve"> financial statements.</w:t>
      </w:r>
    </w:p>
    <w:p>
      <w:pPr>
        <w:keepNext w:val="0"/>
        <w:keepLines w:val="0"/>
        <w:pageBreakBefore w:val="0"/>
        <w:widowControl/>
        <w:numPr>
          <w:ilvl w:val="0"/>
          <w:numId w:val="0"/>
        </w:numPr>
        <w:spacing w:before="0" w:after="160" w:line="288" w:lineRule="auto"/>
        <w:ind w:left="0" w:right="0" w:firstLine="720"/>
        <w:jc w:val="left"/>
        <w:outlineLvl w:val="9"/>
        <w:rPr>
          <w:rFonts w:ascii="Times New Roman" w:eastAsia="Times New Roman" w:hAnsi="Times New Roman" w:cs="Times New Roman"/>
          <w:b w:val="0"/>
          <w:i w:val="0"/>
          <w:sz w:val="20"/>
        </w:rPr>
      </w:pPr>
    </w:p>
    <w:p>
      <w:pPr>
        <w:keepNext w:val="0"/>
        <w:keepLines w:val="0"/>
        <w:pageBreakBefore w:val="0"/>
        <w:widowControl/>
        <w:numPr>
          <w:ilvl w:val="0"/>
          <w:numId w:val="0"/>
        </w:numPr>
        <w:spacing w:before="0" w:after="160" w:line="288" w:lineRule="auto"/>
        <w:ind w:left="0" w:right="0" w:firstLine="720"/>
        <w:jc w:val="left"/>
        <w:outlineLvl w:val="9"/>
        <w:rPr>
          <w:rFonts w:ascii="Times New Roman" w:eastAsia="Times New Roman" w:hAnsi="Times New Roman" w:cs="Times New Roman"/>
          <w:b w:val="0"/>
          <w:i w:val="0"/>
          <w:sz w:val="20"/>
        </w:rPr>
        <w:sectPr>
          <w:headerReference w:type="default" r:id="rId11"/>
          <w:footerReference w:type="default" r:id="rId12"/>
          <w:pgSz w:w="12240" w:h="15840"/>
          <w:pgMar w:top="990" w:right="990" w:bottom="900" w:left="990" w:header="270" w:footer="270"/>
          <w:cols w:space="708"/>
        </w:sectPr>
      </w:pPr>
    </w:p>
    <w:p>
      <w:pPr>
        <w:keepNext/>
        <w:keepLines w:val="0"/>
        <w:pageBreakBefore w:val="0"/>
        <w:widowControl/>
        <w:numPr>
          <w:ilvl w:val="0"/>
          <w:numId w:val="0"/>
        </w:numPr>
        <w:spacing w:before="0" w:after="0" w:line="288" w:lineRule="auto"/>
        <w:ind w:left="0" w:right="0" w:firstLine="0"/>
        <w:jc w:val="center"/>
        <w:outlineLvl w:val="1"/>
        <w:rPr>
          <w:rFonts w:ascii="Times New Roman" w:eastAsia="Times New Roman" w:hAnsi="Times New Roman" w:cs="Times New Roman"/>
          <w:b/>
          <w:i w:val="0"/>
          <w:sz w:val="20"/>
        </w:rPr>
      </w:pPr>
      <w:bookmarkStart w:id="6" w:name="Section7"/>
      <w:bookmarkEnd w:id="6"/>
      <w:r>
        <w:rPr>
          <w:rFonts w:ascii="Times New Roman" w:eastAsia="Times New Roman" w:hAnsi="Times New Roman" w:cs="Times New Roman"/>
          <w:b/>
          <w:i w:val="0"/>
          <w:sz w:val="20"/>
        </w:rPr>
        <w:t>HALLIBURTON COMPANY</w:t>
      </w:r>
    </w:p>
    <w:p>
      <w:pPr>
        <w:keepNext/>
        <w:keepLines w:val="0"/>
        <w:pageBreakBefore w:val="0"/>
        <w:widowControl/>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color w:val="000000"/>
          <w:sz w:val="20"/>
          <w:u w:val="none"/>
        </w:rPr>
        <w:t>Condensed Consolidated</w:t>
      </w:r>
      <w:r>
        <w:rPr>
          <w:rFonts w:ascii="Times New Roman" w:eastAsia="Times New Roman" w:hAnsi="Times New Roman" w:cs="Times New Roman"/>
          <w:b/>
          <w:i w:val="0"/>
          <w:sz w:val="20"/>
        </w:rPr>
        <w:t xml:space="preserve"> </w:t>
      </w:r>
      <w:r>
        <w:rPr>
          <w:rFonts w:ascii="Times New Roman" w:eastAsia="Times New Roman" w:hAnsi="Times New Roman" w:cs="Times New Roman"/>
          <w:b/>
          <w:i w:val="0"/>
          <w:color w:val="000000"/>
          <w:sz w:val="20"/>
          <w:u w:val="none"/>
        </w:rPr>
        <w:t>Balance Sheets</w:t>
      </w:r>
    </w:p>
    <w:p>
      <w:pPr>
        <w:keepNext/>
        <w:keepLines w:val="0"/>
        <w:pageBreakBefore w:val="0"/>
        <w:widowControl/>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color w:val="000000"/>
          <w:sz w:val="20"/>
          <w:u w:val="none"/>
        </w:rPr>
        <w:t>(Unaudited)</w:t>
      </w:r>
    </w:p>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8025"/>
        <w:gridCol w:w="1305"/>
        <w:gridCol w:w="1305"/>
      </w:tblGrid>
      <w:tr>
        <w:tblPrEx>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495"/>
          <w:jc w:val="center"/>
        </w:trPr>
        <w:tc>
          <w:tcPr>
            <w:tcW w:w="802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color w:val="000000"/>
                <w:sz w:val="20"/>
                <w:u w:val="none"/>
              </w:rPr>
              <w:t>Millions of dollars and shares except per share data</w:t>
            </w:r>
          </w:p>
        </w:tc>
        <w:tc>
          <w:tcPr>
            <w:tcW w:w="13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20"/>
                <w:u w:val="none"/>
              </w:rPr>
              <w:t>March 31,</w:t>
            </w:r>
            <w:r>
              <w:br/>
            </w:r>
            <w:r>
              <w:rPr>
                <w:rFonts w:ascii="Times New Roman" w:eastAsia="Times New Roman" w:hAnsi="Times New Roman" w:cs="Times New Roman"/>
                <w:b w:val="0"/>
                <w:i w:val="0"/>
                <w:color w:val="000000"/>
                <w:sz w:val="20"/>
                <w:u w:val="none"/>
              </w:rPr>
              <w:t>2025</w:t>
            </w:r>
          </w:p>
        </w:tc>
        <w:tc>
          <w:tcPr>
            <w:tcW w:w="13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20"/>
                <w:u w:val="none"/>
              </w:rPr>
              <w:t>December 31,</w:t>
            </w:r>
            <w:r>
              <w:br/>
            </w:r>
            <w:r>
              <w:rPr>
                <w:rFonts w:ascii="Times New Roman" w:eastAsia="Times New Roman" w:hAnsi="Times New Roman" w:cs="Times New Roman"/>
                <w:b w:val="0"/>
                <w:i w:val="0"/>
                <w:color w:val="000000"/>
                <w:sz w:val="20"/>
                <w:u w:val="none"/>
              </w:rPr>
              <w:t>2024</w:t>
            </w:r>
          </w:p>
        </w:tc>
      </w:tr>
      <w:tr>
        <w:tblPrEx>
          <w:tblW w:w="10635" w:type="dxa"/>
          <w:jc w:val="center"/>
          <w:tblLayout w:type="fixed"/>
          <w:tblCellMar>
            <w:left w:w="108" w:type="dxa"/>
            <w:right w:w="108" w:type="dxa"/>
          </w:tblCellMar>
        </w:tblPrEx>
        <w:trPr>
          <w:cantSplit/>
          <w:trHeight w:hRule="exact" w:val="300"/>
          <w:jc w:val="center"/>
        </w:trPr>
        <w:tc>
          <w:tcPr>
            <w:tcW w:w="10635" w:type="dxa"/>
            <w:gridSpan w:val="3"/>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20"/>
                <w:u w:val="none"/>
              </w:rPr>
              <w:t>Assets</w:t>
            </w:r>
          </w:p>
        </w:tc>
      </w:tr>
      <w:tr>
        <w:tblPrEx>
          <w:tblW w:w="10635" w:type="dxa"/>
          <w:jc w:val="center"/>
          <w:tblLayout w:type="fixed"/>
          <w:tblCellMar>
            <w:left w:w="108" w:type="dxa"/>
            <w:right w:w="108" w:type="dxa"/>
          </w:tblCellMar>
        </w:tblPrEx>
        <w:trPr>
          <w:cantSplit/>
          <w:trHeight w:hRule="exact" w:val="300"/>
          <w:jc w:val="center"/>
        </w:trPr>
        <w:tc>
          <w:tcPr>
            <w:tcW w:w="802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i w:val="0"/>
                <w:color w:val="000000"/>
                <w:sz w:val="20"/>
                <w:u w:val="none"/>
              </w:rPr>
              <w:t>Current assets:</w:t>
            </w:r>
          </w:p>
        </w:tc>
        <w:tc>
          <w:tcPr>
            <w:tcW w:w="13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 </w:t>
            </w:r>
          </w:p>
        </w:tc>
        <w:tc>
          <w:tcPr>
            <w:tcW w:w="130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20"/>
                <w:u w:val="none"/>
              </w:rPr>
              <w:t> </w:t>
            </w:r>
          </w:p>
        </w:tc>
      </w:tr>
      <w:tr>
        <w:tblPrEx>
          <w:tblW w:w="10635" w:type="dxa"/>
          <w:jc w:val="center"/>
          <w:tblLayout w:type="fixed"/>
          <w:tblCellMar>
            <w:left w:w="108" w:type="dxa"/>
            <w:right w:w="108" w:type="dxa"/>
          </w:tblCellMar>
        </w:tblPrEx>
        <w:trPr>
          <w:cantSplit/>
          <w:trHeight w:hRule="exact" w:val="300"/>
          <w:jc w:val="center"/>
        </w:trPr>
        <w:tc>
          <w:tcPr>
            <w:tcW w:w="802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Cash and equivalents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22"/>
                <w:tab w:val="left" w:pos="1237"/>
              </w:tabs>
              <w:spacing w:before="75" w:after="30" w:line="240" w:lineRule="auto"/>
              <w:jc w:val="right"/>
            </w:pPr>
            <w:r>
              <w:rPr>
                <w:rFonts w:ascii="Times New Roman" w:eastAsia="Times New Roman" w:hAnsi="Times New Roman" w:cs="Times New Roman"/>
                <w:b w:val="0"/>
                <w:i w:val="0"/>
                <w:color w:val="000000"/>
                <w:sz w:val="20"/>
                <w:u w:val="none"/>
              </w:rPr>
              <w:t>$</w:t>
              <w:tab/>
              <w:t>1,804</w:t>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22"/>
                <w:tab w:val="left" w:pos="1237"/>
              </w:tabs>
              <w:spacing w:before="75" w:after="30" w:line="240" w:lineRule="auto"/>
              <w:jc w:val="right"/>
            </w:pPr>
            <w:r>
              <w:rPr>
                <w:rFonts w:ascii="Times New Roman" w:eastAsia="Times New Roman" w:hAnsi="Times New Roman" w:cs="Times New Roman"/>
                <w:b w:val="0"/>
                <w:i w:val="0"/>
                <w:color w:val="000000"/>
                <w:sz w:val="20"/>
                <w:u w:val="none"/>
              </w:rPr>
              <w:t>$</w:t>
              <w:tab/>
              <w:t>2,618</w:t>
              <w:tab/>
            </w:r>
          </w:p>
        </w:tc>
      </w:tr>
      <w:tr>
        <w:tblPrEx>
          <w:tblW w:w="10635" w:type="dxa"/>
          <w:jc w:val="center"/>
          <w:tblLayout w:type="fixed"/>
          <w:tblCellMar>
            <w:left w:w="108" w:type="dxa"/>
            <w:right w:w="108" w:type="dxa"/>
          </w:tblCellMar>
        </w:tblPrEx>
        <w:trPr>
          <w:cantSplit/>
          <w:trHeight w:hRule="exact" w:val="300"/>
          <w:jc w:val="center"/>
        </w:trPr>
        <w:tc>
          <w:tcPr>
            <w:tcW w:w="802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Receivables (net of allowances for credit losses of $755 and $754)</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22"/>
                <w:tab w:val="left" w:pos="1237"/>
              </w:tabs>
              <w:spacing w:before="75" w:after="30" w:line="240" w:lineRule="auto"/>
              <w:jc w:val="right"/>
            </w:pPr>
            <w:r>
              <w:rPr>
                <w:rFonts w:ascii="Times New Roman" w:eastAsia="Times New Roman" w:hAnsi="Times New Roman" w:cs="Times New Roman"/>
                <w:b w:val="0"/>
                <w:i w:val="0"/>
                <w:color w:val="000000"/>
                <w:sz w:val="20"/>
                <w:u w:val="none"/>
              </w:rPr>
              <w:tab/>
              <w:t>5,204</w:t>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22"/>
                <w:tab w:val="left" w:pos="1237"/>
              </w:tabs>
              <w:spacing w:before="75" w:after="30" w:line="240" w:lineRule="auto"/>
              <w:jc w:val="right"/>
            </w:pPr>
            <w:r>
              <w:rPr>
                <w:rFonts w:ascii="Times New Roman" w:eastAsia="Times New Roman" w:hAnsi="Times New Roman" w:cs="Times New Roman"/>
                <w:b w:val="0"/>
                <w:i w:val="0"/>
                <w:color w:val="000000"/>
                <w:sz w:val="20"/>
                <w:u w:val="none"/>
              </w:rPr>
              <w:tab/>
              <w:t>5,117</w:t>
              <w:tab/>
            </w:r>
          </w:p>
        </w:tc>
      </w:tr>
      <w:tr>
        <w:tblPrEx>
          <w:tblW w:w="10635" w:type="dxa"/>
          <w:jc w:val="center"/>
          <w:tblLayout w:type="fixed"/>
          <w:tblCellMar>
            <w:left w:w="108" w:type="dxa"/>
            <w:right w:w="108" w:type="dxa"/>
          </w:tblCellMar>
        </w:tblPrEx>
        <w:trPr>
          <w:cantSplit/>
          <w:trHeight w:hRule="exact" w:val="300"/>
          <w:jc w:val="center"/>
        </w:trPr>
        <w:tc>
          <w:tcPr>
            <w:tcW w:w="802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Inventories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22"/>
                <w:tab w:val="left" w:pos="1237"/>
              </w:tabs>
              <w:spacing w:before="75" w:after="30" w:line="240" w:lineRule="auto"/>
              <w:jc w:val="right"/>
            </w:pPr>
            <w:r>
              <w:rPr>
                <w:rFonts w:ascii="Times New Roman" w:eastAsia="Times New Roman" w:hAnsi="Times New Roman" w:cs="Times New Roman"/>
                <w:b w:val="0"/>
                <w:i w:val="0"/>
                <w:color w:val="000000"/>
                <w:sz w:val="20"/>
                <w:u w:val="none"/>
              </w:rPr>
              <w:tab/>
              <w:t>3,044</w:t>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22"/>
                <w:tab w:val="left" w:pos="1237"/>
              </w:tabs>
              <w:spacing w:before="75" w:after="30" w:line="240" w:lineRule="auto"/>
              <w:jc w:val="right"/>
            </w:pPr>
            <w:r>
              <w:rPr>
                <w:rFonts w:ascii="Times New Roman" w:eastAsia="Times New Roman" w:hAnsi="Times New Roman" w:cs="Times New Roman"/>
                <w:b w:val="0"/>
                <w:i w:val="0"/>
                <w:color w:val="000000"/>
                <w:sz w:val="20"/>
                <w:u w:val="none"/>
              </w:rPr>
              <w:tab/>
              <w:t>3,040</w:t>
              <w:tab/>
            </w:r>
          </w:p>
        </w:tc>
      </w:tr>
      <w:tr>
        <w:tblPrEx>
          <w:tblW w:w="10635" w:type="dxa"/>
          <w:jc w:val="center"/>
          <w:tblLayout w:type="fixed"/>
          <w:tblCellMar>
            <w:left w:w="108" w:type="dxa"/>
            <w:right w:w="108" w:type="dxa"/>
          </w:tblCellMar>
        </w:tblPrEx>
        <w:trPr>
          <w:cantSplit/>
          <w:trHeight w:hRule="exact" w:val="300"/>
          <w:jc w:val="center"/>
        </w:trPr>
        <w:tc>
          <w:tcPr>
            <w:tcW w:w="802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Other current assets</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22"/>
                <w:tab w:val="left" w:pos="1237"/>
              </w:tabs>
              <w:spacing w:before="75" w:after="30" w:line="240" w:lineRule="auto"/>
              <w:jc w:val="right"/>
            </w:pPr>
            <w:r>
              <w:rPr>
                <w:rFonts w:ascii="Times New Roman" w:eastAsia="Times New Roman" w:hAnsi="Times New Roman" w:cs="Times New Roman"/>
                <w:b w:val="0"/>
                <w:i w:val="0"/>
                <w:color w:val="000000"/>
                <w:sz w:val="20"/>
                <w:u w:val="none"/>
              </w:rPr>
              <w:tab/>
              <w:t>1,477</w:t>
              <w:tab/>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22"/>
                <w:tab w:val="left" w:pos="1237"/>
              </w:tabs>
              <w:spacing w:before="75" w:after="30" w:line="240" w:lineRule="auto"/>
              <w:jc w:val="right"/>
            </w:pPr>
            <w:r>
              <w:rPr>
                <w:rFonts w:ascii="Times New Roman" w:eastAsia="Times New Roman" w:hAnsi="Times New Roman" w:cs="Times New Roman"/>
                <w:b w:val="0"/>
                <w:i w:val="0"/>
                <w:color w:val="000000"/>
                <w:sz w:val="20"/>
                <w:u w:val="none"/>
              </w:rPr>
              <w:tab/>
              <w:t>1,607</w:t>
              <w:tab/>
            </w:r>
          </w:p>
        </w:tc>
      </w:tr>
      <w:tr>
        <w:tblPrEx>
          <w:tblW w:w="10635" w:type="dxa"/>
          <w:jc w:val="center"/>
          <w:tblLayout w:type="fixed"/>
          <w:tblCellMar>
            <w:left w:w="108" w:type="dxa"/>
            <w:right w:w="108" w:type="dxa"/>
          </w:tblCellMar>
        </w:tblPrEx>
        <w:trPr>
          <w:cantSplit/>
          <w:trHeight w:hRule="exact" w:val="300"/>
          <w:jc w:val="center"/>
        </w:trPr>
        <w:tc>
          <w:tcPr>
            <w:tcW w:w="802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20"/>
                <w:u w:val="none"/>
              </w:rPr>
              <w:t>Total current assets</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2"/>
                <w:tab w:val="left" w:pos="1237"/>
              </w:tabs>
              <w:spacing w:before="55" w:after="30" w:line="240" w:lineRule="auto"/>
              <w:jc w:val="right"/>
            </w:pPr>
            <w:r>
              <w:rPr>
                <w:rFonts w:ascii="Times New Roman" w:eastAsia="Times New Roman" w:hAnsi="Times New Roman" w:cs="Times New Roman"/>
                <w:b w:val="0"/>
                <w:i w:val="0"/>
                <w:color w:val="000000"/>
                <w:sz w:val="20"/>
                <w:u w:val="none"/>
              </w:rPr>
              <w:tab/>
              <w:t>11,529</w:t>
              <w:tab/>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2"/>
                <w:tab w:val="left" w:pos="1237"/>
              </w:tabs>
              <w:spacing w:before="55" w:after="30" w:line="240" w:lineRule="auto"/>
              <w:jc w:val="right"/>
            </w:pPr>
            <w:r>
              <w:rPr>
                <w:rFonts w:ascii="Times New Roman" w:eastAsia="Times New Roman" w:hAnsi="Times New Roman" w:cs="Times New Roman"/>
                <w:b w:val="0"/>
                <w:i w:val="0"/>
                <w:color w:val="000000"/>
                <w:sz w:val="20"/>
                <w:u w:val="none"/>
              </w:rPr>
              <w:tab/>
              <w:t>12,382</w:t>
              <w:tab/>
            </w:r>
          </w:p>
        </w:tc>
      </w:tr>
      <w:tr>
        <w:tblPrEx>
          <w:tblW w:w="10635" w:type="dxa"/>
          <w:jc w:val="center"/>
          <w:tblLayout w:type="fixed"/>
          <w:tblCellMar>
            <w:left w:w="108" w:type="dxa"/>
            <w:right w:w="108" w:type="dxa"/>
          </w:tblCellMar>
        </w:tblPrEx>
        <w:trPr>
          <w:cantSplit/>
          <w:trHeight w:hRule="exact" w:val="300"/>
          <w:jc w:val="center"/>
        </w:trPr>
        <w:tc>
          <w:tcPr>
            <w:tcW w:w="802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Property, plant, and equipment (net of accumulated depreciation of $12,527 and $12,461)</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22"/>
                <w:tab w:val="left" w:pos="1237"/>
              </w:tabs>
              <w:spacing w:before="75" w:after="30" w:line="240" w:lineRule="auto"/>
              <w:jc w:val="right"/>
            </w:pPr>
            <w:r>
              <w:rPr>
                <w:rFonts w:ascii="Times New Roman" w:eastAsia="Times New Roman" w:hAnsi="Times New Roman" w:cs="Times New Roman"/>
                <w:b w:val="0"/>
                <w:i w:val="0"/>
                <w:color w:val="000000"/>
                <w:sz w:val="20"/>
                <w:u w:val="none"/>
              </w:rPr>
              <w:tab/>
              <w:t>5,149</w:t>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22"/>
                <w:tab w:val="left" w:pos="1237"/>
              </w:tabs>
              <w:spacing w:before="75" w:after="30" w:line="240" w:lineRule="auto"/>
              <w:jc w:val="right"/>
            </w:pPr>
            <w:r>
              <w:rPr>
                <w:rFonts w:ascii="Times New Roman" w:eastAsia="Times New Roman" w:hAnsi="Times New Roman" w:cs="Times New Roman"/>
                <w:b w:val="0"/>
                <w:i w:val="0"/>
                <w:color w:val="000000"/>
                <w:sz w:val="20"/>
                <w:u w:val="none"/>
              </w:rPr>
              <w:tab/>
              <w:t>5,113</w:t>
              <w:tab/>
            </w:r>
          </w:p>
        </w:tc>
      </w:tr>
      <w:tr>
        <w:tblPrEx>
          <w:tblW w:w="10635" w:type="dxa"/>
          <w:jc w:val="center"/>
          <w:tblLayout w:type="fixed"/>
          <w:tblCellMar>
            <w:left w:w="108" w:type="dxa"/>
            <w:right w:w="108" w:type="dxa"/>
          </w:tblCellMar>
        </w:tblPrEx>
        <w:trPr>
          <w:cantSplit/>
          <w:trHeight w:hRule="exact" w:val="300"/>
          <w:jc w:val="center"/>
        </w:trPr>
        <w:tc>
          <w:tcPr>
            <w:tcW w:w="802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Goodwill</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22"/>
                <w:tab w:val="left" w:pos="1237"/>
              </w:tabs>
              <w:spacing w:before="75" w:after="30" w:line="240" w:lineRule="auto"/>
              <w:jc w:val="right"/>
            </w:pPr>
            <w:r>
              <w:rPr>
                <w:rFonts w:ascii="Times New Roman" w:eastAsia="Times New Roman" w:hAnsi="Times New Roman" w:cs="Times New Roman"/>
                <w:b w:val="0"/>
                <w:i w:val="0"/>
                <w:color w:val="000000"/>
                <w:sz w:val="20"/>
                <w:u w:val="none"/>
              </w:rPr>
              <w:tab/>
              <w:t>2,891</w:t>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22"/>
                <w:tab w:val="left" w:pos="1237"/>
              </w:tabs>
              <w:spacing w:before="75" w:after="30" w:line="240" w:lineRule="auto"/>
              <w:jc w:val="right"/>
            </w:pPr>
            <w:r>
              <w:rPr>
                <w:rFonts w:ascii="Times New Roman" w:eastAsia="Times New Roman" w:hAnsi="Times New Roman" w:cs="Times New Roman"/>
                <w:b w:val="0"/>
                <w:i w:val="0"/>
                <w:color w:val="000000"/>
                <w:sz w:val="20"/>
                <w:u w:val="none"/>
              </w:rPr>
              <w:tab/>
              <w:t>2,838</w:t>
              <w:tab/>
            </w:r>
          </w:p>
        </w:tc>
      </w:tr>
      <w:tr>
        <w:tblPrEx>
          <w:tblW w:w="10635" w:type="dxa"/>
          <w:jc w:val="center"/>
          <w:tblLayout w:type="fixed"/>
          <w:tblCellMar>
            <w:left w:w="108" w:type="dxa"/>
            <w:right w:w="108" w:type="dxa"/>
          </w:tblCellMar>
        </w:tblPrEx>
        <w:trPr>
          <w:cantSplit/>
          <w:trHeight w:hRule="exact" w:val="300"/>
          <w:jc w:val="center"/>
        </w:trPr>
        <w:tc>
          <w:tcPr>
            <w:tcW w:w="802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Deferred income taxes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22"/>
                <w:tab w:val="left" w:pos="1237"/>
              </w:tabs>
              <w:spacing w:before="75" w:after="30" w:line="240" w:lineRule="auto"/>
              <w:jc w:val="right"/>
            </w:pPr>
            <w:r>
              <w:rPr>
                <w:rFonts w:ascii="Times New Roman" w:eastAsia="Times New Roman" w:hAnsi="Times New Roman" w:cs="Times New Roman"/>
                <w:b w:val="0"/>
                <w:i w:val="0"/>
                <w:color w:val="000000"/>
                <w:sz w:val="20"/>
                <w:u w:val="none"/>
              </w:rPr>
              <w:tab/>
              <w:t>2,345</w:t>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22"/>
                <w:tab w:val="left" w:pos="1237"/>
              </w:tabs>
              <w:spacing w:before="75" w:after="30" w:line="240" w:lineRule="auto"/>
              <w:jc w:val="right"/>
            </w:pPr>
            <w:r>
              <w:rPr>
                <w:rFonts w:ascii="Times New Roman" w:eastAsia="Times New Roman" w:hAnsi="Times New Roman" w:cs="Times New Roman"/>
                <w:b w:val="0"/>
                <w:i w:val="0"/>
                <w:color w:val="000000"/>
                <w:sz w:val="20"/>
                <w:u w:val="none"/>
              </w:rPr>
              <w:tab/>
              <w:t>2,339</w:t>
              <w:tab/>
            </w:r>
          </w:p>
        </w:tc>
      </w:tr>
      <w:tr>
        <w:tblPrEx>
          <w:tblW w:w="10635" w:type="dxa"/>
          <w:jc w:val="center"/>
          <w:tblLayout w:type="fixed"/>
          <w:tblCellMar>
            <w:left w:w="108" w:type="dxa"/>
            <w:right w:w="108" w:type="dxa"/>
          </w:tblCellMar>
        </w:tblPrEx>
        <w:trPr>
          <w:cantSplit/>
          <w:trHeight w:hRule="exact" w:val="300"/>
          <w:jc w:val="center"/>
        </w:trPr>
        <w:tc>
          <w:tcPr>
            <w:tcW w:w="802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Operating lease right-of-use assets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ab/>
              <w:t>984</w:t>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22"/>
                <w:tab w:val="left" w:pos="1237"/>
              </w:tabs>
              <w:spacing w:before="75" w:after="30" w:line="240" w:lineRule="auto"/>
              <w:jc w:val="right"/>
            </w:pPr>
            <w:r>
              <w:rPr>
                <w:rFonts w:ascii="Times New Roman" w:eastAsia="Times New Roman" w:hAnsi="Times New Roman" w:cs="Times New Roman"/>
                <w:b w:val="0"/>
                <w:i w:val="0"/>
                <w:color w:val="000000"/>
                <w:sz w:val="20"/>
                <w:u w:val="none"/>
              </w:rPr>
              <w:tab/>
              <w:t>1,022</w:t>
              <w:tab/>
            </w:r>
          </w:p>
        </w:tc>
      </w:tr>
      <w:tr>
        <w:tblPrEx>
          <w:tblW w:w="10635" w:type="dxa"/>
          <w:jc w:val="center"/>
          <w:tblLayout w:type="fixed"/>
          <w:tblCellMar>
            <w:left w:w="108" w:type="dxa"/>
            <w:right w:w="108" w:type="dxa"/>
          </w:tblCellMar>
        </w:tblPrEx>
        <w:trPr>
          <w:cantSplit/>
          <w:trHeight w:hRule="exact" w:val="300"/>
          <w:jc w:val="center"/>
        </w:trPr>
        <w:tc>
          <w:tcPr>
            <w:tcW w:w="802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Other assets</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22"/>
                <w:tab w:val="left" w:pos="1237"/>
              </w:tabs>
              <w:spacing w:before="75" w:after="30" w:line="240" w:lineRule="auto"/>
              <w:jc w:val="right"/>
            </w:pPr>
            <w:r>
              <w:rPr>
                <w:rFonts w:ascii="Times New Roman" w:eastAsia="Times New Roman" w:hAnsi="Times New Roman" w:cs="Times New Roman"/>
                <w:b w:val="0"/>
                <w:i w:val="0"/>
                <w:color w:val="000000"/>
                <w:sz w:val="20"/>
                <w:u w:val="none"/>
              </w:rPr>
              <w:tab/>
              <w:t>2,281</w:t>
              <w:tab/>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22"/>
                <w:tab w:val="left" w:pos="1237"/>
              </w:tabs>
              <w:spacing w:before="75" w:after="30" w:line="240" w:lineRule="auto"/>
              <w:jc w:val="right"/>
            </w:pPr>
            <w:r>
              <w:rPr>
                <w:rFonts w:ascii="Times New Roman" w:eastAsia="Times New Roman" w:hAnsi="Times New Roman" w:cs="Times New Roman"/>
                <w:b w:val="0"/>
                <w:i w:val="0"/>
                <w:color w:val="000000"/>
                <w:sz w:val="20"/>
                <w:u w:val="none"/>
              </w:rPr>
              <w:tab/>
              <w:t>1,893</w:t>
              <w:tab/>
            </w:r>
          </w:p>
        </w:tc>
      </w:tr>
      <w:tr>
        <w:tblPrEx>
          <w:tblW w:w="10635" w:type="dxa"/>
          <w:jc w:val="center"/>
          <w:tblLayout w:type="fixed"/>
          <w:tblCellMar>
            <w:left w:w="108" w:type="dxa"/>
            <w:right w:w="108" w:type="dxa"/>
          </w:tblCellMar>
        </w:tblPrEx>
        <w:trPr>
          <w:cantSplit/>
          <w:trHeight w:hRule="exact" w:val="300"/>
          <w:jc w:val="center"/>
        </w:trPr>
        <w:tc>
          <w:tcPr>
            <w:tcW w:w="8025" w:type="dxa"/>
            <w:tcBorders>
              <w:top w:val="single" w:sz="8" w:space="0" w:color="000000"/>
              <w:left w:val="nil"/>
              <w:bottom w:val="double" w:sz="8" w:space="0" w:color="000000"/>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20"/>
                <w:u w:val="none"/>
              </w:rPr>
              <w:t>Total assets</w:t>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622"/>
                <w:tab w:val="left" w:pos="1237"/>
              </w:tabs>
              <w:spacing w:before="55" w:after="30" w:line="240" w:lineRule="auto"/>
              <w:jc w:val="right"/>
            </w:pPr>
            <w:r>
              <w:rPr>
                <w:rFonts w:ascii="Times New Roman" w:eastAsia="Times New Roman" w:hAnsi="Times New Roman" w:cs="Times New Roman"/>
                <w:b w:val="0"/>
                <w:i w:val="0"/>
                <w:color w:val="000000"/>
                <w:sz w:val="20"/>
                <w:u w:val="none"/>
              </w:rPr>
              <w:t>$</w:t>
              <w:tab/>
              <w:t>25,179</w:t>
              <w:tab/>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622"/>
                <w:tab w:val="left" w:pos="1237"/>
              </w:tabs>
              <w:spacing w:before="55" w:after="30" w:line="240" w:lineRule="auto"/>
              <w:jc w:val="right"/>
            </w:pPr>
            <w:r>
              <w:rPr>
                <w:rFonts w:ascii="Times New Roman" w:eastAsia="Times New Roman" w:hAnsi="Times New Roman" w:cs="Times New Roman"/>
                <w:b w:val="0"/>
                <w:i w:val="0"/>
                <w:color w:val="000000"/>
                <w:sz w:val="20"/>
                <w:u w:val="none"/>
              </w:rPr>
              <w:t>$</w:t>
              <w:tab/>
              <w:t>25,587</w:t>
              <w:tab/>
            </w:r>
          </w:p>
        </w:tc>
      </w:tr>
      <w:tr>
        <w:tblPrEx>
          <w:tblW w:w="10635" w:type="dxa"/>
          <w:jc w:val="center"/>
          <w:tblLayout w:type="fixed"/>
          <w:tblCellMar>
            <w:left w:w="108" w:type="dxa"/>
            <w:right w:w="108" w:type="dxa"/>
          </w:tblCellMar>
        </w:tblPrEx>
        <w:trPr>
          <w:cantSplit/>
          <w:trHeight w:hRule="exact" w:val="300"/>
          <w:jc w:val="center"/>
        </w:trPr>
        <w:tc>
          <w:tcPr>
            <w:tcW w:w="10635" w:type="dxa"/>
            <w:gridSpan w:val="3"/>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15" w:after="30" w:line="240" w:lineRule="auto"/>
              <w:jc w:val="center"/>
            </w:pPr>
            <w:r>
              <w:rPr>
                <w:rFonts w:ascii="Times New Roman" w:eastAsia="Times New Roman" w:hAnsi="Times New Roman" w:cs="Times New Roman"/>
                <w:b/>
                <w:i w:val="0"/>
                <w:color w:val="000000"/>
                <w:sz w:val="20"/>
                <w:u w:val="none"/>
              </w:rPr>
              <w:t>Liabilities and Shareholders’ Equity</w:t>
            </w:r>
          </w:p>
        </w:tc>
      </w:tr>
      <w:tr>
        <w:tblPrEx>
          <w:tblW w:w="10635" w:type="dxa"/>
          <w:jc w:val="center"/>
          <w:tblLayout w:type="fixed"/>
          <w:tblCellMar>
            <w:left w:w="108" w:type="dxa"/>
            <w:right w:w="108" w:type="dxa"/>
          </w:tblCellMar>
        </w:tblPrEx>
        <w:trPr>
          <w:cantSplit/>
          <w:trHeight w:hRule="exact" w:val="300"/>
          <w:jc w:val="center"/>
        </w:trPr>
        <w:tc>
          <w:tcPr>
            <w:tcW w:w="802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i w:val="0"/>
                <w:color w:val="000000"/>
                <w:sz w:val="20"/>
                <w:u w:val="none"/>
              </w:rPr>
              <w:t>Current liabilities:</w:t>
            </w:r>
          </w:p>
        </w:tc>
        <w:tc>
          <w:tcPr>
            <w:tcW w:w="130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75" w:after="30" w:line="240" w:lineRule="auto"/>
              <w:jc w:val="lef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spacing w:before="75" w:after="30" w:line="240" w:lineRule="auto"/>
              <w:jc w:val="right"/>
            </w:pPr>
          </w:p>
        </w:tc>
      </w:tr>
      <w:tr>
        <w:tblPrEx>
          <w:tblW w:w="10635" w:type="dxa"/>
          <w:jc w:val="center"/>
          <w:tblLayout w:type="fixed"/>
          <w:tblCellMar>
            <w:left w:w="108" w:type="dxa"/>
            <w:right w:w="108" w:type="dxa"/>
          </w:tblCellMar>
        </w:tblPrEx>
        <w:trPr>
          <w:cantSplit/>
          <w:trHeight w:hRule="exact" w:val="300"/>
          <w:jc w:val="center"/>
        </w:trPr>
        <w:tc>
          <w:tcPr>
            <w:tcW w:w="802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Accounts payable</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22"/>
                <w:tab w:val="left" w:pos="1237"/>
              </w:tabs>
              <w:spacing w:before="75" w:after="30" w:line="240" w:lineRule="auto"/>
              <w:jc w:val="right"/>
            </w:pPr>
            <w:r>
              <w:rPr>
                <w:rFonts w:ascii="Times New Roman" w:eastAsia="Times New Roman" w:hAnsi="Times New Roman" w:cs="Times New Roman"/>
                <w:b w:val="0"/>
                <w:i w:val="0"/>
                <w:color w:val="000000"/>
                <w:sz w:val="20"/>
                <w:u w:val="none"/>
              </w:rPr>
              <w:t>$</w:t>
              <w:tab/>
              <w:t>3,168</w:t>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22"/>
                <w:tab w:val="left" w:pos="1237"/>
              </w:tabs>
              <w:spacing w:before="75" w:after="30" w:line="240" w:lineRule="auto"/>
              <w:jc w:val="right"/>
            </w:pPr>
            <w:r>
              <w:rPr>
                <w:rFonts w:ascii="Times New Roman" w:eastAsia="Times New Roman" w:hAnsi="Times New Roman" w:cs="Times New Roman"/>
                <w:b w:val="0"/>
                <w:i w:val="0"/>
                <w:color w:val="000000"/>
                <w:sz w:val="20"/>
                <w:u w:val="none"/>
              </w:rPr>
              <w:t>$</w:t>
              <w:tab/>
              <w:t>3,189</w:t>
              <w:tab/>
            </w:r>
          </w:p>
        </w:tc>
      </w:tr>
      <w:tr>
        <w:tblPrEx>
          <w:tblW w:w="10635" w:type="dxa"/>
          <w:jc w:val="center"/>
          <w:tblLayout w:type="fixed"/>
          <w:tblCellMar>
            <w:left w:w="108" w:type="dxa"/>
            <w:right w:w="108" w:type="dxa"/>
          </w:tblCellMar>
        </w:tblPrEx>
        <w:trPr>
          <w:cantSplit/>
          <w:trHeight w:hRule="exact" w:val="300"/>
          <w:jc w:val="center"/>
        </w:trPr>
        <w:tc>
          <w:tcPr>
            <w:tcW w:w="802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Accrued employee compensation and benefits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ab/>
              <w:t>632</w:t>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ab/>
              <w:t>711</w:t>
              <w:tab/>
            </w:r>
          </w:p>
        </w:tc>
      </w:tr>
      <w:tr>
        <w:tblPrEx>
          <w:tblW w:w="10635" w:type="dxa"/>
          <w:jc w:val="center"/>
          <w:tblLayout w:type="fixed"/>
          <w:tblCellMar>
            <w:left w:w="108" w:type="dxa"/>
            <w:right w:w="108" w:type="dxa"/>
          </w:tblCellMar>
        </w:tblPrEx>
        <w:trPr>
          <w:cantSplit/>
          <w:trHeight w:hRule="exact" w:val="300"/>
          <w:jc w:val="center"/>
        </w:trPr>
        <w:tc>
          <w:tcPr>
            <w:tcW w:w="802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Current maturities of long-term debt</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ab/>
              <w:t>381</w:t>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ab/>
              <w:t>381</w:t>
              <w:tab/>
            </w:r>
          </w:p>
        </w:tc>
      </w:tr>
      <w:tr>
        <w:tblPrEx>
          <w:tblW w:w="10635" w:type="dxa"/>
          <w:jc w:val="center"/>
          <w:tblLayout w:type="fixed"/>
          <w:tblCellMar>
            <w:left w:w="108" w:type="dxa"/>
            <w:right w:w="108" w:type="dxa"/>
          </w:tblCellMar>
        </w:tblPrEx>
        <w:trPr>
          <w:cantSplit/>
          <w:trHeight w:hRule="exact" w:val="300"/>
          <w:jc w:val="center"/>
        </w:trPr>
        <w:tc>
          <w:tcPr>
            <w:tcW w:w="802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Income taxes payable</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ab/>
              <w:t>362</w:t>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ab/>
              <w:t>449</w:t>
              <w:tab/>
            </w:r>
          </w:p>
        </w:tc>
      </w:tr>
      <w:tr>
        <w:tblPrEx>
          <w:tblW w:w="10635" w:type="dxa"/>
          <w:jc w:val="center"/>
          <w:tblLayout w:type="fixed"/>
          <w:tblCellMar>
            <w:left w:w="108" w:type="dxa"/>
            <w:right w:w="108" w:type="dxa"/>
          </w:tblCellMar>
        </w:tblPrEx>
        <w:trPr>
          <w:cantSplit/>
          <w:trHeight w:hRule="exact" w:val="300"/>
          <w:jc w:val="center"/>
        </w:trPr>
        <w:tc>
          <w:tcPr>
            <w:tcW w:w="802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Current portion of operating lease liabilities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ab/>
              <w:t>264</w:t>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ab/>
              <w:t>263</w:t>
              <w:tab/>
            </w:r>
          </w:p>
        </w:tc>
      </w:tr>
      <w:tr>
        <w:tblPrEx>
          <w:tblW w:w="10635" w:type="dxa"/>
          <w:jc w:val="center"/>
          <w:tblLayout w:type="fixed"/>
          <w:tblCellMar>
            <w:left w:w="108" w:type="dxa"/>
            <w:right w:w="108" w:type="dxa"/>
          </w:tblCellMar>
        </w:tblPrEx>
        <w:trPr>
          <w:cantSplit/>
          <w:trHeight w:hRule="exact" w:val="300"/>
          <w:jc w:val="center"/>
        </w:trPr>
        <w:tc>
          <w:tcPr>
            <w:tcW w:w="802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Taxes other than income</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ab/>
              <w:t>237</w:t>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ab/>
              <w:t>328</w:t>
              <w:tab/>
            </w:r>
          </w:p>
        </w:tc>
      </w:tr>
      <w:tr>
        <w:tblPrEx>
          <w:tblW w:w="10635" w:type="dxa"/>
          <w:jc w:val="center"/>
          <w:tblLayout w:type="fixed"/>
          <w:tblCellMar>
            <w:left w:w="108" w:type="dxa"/>
            <w:right w:w="108" w:type="dxa"/>
          </w:tblCellMar>
        </w:tblPrEx>
        <w:trPr>
          <w:cantSplit/>
          <w:trHeight w:hRule="exact" w:val="300"/>
          <w:jc w:val="center"/>
        </w:trPr>
        <w:tc>
          <w:tcPr>
            <w:tcW w:w="802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Other current liabilities</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ab/>
              <w:t>779</w:t>
              <w:tab/>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ab/>
              <w:t>729</w:t>
              <w:tab/>
            </w:r>
          </w:p>
        </w:tc>
      </w:tr>
      <w:tr>
        <w:tblPrEx>
          <w:tblW w:w="10635" w:type="dxa"/>
          <w:jc w:val="center"/>
          <w:tblLayout w:type="fixed"/>
          <w:tblCellMar>
            <w:left w:w="108" w:type="dxa"/>
            <w:right w:w="108" w:type="dxa"/>
          </w:tblCellMar>
        </w:tblPrEx>
        <w:trPr>
          <w:cantSplit/>
          <w:trHeight w:hRule="exact" w:val="300"/>
          <w:jc w:val="center"/>
        </w:trPr>
        <w:tc>
          <w:tcPr>
            <w:tcW w:w="802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20"/>
                <w:u w:val="none"/>
              </w:rPr>
              <w:t>Total current liabilities</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722"/>
                <w:tab w:val="left" w:pos="1237"/>
              </w:tabs>
              <w:spacing w:before="55" w:after="30" w:line="240" w:lineRule="auto"/>
              <w:jc w:val="right"/>
            </w:pPr>
            <w:r>
              <w:rPr>
                <w:rFonts w:ascii="Times New Roman" w:eastAsia="Times New Roman" w:hAnsi="Times New Roman" w:cs="Times New Roman"/>
                <w:b w:val="0"/>
                <w:i w:val="0"/>
                <w:color w:val="000000"/>
                <w:sz w:val="20"/>
                <w:u w:val="none"/>
              </w:rPr>
              <w:tab/>
              <w:t>5,823</w:t>
              <w:tab/>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722"/>
                <w:tab w:val="left" w:pos="1237"/>
              </w:tabs>
              <w:spacing w:before="55" w:after="30" w:line="240" w:lineRule="auto"/>
              <w:jc w:val="right"/>
            </w:pPr>
            <w:r>
              <w:rPr>
                <w:rFonts w:ascii="Times New Roman" w:eastAsia="Times New Roman" w:hAnsi="Times New Roman" w:cs="Times New Roman"/>
                <w:b w:val="0"/>
                <w:i w:val="0"/>
                <w:color w:val="000000"/>
                <w:sz w:val="20"/>
                <w:u w:val="none"/>
              </w:rPr>
              <w:tab/>
              <w:t>6,050</w:t>
              <w:tab/>
            </w:r>
          </w:p>
        </w:tc>
      </w:tr>
      <w:tr>
        <w:tblPrEx>
          <w:tblW w:w="10635" w:type="dxa"/>
          <w:jc w:val="center"/>
          <w:tblLayout w:type="fixed"/>
          <w:tblCellMar>
            <w:left w:w="108" w:type="dxa"/>
            <w:right w:w="108" w:type="dxa"/>
          </w:tblCellMar>
        </w:tblPrEx>
        <w:trPr>
          <w:cantSplit/>
          <w:trHeight w:hRule="exact" w:val="300"/>
          <w:jc w:val="center"/>
        </w:trPr>
        <w:tc>
          <w:tcPr>
            <w:tcW w:w="802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Long-term debt</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22"/>
                <w:tab w:val="left" w:pos="1237"/>
              </w:tabs>
              <w:spacing w:before="75" w:after="30" w:line="240" w:lineRule="auto"/>
              <w:jc w:val="right"/>
            </w:pPr>
            <w:r>
              <w:rPr>
                <w:rFonts w:ascii="Times New Roman" w:eastAsia="Times New Roman" w:hAnsi="Times New Roman" w:cs="Times New Roman"/>
                <w:b w:val="0"/>
                <w:i w:val="0"/>
                <w:color w:val="000000"/>
                <w:sz w:val="20"/>
                <w:u w:val="none"/>
              </w:rPr>
              <w:tab/>
              <w:t>7,160</w:t>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22"/>
                <w:tab w:val="left" w:pos="1237"/>
              </w:tabs>
              <w:spacing w:before="75" w:after="30" w:line="240" w:lineRule="auto"/>
              <w:jc w:val="right"/>
            </w:pPr>
            <w:r>
              <w:rPr>
                <w:rFonts w:ascii="Times New Roman" w:eastAsia="Times New Roman" w:hAnsi="Times New Roman" w:cs="Times New Roman"/>
                <w:b w:val="0"/>
                <w:i w:val="0"/>
                <w:color w:val="000000"/>
                <w:sz w:val="20"/>
                <w:u w:val="none"/>
              </w:rPr>
              <w:tab/>
              <w:t>7,160</w:t>
              <w:tab/>
            </w:r>
          </w:p>
        </w:tc>
      </w:tr>
      <w:tr>
        <w:tblPrEx>
          <w:tblW w:w="10635" w:type="dxa"/>
          <w:jc w:val="center"/>
          <w:tblLayout w:type="fixed"/>
          <w:tblCellMar>
            <w:left w:w="108" w:type="dxa"/>
            <w:right w:w="108" w:type="dxa"/>
          </w:tblCellMar>
        </w:tblPrEx>
        <w:trPr>
          <w:cantSplit/>
          <w:trHeight w:hRule="exact" w:val="300"/>
          <w:jc w:val="center"/>
        </w:trPr>
        <w:tc>
          <w:tcPr>
            <w:tcW w:w="802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Operating lease liabilities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ab/>
              <w:t>769</w:t>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ab/>
              <w:t>798</w:t>
              <w:tab/>
            </w:r>
          </w:p>
        </w:tc>
      </w:tr>
      <w:tr>
        <w:tblPrEx>
          <w:tblW w:w="10635" w:type="dxa"/>
          <w:jc w:val="center"/>
          <w:tblLayout w:type="fixed"/>
          <w:tblCellMar>
            <w:left w:w="108" w:type="dxa"/>
            <w:right w:w="108" w:type="dxa"/>
          </w:tblCellMar>
        </w:tblPrEx>
        <w:trPr>
          <w:cantSplit/>
          <w:trHeight w:hRule="exact" w:val="300"/>
          <w:jc w:val="center"/>
        </w:trPr>
        <w:tc>
          <w:tcPr>
            <w:tcW w:w="802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Employee compensation and benefits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ab/>
              <w:t>389</w:t>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ab/>
              <w:t>414</w:t>
              <w:tab/>
            </w:r>
          </w:p>
        </w:tc>
      </w:tr>
      <w:tr>
        <w:tblPrEx>
          <w:tblW w:w="10635" w:type="dxa"/>
          <w:jc w:val="center"/>
          <w:tblLayout w:type="fixed"/>
          <w:tblCellMar>
            <w:left w:w="108" w:type="dxa"/>
            <w:right w:w="108" w:type="dxa"/>
          </w:tblCellMar>
        </w:tblPrEx>
        <w:trPr>
          <w:cantSplit/>
          <w:trHeight w:hRule="exact" w:val="300"/>
          <w:jc w:val="center"/>
        </w:trPr>
        <w:tc>
          <w:tcPr>
            <w:tcW w:w="8025"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Other liabilities</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ab/>
              <w:t>629</w:t>
              <w:tab/>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ab/>
              <w:t>617</w:t>
              <w:tab/>
            </w:r>
          </w:p>
        </w:tc>
      </w:tr>
      <w:tr>
        <w:tblPrEx>
          <w:tblW w:w="10635" w:type="dxa"/>
          <w:jc w:val="center"/>
          <w:tblLayout w:type="fixed"/>
          <w:tblCellMar>
            <w:left w:w="108" w:type="dxa"/>
            <w:right w:w="108" w:type="dxa"/>
          </w:tblCellMar>
        </w:tblPrEx>
        <w:trPr>
          <w:cantSplit/>
          <w:trHeight w:hRule="exact" w:val="300"/>
          <w:jc w:val="center"/>
        </w:trPr>
        <w:tc>
          <w:tcPr>
            <w:tcW w:w="802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20"/>
                <w:u w:val="none"/>
              </w:rPr>
              <w:t>Total liabilities</w:t>
            </w: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22"/>
                <w:tab w:val="left" w:pos="1237"/>
              </w:tabs>
              <w:spacing w:before="55" w:after="30" w:line="240" w:lineRule="auto"/>
              <w:jc w:val="right"/>
            </w:pPr>
            <w:r>
              <w:rPr>
                <w:rFonts w:ascii="Times New Roman" w:eastAsia="Times New Roman" w:hAnsi="Times New Roman" w:cs="Times New Roman"/>
                <w:b w:val="0"/>
                <w:i w:val="0"/>
                <w:color w:val="000000"/>
                <w:sz w:val="20"/>
                <w:u w:val="none"/>
              </w:rPr>
              <w:tab/>
              <w:t>14,770</w:t>
              <w:tab/>
            </w: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22"/>
                <w:tab w:val="left" w:pos="1237"/>
              </w:tabs>
              <w:spacing w:before="55" w:after="30" w:line="240" w:lineRule="auto"/>
              <w:jc w:val="right"/>
            </w:pPr>
            <w:r>
              <w:rPr>
                <w:rFonts w:ascii="Times New Roman" w:eastAsia="Times New Roman" w:hAnsi="Times New Roman" w:cs="Times New Roman"/>
                <w:b w:val="0"/>
                <w:i w:val="0"/>
                <w:color w:val="000000"/>
                <w:sz w:val="20"/>
                <w:u w:val="none"/>
              </w:rPr>
              <w:tab/>
              <w:t>15,039</w:t>
              <w:tab/>
            </w:r>
          </w:p>
        </w:tc>
      </w:tr>
      <w:tr>
        <w:tblPrEx>
          <w:tblW w:w="10635" w:type="dxa"/>
          <w:jc w:val="center"/>
          <w:tblLayout w:type="fixed"/>
          <w:tblCellMar>
            <w:left w:w="108" w:type="dxa"/>
            <w:right w:w="108" w:type="dxa"/>
          </w:tblCellMar>
        </w:tblPrEx>
        <w:trPr>
          <w:cantSplit/>
          <w:trHeight w:hRule="exact" w:val="300"/>
          <w:jc w:val="center"/>
        </w:trPr>
        <w:tc>
          <w:tcPr>
            <w:tcW w:w="802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20"/>
                <w:u w:val="none"/>
              </w:rPr>
              <w:t>Shareholders’ equity:</w:t>
            </w:r>
          </w:p>
        </w:tc>
        <w:tc>
          <w:tcPr>
            <w:tcW w:w="1305" w:type="dxa"/>
            <w:tcBorders>
              <w:top w:val="single" w:sz="8" w:space="0" w:color="000000"/>
              <w:left w:val="nil"/>
              <w:bottom w:val="nil"/>
              <w:right w:val="nil"/>
            </w:tcBorders>
            <w:shd w:val="clear" w:color="auto" w:fill="CCEEFF"/>
            <w:tcMar>
              <w:top w:w="0" w:type="dxa"/>
              <w:left w:w="0" w:type="dxa"/>
              <w:bottom w:w="0" w:type="dxa"/>
              <w:right w:w="53" w:type="dxa"/>
            </w:tcMar>
            <w:vAlign w:val="bottom"/>
          </w:tcPr>
          <w:p>
            <w:pPr>
              <w:keepNext/>
              <w:pageBreakBefore w:val="0"/>
              <w:spacing w:before="55" w:after="30" w:line="240" w:lineRule="auto"/>
              <w:jc w:val="right"/>
            </w:pPr>
            <w:r>
              <w:rPr>
                <w:rFonts w:ascii="Times New Roman" w:eastAsia="Times New Roman" w:hAnsi="Times New Roman" w:cs="Times New Roman"/>
                <w:b w:val="0"/>
                <w:i w:val="0"/>
                <w:color w:val="000000"/>
                <w:sz w:val="20"/>
                <w:u w:val="none"/>
              </w:rPr>
              <w:t xml:space="preserve"> </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spacing w:before="55" w:after="30" w:line="240" w:lineRule="auto"/>
              <w:jc w:val="right"/>
            </w:pPr>
          </w:p>
        </w:tc>
      </w:tr>
      <w:tr>
        <w:tblPrEx>
          <w:tblW w:w="10635" w:type="dxa"/>
          <w:jc w:val="center"/>
          <w:tblLayout w:type="fixed"/>
          <w:tblCellMar>
            <w:left w:w="108" w:type="dxa"/>
            <w:right w:w="108" w:type="dxa"/>
          </w:tblCellMar>
        </w:tblPrEx>
        <w:trPr>
          <w:cantSplit/>
          <w:trHeight w:hRule="exact" w:val="300"/>
          <w:jc w:val="center"/>
        </w:trPr>
        <w:tc>
          <w:tcPr>
            <w:tcW w:w="802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Common stock, par value $2.50 per share (authorized 2,000 shares, issued 1,064 and 1,065 shares)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22"/>
                <w:tab w:val="left" w:pos="1237"/>
              </w:tabs>
              <w:spacing w:before="75" w:after="30" w:line="240" w:lineRule="auto"/>
              <w:jc w:val="right"/>
            </w:pPr>
            <w:r>
              <w:rPr>
                <w:rFonts w:ascii="Times New Roman" w:eastAsia="Times New Roman" w:hAnsi="Times New Roman" w:cs="Times New Roman"/>
                <w:b w:val="0"/>
                <w:i w:val="0"/>
                <w:color w:val="000000"/>
                <w:sz w:val="20"/>
                <w:u w:val="none"/>
              </w:rPr>
              <w:tab/>
              <w:t>2,661</w:t>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22"/>
                <w:tab w:val="left" w:pos="1237"/>
              </w:tabs>
              <w:spacing w:before="75" w:after="30" w:line="240" w:lineRule="auto"/>
              <w:jc w:val="right"/>
            </w:pPr>
            <w:r>
              <w:rPr>
                <w:rFonts w:ascii="Times New Roman" w:eastAsia="Times New Roman" w:hAnsi="Times New Roman" w:cs="Times New Roman"/>
                <w:b w:val="0"/>
                <w:i w:val="0"/>
                <w:color w:val="000000"/>
                <w:sz w:val="20"/>
                <w:u w:val="none"/>
              </w:rPr>
              <w:tab/>
              <w:t>2,662</w:t>
              <w:tab/>
            </w:r>
          </w:p>
        </w:tc>
      </w:tr>
      <w:tr>
        <w:tblPrEx>
          <w:tblW w:w="10635" w:type="dxa"/>
          <w:jc w:val="center"/>
          <w:tblLayout w:type="fixed"/>
          <w:tblCellMar>
            <w:left w:w="108" w:type="dxa"/>
            <w:right w:w="108" w:type="dxa"/>
          </w:tblCellMar>
        </w:tblPrEx>
        <w:trPr>
          <w:cantSplit/>
          <w:trHeight w:hRule="exact" w:val="300"/>
          <w:jc w:val="center"/>
        </w:trPr>
        <w:tc>
          <w:tcPr>
            <w:tcW w:w="802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Paid-in capital in excess of par value</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72"/>
                <w:tab w:val="left" w:pos="1237"/>
              </w:tabs>
              <w:spacing w:before="75" w:after="30" w:line="240" w:lineRule="auto"/>
              <w:jc w:val="right"/>
            </w:pPr>
            <w:r>
              <w:rPr>
                <w:rFonts w:ascii="Times New Roman" w:eastAsia="Times New Roman" w:hAnsi="Times New Roman" w:cs="Times New Roman"/>
                <w:b w:val="0"/>
                <w:i w:val="0"/>
                <w:color w:val="000000"/>
                <w:sz w:val="20"/>
                <w:u w:val="none"/>
              </w:rPr>
              <w:tab/>
              <w:t>59</w:t>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72"/>
                <w:tab w:val="left" w:pos="1237"/>
              </w:tabs>
              <w:spacing w:before="75" w:after="30" w:line="240" w:lineRule="auto"/>
              <w:jc w:val="right"/>
            </w:pPr>
            <w:r>
              <w:rPr>
                <w:rFonts w:ascii="Times New Roman" w:eastAsia="Times New Roman" w:hAnsi="Times New Roman" w:cs="Times New Roman"/>
                <w:b w:val="0"/>
                <w:i w:val="0"/>
                <w:color w:val="000000"/>
                <w:sz w:val="20"/>
                <w:u w:val="none"/>
              </w:rPr>
              <w:tab/>
              <w:t>79</w:t>
              <w:tab/>
            </w:r>
          </w:p>
        </w:tc>
      </w:tr>
      <w:tr>
        <w:tblPrEx>
          <w:tblW w:w="10635" w:type="dxa"/>
          <w:jc w:val="center"/>
          <w:tblLayout w:type="fixed"/>
          <w:tblCellMar>
            <w:left w:w="108" w:type="dxa"/>
            <w:right w:w="108" w:type="dxa"/>
          </w:tblCellMar>
        </w:tblPrEx>
        <w:trPr>
          <w:cantSplit/>
          <w:trHeight w:hRule="exact" w:val="300"/>
          <w:jc w:val="center"/>
        </w:trPr>
        <w:tc>
          <w:tcPr>
            <w:tcW w:w="802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Accumulated other comprehensive loss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86"/>
              </w:tabs>
              <w:spacing w:before="75" w:after="30" w:line="240" w:lineRule="auto"/>
              <w:jc w:val="right"/>
            </w:pPr>
            <w:r>
              <w:rPr>
                <w:rFonts w:ascii="Times New Roman" w:eastAsia="Times New Roman" w:hAnsi="Times New Roman" w:cs="Times New Roman"/>
                <w:b w:val="0"/>
                <w:i w:val="0"/>
                <w:color w:val="000000"/>
                <w:sz w:val="20"/>
                <w:u w:val="none"/>
              </w:rPr>
              <w:tab/>
              <w:t>(359)</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86"/>
              </w:tabs>
              <w:spacing w:before="75" w:after="30" w:line="240" w:lineRule="auto"/>
              <w:jc w:val="right"/>
            </w:pPr>
            <w:r>
              <w:rPr>
                <w:rFonts w:ascii="Times New Roman" w:eastAsia="Times New Roman" w:hAnsi="Times New Roman" w:cs="Times New Roman"/>
                <w:b w:val="0"/>
                <w:i w:val="0"/>
                <w:color w:val="000000"/>
                <w:sz w:val="20"/>
                <w:u w:val="none"/>
              </w:rPr>
              <w:tab/>
              <w:t>(353)</w:t>
            </w:r>
          </w:p>
        </w:tc>
      </w:tr>
      <w:tr>
        <w:tblPrEx>
          <w:tblW w:w="10635" w:type="dxa"/>
          <w:jc w:val="center"/>
          <w:tblLayout w:type="fixed"/>
          <w:tblCellMar>
            <w:left w:w="108" w:type="dxa"/>
            <w:right w:w="108" w:type="dxa"/>
          </w:tblCellMar>
        </w:tblPrEx>
        <w:trPr>
          <w:cantSplit/>
          <w:trHeight w:hRule="exact" w:val="300"/>
          <w:jc w:val="center"/>
        </w:trPr>
        <w:tc>
          <w:tcPr>
            <w:tcW w:w="802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Retained earnings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2"/>
                <w:tab w:val="left" w:pos="1237"/>
              </w:tabs>
              <w:spacing w:before="75" w:after="30" w:line="240" w:lineRule="auto"/>
              <w:jc w:val="right"/>
            </w:pPr>
            <w:r>
              <w:rPr>
                <w:rFonts w:ascii="Times New Roman" w:eastAsia="Times New Roman" w:hAnsi="Times New Roman" w:cs="Times New Roman"/>
                <w:b w:val="0"/>
                <w:i w:val="0"/>
                <w:color w:val="000000"/>
                <w:sz w:val="20"/>
                <w:u w:val="none"/>
              </w:rPr>
              <w:tab/>
              <w:t>14,389</w:t>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2"/>
                <w:tab w:val="left" w:pos="1237"/>
              </w:tabs>
              <w:spacing w:before="75" w:after="30" w:line="240" w:lineRule="auto"/>
              <w:jc w:val="right"/>
            </w:pPr>
            <w:r>
              <w:rPr>
                <w:rFonts w:ascii="Times New Roman" w:eastAsia="Times New Roman" w:hAnsi="Times New Roman" w:cs="Times New Roman"/>
                <w:b w:val="0"/>
                <w:i w:val="0"/>
                <w:color w:val="000000"/>
                <w:sz w:val="20"/>
                <w:u w:val="none"/>
              </w:rPr>
              <w:tab/>
              <w:t>14,332</w:t>
              <w:tab/>
            </w:r>
          </w:p>
        </w:tc>
      </w:tr>
      <w:tr>
        <w:tblPrEx>
          <w:tblW w:w="10635" w:type="dxa"/>
          <w:jc w:val="center"/>
          <w:tblLayout w:type="fixed"/>
          <w:tblCellMar>
            <w:left w:w="108" w:type="dxa"/>
            <w:right w:w="108" w:type="dxa"/>
          </w:tblCellMar>
        </w:tblPrEx>
        <w:trPr>
          <w:cantSplit/>
          <w:trHeight w:hRule="exact" w:val="300"/>
          <w:jc w:val="center"/>
        </w:trPr>
        <w:tc>
          <w:tcPr>
            <w:tcW w:w="802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Treasury stock, at cost (203 and 197 shares)</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36"/>
              </w:tabs>
              <w:spacing w:before="75" w:after="30" w:line="240" w:lineRule="auto"/>
              <w:jc w:val="right"/>
            </w:pPr>
            <w:r>
              <w:rPr>
                <w:rFonts w:ascii="Times New Roman" w:eastAsia="Times New Roman" w:hAnsi="Times New Roman" w:cs="Times New Roman"/>
                <w:b w:val="0"/>
                <w:i w:val="0"/>
                <w:color w:val="000000"/>
                <w:sz w:val="20"/>
                <w:u w:val="none"/>
              </w:rPr>
              <w:tab/>
              <w:t>(6,383)</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36"/>
              </w:tabs>
              <w:spacing w:before="75" w:after="30" w:line="240" w:lineRule="auto"/>
              <w:jc w:val="right"/>
            </w:pPr>
            <w:r>
              <w:rPr>
                <w:rFonts w:ascii="Times New Roman" w:eastAsia="Times New Roman" w:hAnsi="Times New Roman" w:cs="Times New Roman"/>
                <w:b w:val="0"/>
                <w:i w:val="0"/>
                <w:color w:val="000000"/>
                <w:sz w:val="20"/>
                <w:u w:val="none"/>
              </w:rPr>
              <w:tab/>
              <w:t>(6,214)</w:t>
            </w:r>
          </w:p>
        </w:tc>
      </w:tr>
      <w:tr>
        <w:tblPrEx>
          <w:tblW w:w="10635" w:type="dxa"/>
          <w:jc w:val="center"/>
          <w:tblLayout w:type="fixed"/>
          <w:tblCellMar>
            <w:left w:w="108" w:type="dxa"/>
            <w:right w:w="108" w:type="dxa"/>
          </w:tblCellMar>
        </w:tblPrEx>
        <w:trPr>
          <w:cantSplit/>
          <w:trHeight w:hRule="exact" w:val="300"/>
          <w:jc w:val="center"/>
        </w:trPr>
        <w:tc>
          <w:tcPr>
            <w:tcW w:w="802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20"/>
                <w:u w:val="none"/>
              </w:rPr>
              <w:t>Company shareholders’ equity</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2"/>
                <w:tab w:val="left" w:pos="1237"/>
              </w:tabs>
              <w:spacing w:before="55" w:after="30" w:line="240" w:lineRule="auto"/>
              <w:jc w:val="right"/>
            </w:pPr>
            <w:r>
              <w:rPr>
                <w:rFonts w:ascii="Times New Roman" w:eastAsia="Times New Roman" w:hAnsi="Times New Roman" w:cs="Times New Roman"/>
                <w:b w:val="0"/>
                <w:i w:val="0"/>
                <w:color w:val="000000"/>
                <w:sz w:val="20"/>
                <w:u w:val="none"/>
              </w:rPr>
              <w:tab/>
              <w:t>10,367</w:t>
              <w:tab/>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2"/>
                <w:tab w:val="left" w:pos="1237"/>
              </w:tabs>
              <w:spacing w:before="55" w:after="30" w:line="240" w:lineRule="auto"/>
              <w:jc w:val="right"/>
            </w:pPr>
            <w:r>
              <w:rPr>
                <w:rFonts w:ascii="Times New Roman" w:eastAsia="Times New Roman" w:hAnsi="Times New Roman" w:cs="Times New Roman"/>
                <w:b w:val="0"/>
                <w:i w:val="0"/>
                <w:color w:val="000000"/>
                <w:sz w:val="20"/>
                <w:u w:val="none"/>
              </w:rPr>
              <w:tab/>
              <w:t>10,506</w:t>
              <w:tab/>
            </w:r>
          </w:p>
        </w:tc>
      </w:tr>
      <w:tr>
        <w:tblPrEx>
          <w:tblW w:w="10635" w:type="dxa"/>
          <w:jc w:val="center"/>
          <w:tblLayout w:type="fixed"/>
          <w:tblCellMar>
            <w:left w:w="108" w:type="dxa"/>
            <w:right w:w="108" w:type="dxa"/>
          </w:tblCellMar>
        </w:tblPrEx>
        <w:trPr>
          <w:cantSplit/>
          <w:trHeight w:hRule="exact" w:val="300"/>
          <w:jc w:val="center"/>
        </w:trPr>
        <w:tc>
          <w:tcPr>
            <w:tcW w:w="802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Noncontrolling interest in consolidated subsidiaries</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72"/>
                <w:tab w:val="left" w:pos="1237"/>
              </w:tabs>
              <w:spacing w:before="75" w:after="30" w:line="240" w:lineRule="auto"/>
              <w:jc w:val="right"/>
            </w:pPr>
            <w:r>
              <w:rPr>
                <w:rFonts w:ascii="Times New Roman" w:eastAsia="Times New Roman" w:hAnsi="Times New Roman" w:cs="Times New Roman"/>
                <w:b w:val="0"/>
                <w:i w:val="0"/>
                <w:color w:val="000000"/>
                <w:sz w:val="20"/>
                <w:u w:val="none"/>
              </w:rPr>
              <w:tab/>
              <w:t>42</w:t>
              <w:tab/>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72"/>
                <w:tab w:val="left" w:pos="1237"/>
              </w:tabs>
              <w:spacing w:before="75" w:after="30" w:line="240" w:lineRule="auto"/>
              <w:jc w:val="right"/>
            </w:pPr>
            <w:r>
              <w:rPr>
                <w:rFonts w:ascii="Times New Roman" w:eastAsia="Times New Roman" w:hAnsi="Times New Roman" w:cs="Times New Roman"/>
                <w:b w:val="0"/>
                <w:i w:val="0"/>
                <w:color w:val="000000"/>
                <w:sz w:val="20"/>
                <w:u w:val="none"/>
              </w:rPr>
              <w:tab/>
              <w:t>42</w:t>
              <w:tab/>
            </w:r>
          </w:p>
        </w:tc>
      </w:tr>
      <w:tr>
        <w:tblPrEx>
          <w:tblW w:w="10635" w:type="dxa"/>
          <w:jc w:val="center"/>
          <w:tblLayout w:type="fixed"/>
          <w:tblCellMar>
            <w:left w:w="108" w:type="dxa"/>
            <w:right w:w="108" w:type="dxa"/>
          </w:tblCellMar>
        </w:tblPrEx>
        <w:trPr>
          <w:cantSplit/>
          <w:trHeight w:hRule="exact" w:val="300"/>
          <w:jc w:val="center"/>
        </w:trPr>
        <w:tc>
          <w:tcPr>
            <w:tcW w:w="8025" w:type="dxa"/>
            <w:tcBorders>
              <w:top w:val="single" w:sz="8" w:space="0" w:color="000000"/>
              <w:left w:val="nil"/>
              <w:bottom w:val="single" w:sz="8" w:space="0" w:color="000000"/>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20"/>
                <w:u w:val="none"/>
              </w:rPr>
              <w:t>Total shareholders’ equity</w:t>
            </w: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22"/>
                <w:tab w:val="left" w:pos="1237"/>
              </w:tabs>
              <w:spacing w:before="55" w:after="30" w:line="240" w:lineRule="auto"/>
              <w:jc w:val="right"/>
            </w:pPr>
            <w:r>
              <w:rPr>
                <w:rFonts w:ascii="Times New Roman" w:eastAsia="Times New Roman" w:hAnsi="Times New Roman" w:cs="Times New Roman"/>
                <w:b w:val="0"/>
                <w:i w:val="0"/>
                <w:color w:val="000000"/>
                <w:sz w:val="20"/>
                <w:u w:val="none"/>
              </w:rPr>
              <w:tab/>
              <w:t>10,409</w:t>
              <w:tab/>
            </w: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22"/>
                <w:tab w:val="left" w:pos="1237"/>
              </w:tabs>
              <w:spacing w:before="55" w:after="30" w:line="240" w:lineRule="auto"/>
              <w:jc w:val="right"/>
            </w:pPr>
            <w:r>
              <w:rPr>
                <w:rFonts w:ascii="Times New Roman" w:eastAsia="Times New Roman" w:hAnsi="Times New Roman" w:cs="Times New Roman"/>
                <w:b w:val="0"/>
                <w:i w:val="0"/>
                <w:color w:val="000000"/>
                <w:sz w:val="20"/>
                <w:u w:val="none"/>
              </w:rPr>
              <w:tab/>
              <w:t>10,548</w:t>
              <w:tab/>
            </w:r>
          </w:p>
        </w:tc>
      </w:tr>
      <w:tr>
        <w:tblPrEx>
          <w:tblW w:w="10635" w:type="dxa"/>
          <w:jc w:val="center"/>
          <w:tblLayout w:type="fixed"/>
          <w:tblCellMar>
            <w:left w:w="108" w:type="dxa"/>
            <w:right w:w="108" w:type="dxa"/>
          </w:tblCellMar>
        </w:tblPrEx>
        <w:trPr>
          <w:cantSplit/>
          <w:trHeight w:hRule="exact" w:val="300"/>
          <w:jc w:val="center"/>
        </w:trPr>
        <w:tc>
          <w:tcPr>
            <w:tcW w:w="8025" w:type="dxa"/>
            <w:tcBorders>
              <w:top w:val="single" w:sz="8" w:space="0" w:color="000000"/>
              <w:left w:val="nil"/>
              <w:bottom w:val="double" w:sz="8" w:space="0" w:color="000000"/>
              <w:right w:val="nil"/>
            </w:tcBorders>
            <w:shd w:val="clear" w:color="auto" w:fill="FFFFFF"/>
            <w:tcMar>
              <w:top w:w="0" w:type="dxa"/>
              <w:left w:w="53" w:type="dxa"/>
              <w:bottom w:w="0" w:type="dxa"/>
              <w:right w:w="53" w:type="dxa"/>
            </w:tcMar>
            <w:vAlign w:val="bottom"/>
          </w:tcPr>
          <w:p>
            <w:pPr>
              <w:pageBreakBefore w:val="0"/>
              <w:spacing w:before="55" w:after="30" w:line="240" w:lineRule="auto"/>
              <w:jc w:val="left"/>
            </w:pPr>
            <w:r>
              <w:rPr>
                <w:rFonts w:ascii="Times New Roman" w:eastAsia="Times New Roman" w:hAnsi="Times New Roman" w:cs="Times New Roman"/>
                <w:b/>
                <w:i w:val="0"/>
                <w:color w:val="000000"/>
                <w:sz w:val="20"/>
                <w:u w:val="none"/>
              </w:rPr>
              <w:t>Total liabilities and shareholders’ equity</w:t>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622"/>
                <w:tab w:val="left" w:pos="1237"/>
              </w:tabs>
              <w:spacing w:before="55" w:after="30" w:line="240" w:lineRule="auto"/>
              <w:jc w:val="right"/>
            </w:pPr>
            <w:r>
              <w:rPr>
                <w:rFonts w:ascii="Times New Roman" w:eastAsia="Times New Roman" w:hAnsi="Times New Roman" w:cs="Times New Roman"/>
                <w:b w:val="0"/>
                <w:i w:val="0"/>
                <w:color w:val="000000"/>
                <w:sz w:val="20"/>
                <w:u w:val="none"/>
              </w:rPr>
              <w:t>$</w:t>
              <w:tab/>
              <w:t>25,179</w:t>
              <w:tab/>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622"/>
                <w:tab w:val="left" w:pos="1237"/>
              </w:tabs>
              <w:spacing w:before="55" w:after="30" w:line="240" w:lineRule="auto"/>
              <w:jc w:val="right"/>
            </w:pPr>
            <w:r>
              <w:rPr>
                <w:rFonts w:ascii="Times New Roman" w:eastAsia="Times New Roman" w:hAnsi="Times New Roman" w:cs="Times New Roman"/>
                <w:b w:val="0"/>
                <w:i w:val="0"/>
                <w:color w:val="000000"/>
                <w:sz w:val="20"/>
                <w:u w:val="none"/>
              </w:rPr>
              <w:t>$</w:t>
              <w:tab/>
              <w:t>25,587</w:t>
              <w:tab/>
            </w:r>
          </w:p>
        </w:tc>
      </w:tr>
    </w:tbl>
    <w:p>
      <w:pPr>
        <w:keepNext/>
        <w:keepLines w:val="0"/>
        <w:pageBreakBefore w:val="0"/>
        <w:widowControl/>
        <w:numPr>
          <w:ilvl w:val="0"/>
          <w:numId w:val="0"/>
        </w:numPr>
        <w:spacing w:before="0" w:after="160" w:line="288"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 xml:space="preserve">See notes to </w:t>
      </w:r>
      <w:r>
        <w:rPr>
          <w:rFonts w:ascii="Times New Roman" w:eastAsia="Times New Roman" w:hAnsi="Times New Roman" w:cs="Times New Roman"/>
          <w:b w:val="0"/>
          <w:i w:val="0"/>
          <w:color w:val="000000"/>
          <w:sz w:val="20"/>
          <w:u w:val="none"/>
        </w:rPr>
        <w:t>condensed consolidated</w:t>
      </w:r>
      <w:r>
        <w:rPr>
          <w:rFonts w:ascii="Times New Roman" w:eastAsia="Times New Roman" w:hAnsi="Times New Roman" w:cs="Times New Roman"/>
          <w:b w:val="0"/>
          <w:i w:val="0"/>
          <w:sz w:val="20"/>
        </w:rPr>
        <w:t xml:space="preserve"> financial statements.</w:t>
      </w:r>
    </w:p>
    <w:p>
      <w:pPr>
        <w:keepNext w:val="0"/>
        <w:keepLines w:val="0"/>
        <w:pageBreakBefore w:val="0"/>
        <w:widowControl/>
        <w:numPr>
          <w:ilvl w:val="0"/>
          <w:numId w:val="0"/>
        </w:numPr>
        <w:spacing w:before="0" w:after="160" w:line="288" w:lineRule="auto"/>
        <w:ind w:left="0" w:right="0" w:firstLine="720"/>
        <w:jc w:val="left"/>
        <w:outlineLvl w:val="9"/>
        <w:rPr>
          <w:rFonts w:ascii="Times New Roman" w:eastAsia="Times New Roman" w:hAnsi="Times New Roman" w:cs="Times New Roman"/>
          <w:b w:val="0"/>
          <w:i w:val="0"/>
          <w:sz w:val="20"/>
        </w:rPr>
      </w:pPr>
    </w:p>
    <w:p>
      <w:pPr>
        <w:keepNext w:val="0"/>
        <w:keepLines w:val="0"/>
        <w:pageBreakBefore w:val="0"/>
        <w:widowControl/>
        <w:numPr>
          <w:ilvl w:val="0"/>
          <w:numId w:val="0"/>
        </w:numPr>
        <w:spacing w:before="0" w:after="160" w:line="288" w:lineRule="auto"/>
        <w:ind w:left="0" w:right="0" w:firstLine="720"/>
        <w:jc w:val="left"/>
        <w:outlineLvl w:val="9"/>
        <w:rPr>
          <w:rFonts w:ascii="Times New Roman" w:eastAsia="Times New Roman" w:hAnsi="Times New Roman" w:cs="Times New Roman"/>
          <w:b w:val="0"/>
          <w:i w:val="0"/>
          <w:sz w:val="20"/>
        </w:rPr>
        <w:sectPr>
          <w:headerReference w:type="default" r:id="rId13"/>
          <w:footerReference w:type="default" r:id="rId14"/>
          <w:pgSz w:w="12240" w:h="15840"/>
          <w:pgMar w:top="900" w:right="990" w:bottom="900" w:left="990" w:header="270" w:footer="270"/>
          <w:cols w:space="708"/>
        </w:sectPr>
      </w:pPr>
    </w:p>
    <w:p>
      <w:pPr>
        <w:keepNext w:val="0"/>
        <w:keepLines w:val="0"/>
        <w:pageBreakBefore w:val="0"/>
        <w:widowControl/>
        <w:numPr>
          <w:ilvl w:val="0"/>
          <w:numId w:val="0"/>
        </w:numPr>
        <w:spacing w:before="0" w:after="0" w:line="288" w:lineRule="auto"/>
        <w:ind w:left="0" w:right="0" w:firstLine="0"/>
        <w:jc w:val="center"/>
        <w:outlineLvl w:val="1"/>
        <w:rPr>
          <w:rFonts w:ascii="Times New Roman" w:eastAsia="Times New Roman" w:hAnsi="Times New Roman" w:cs="Times New Roman"/>
          <w:b/>
          <w:i w:val="0"/>
          <w:sz w:val="20"/>
        </w:rPr>
      </w:pPr>
      <w:bookmarkStart w:id="7" w:name="Section8"/>
      <w:bookmarkEnd w:id="7"/>
      <w:r>
        <w:rPr>
          <w:rFonts w:ascii="Times New Roman" w:eastAsia="Times New Roman" w:hAnsi="Times New Roman" w:cs="Times New Roman"/>
          <w:b/>
          <w:i w:val="0"/>
          <w:color w:val="000000"/>
          <w:sz w:val="20"/>
          <w:u w:val="none"/>
        </w:rPr>
        <w:t>HALLIBURTON COMPANY</w:t>
      </w:r>
    </w:p>
    <w:p>
      <w:pPr>
        <w:keepNext w:val="0"/>
        <w:keepLines w:val="0"/>
        <w:pageBreakBefore w:val="0"/>
        <w:widowControl/>
        <w:numPr>
          <w:ilvl w:val="0"/>
          <w:numId w:val="0"/>
        </w:numPr>
        <w:spacing w:before="0" w:after="0" w:line="288" w:lineRule="auto"/>
        <w:ind w:left="0" w:right="0" w:firstLine="0"/>
        <w:jc w:val="center"/>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Condensed Consolidated</w:t>
      </w:r>
      <w:r>
        <w:rPr>
          <w:rFonts w:ascii="Times New Roman" w:eastAsia="Times New Roman" w:hAnsi="Times New Roman" w:cs="Times New Roman"/>
          <w:b/>
          <w:i w:val="0"/>
          <w:color w:val="000000"/>
          <w:sz w:val="20"/>
          <w:u w:val="none"/>
        </w:rPr>
        <w:t xml:space="preserve"> Statements of Cash Flows</w:t>
      </w:r>
    </w:p>
    <w:p>
      <w:pPr>
        <w:keepNext w:val="0"/>
        <w:keepLines w:val="0"/>
        <w:pageBreakBefore w:val="0"/>
        <w:widowControl/>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color w:val="000000"/>
          <w:sz w:val="20"/>
          <w:u w:val="none"/>
        </w:rPr>
        <w:t>(Unaudited)</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7005"/>
        <w:gridCol w:w="1305"/>
        <w:gridCol w:w="130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00"/>
          <w:jc w:val="center"/>
        </w:trPr>
        <w:tc>
          <w:tcPr>
            <w:tcW w:w="7005"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p>
        </w:tc>
        <w:tc>
          <w:tcPr>
            <w:tcW w:w="2610" w:type="dxa"/>
            <w:gridSpan w:val="2"/>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20"/>
                <w:u w:val="none"/>
              </w:rPr>
              <w:t>Three Months Ended</w:t>
            </w:r>
          </w:p>
        </w:tc>
      </w:tr>
      <w:tr>
        <w:tblPrEx>
          <w:tblW w:w="9615" w:type="dxa"/>
          <w:jc w:val="center"/>
          <w:tblLayout w:type="fixed"/>
          <w:tblCellMar>
            <w:left w:w="108" w:type="dxa"/>
            <w:right w:w="108" w:type="dxa"/>
          </w:tblCellMar>
        </w:tblPrEx>
        <w:trPr>
          <w:cantSplit/>
          <w:trHeight w:hRule="exact" w:val="300"/>
          <w:jc w:val="center"/>
        </w:trPr>
        <w:tc>
          <w:tcPr>
            <w:tcW w:w="7005"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p>
        </w:tc>
        <w:tc>
          <w:tcPr>
            <w:tcW w:w="2610" w:type="dxa"/>
            <w:gridSpan w:val="2"/>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20"/>
                <w:u w:val="none"/>
              </w:rPr>
              <w:t xml:space="preserve">March 31, </w:t>
            </w:r>
          </w:p>
        </w:tc>
      </w:tr>
      <w:tr>
        <w:tblPrEx>
          <w:tblW w:w="9615" w:type="dxa"/>
          <w:jc w:val="center"/>
          <w:tblLayout w:type="fixed"/>
          <w:tblCellMar>
            <w:left w:w="108" w:type="dxa"/>
            <w:right w:w="108" w:type="dxa"/>
          </w:tblCellMar>
        </w:tblPrEx>
        <w:trPr>
          <w:cantSplit/>
          <w:trHeight w:hRule="exact" w:val="300"/>
          <w:jc w:val="center"/>
        </w:trPr>
        <w:tc>
          <w:tcPr>
            <w:tcW w:w="70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color w:val="000000"/>
                <w:sz w:val="20"/>
                <w:u w:val="none"/>
              </w:rPr>
              <w:t>Millions of dollars</w:t>
            </w: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2025</w:t>
            </w: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2024</w:t>
            </w:r>
          </w:p>
        </w:tc>
      </w:tr>
      <w:tr>
        <w:tblPrEx>
          <w:tblW w:w="9615" w:type="dxa"/>
          <w:jc w:val="center"/>
          <w:tblLayout w:type="fixed"/>
          <w:tblCellMar>
            <w:left w:w="108" w:type="dxa"/>
            <w:right w:w="108" w:type="dxa"/>
          </w:tblCellMar>
        </w:tblPrEx>
        <w:trPr>
          <w:cantSplit/>
          <w:trHeight w:hRule="exact" w:val="300"/>
          <w:jc w:val="center"/>
        </w:trPr>
        <w:tc>
          <w:tcPr>
            <w:tcW w:w="700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20"/>
                <w:u w:val="none"/>
              </w:rPr>
              <w:t>Cash flows from operating activities:</w:t>
            </w:r>
          </w:p>
        </w:tc>
        <w:tc>
          <w:tcPr>
            <w:tcW w:w="130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Arial" w:eastAsia="Arial" w:hAnsi="Arial" w:cs="Arial"/>
                <w:b/>
                <w:i w:val="0"/>
                <w:color w:val="000000"/>
                <w:sz w:val="18"/>
                <w:u w:val="none"/>
              </w:rPr>
              <w:t> </w:t>
            </w:r>
          </w:p>
        </w:tc>
        <w:tc>
          <w:tcPr>
            <w:tcW w:w="130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20"/>
                <w:u w:val="none"/>
              </w:rPr>
              <w:t> </w:t>
            </w:r>
          </w:p>
        </w:tc>
      </w:tr>
      <w:tr>
        <w:tblPrEx>
          <w:tblW w:w="9615" w:type="dxa"/>
          <w:jc w:val="center"/>
          <w:tblLayout w:type="fixed"/>
          <w:tblCellMar>
            <w:left w:w="108" w:type="dxa"/>
            <w:right w:w="108" w:type="dxa"/>
          </w:tblCellMar>
        </w:tblPrEx>
        <w:trPr>
          <w:cantSplit/>
          <w:trHeight w:hRule="exact" w:val="300"/>
          <w:jc w:val="center"/>
        </w:trPr>
        <w:tc>
          <w:tcPr>
            <w:tcW w:w="70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Net income</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w:t>
              <w:tab/>
              <w:t>203</w:t>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w:t>
              <w:tab/>
              <w:t>609</w:t>
              <w:tab/>
            </w:r>
          </w:p>
        </w:tc>
      </w:tr>
      <w:tr>
        <w:tblPrEx>
          <w:tblW w:w="9615" w:type="dxa"/>
          <w:jc w:val="center"/>
          <w:tblLayout w:type="fixed"/>
          <w:tblCellMar>
            <w:left w:w="108" w:type="dxa"/>
            <w:right w:w="108" w:type="dxa"/>
          </w:tblCellMar>
        </w:tblPrEx>
        <w:trPr>
          <w:cantSplit/>
          <w:trHeight w:hRule="exact" w:val="300"/>
          <w:jc w:val="center"/>
        </w:trPr>
        <w:tc>
          <w:tcPr>
            <w:tcW w:w="70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Adjustments to reconcile net income to cash flows from operating activities:</w:t>
            </w:r>
          </w:p>
        </w:tc>
        <w:tc>
          <w:tcPr>
            <w:tcW w:w="130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30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r>
      <w:tr>
        <w:tblPrEx>
          <w:tblW w:w="9615" w:type="dxa"/>
          <w:jc w:val="center"/>
          <w:tblLayout w:type="fixed"/>
          <w:tblCellMar>
            <w:left w:w="108" w:type="dxa"/>
            <w:right w:w="108" w:type="dxa"/>
          </w:tblCellMar>
        </w:tblPrEx>
        <w:trPr>
          <w:cantSplit/>
          <w:trHeight w:hRule="exact" w:val="300"/>
          <w:jc w:val="center"/>
        </w:trPr>
        <w:tc>
          <w:tcPr>
            <w:tcW w:w="70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ind w:left="180"/>
              <w:jc w:val="left"/>
            </w:pPr>
            <w:r>
              <w:rPr>
                <w:rFonts w:ascii="Times New Roman" w:eastAsia="Times New Roman" w:hAnsi="Times New Roman" w:cs="Times New Roman"/>
                <w:b w:val="0"/>
                <w:i w:val="0"/>
                <w:color w:val="000000"/>
                <w:sz w:val="20"/>
                <w:u w:val="none"/>
              </w:rPr>
              <w:t>Impairments and other charges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ab/>
              <w:t>356</w:t>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72"/>
                <w:tab w:val="left" w:pos="1237"/>
              </w:tabs>
              <w:spacing w:before="75" w:after="30" w:line="240" w:lineRule="auto"/>
              <w:jc w:val="right"/>
            </w:pPr>
            <w:r>
              <w:rPr>
                <w:rFonts w:ascii="Times New Roman" w:eastAsia="Times New Roman" w:hAnsi="Times New Roman" w:cs="Times New Roman"/>
                <w:b w:val="0"/>
                <w:i w:val="0"/>
                <w:color w:val="000000"/>
                <w:sz w:val="20"/>
                <w:u w:val="none"/>
              </w:rPr>
              <w:tab/>
              <w:t>—</w:t>
              <w:tab/>
            </w:r>
          </w:p>
        </w:tc>
      </w:tr>
      <w:tr>
        <w:tblPrEx>
          <w:tblW w:w="9615" w:type="dxa"/>
          <w:jc w:val="center"/>
          <w:tblLayout w:type="fixed"/>
          <w:tblCellMar>
            <w:left w:w="108" w:type="dxa"/>
            <w:right w:w="108" w:type="dxa"/>
          </w:tblCellMar>
        </w:tblPrEx>
        <w:trPr>
          <w:cantSplit/>
          <w:trHeight w:hRule="exact" w:val="300"/>
          <w:jc w:val="center"/>
        </w:trPr>
        <w:tc>
          <w:tcPr>
            <w:tcW w:w="70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ind w:left="180"/>
              <w:jc w:val="left"/>
            </w:pPr>
            <w:r>
              <w:rPr>
                <w:rFonts w:ascii="Times New Roman" w:eastAsia="Times New Roman" w:hAnsi="Times New Roman" w:cs="Times New Roman"/>
                <w:b w:val="0"/>
                <w:i w:val="0"/>
                <w:color w:val="000000"/>
                <w:sz w:val="20"/>
                <w:u w:val="none"/>
              </w:rPr>
              <w:t>Depreciation, depletion, and amortization</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ab/>
              <w:t>277</w:t>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ab/>
              <w:t>263</w:t>
              <w:tab/>
            </w:r>
          </w:p>
        </w:tc>
      </w:tr>
      <w:tr>
        <w:tblPrEx>
          <w:tblW w:w="9615" w:type="dxa"/>
          <w:jc w:val="center"/>
          <w:tblLayout w:type="fixed"/>
          <w:tblCellMar>
            <w:left w:w="108" w:type="dxa"/>
            <w:right w:w="108" w:type="dxa"/>
          </w:tblCellMar>
        </w:tblPrEx>
        <w:trPr>
          <w:cantSplit/>
          <w:trHeight w:hRule="exact" w:val="300"/>
          <w:jc w:val="center"/>
        </w:trPr>
        <w:tc>
          <w:tcPr>
            <w:tcW w:w="70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Changes in assets and liabilities: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spacing w:before="75" w:after="30" w:line="240" w:lineRule="auto"/>
              <w:jc w:val="righ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spacing w:before="75" w:after="30" w:line="240" w:lineRule="auto"/>
              <w:jc w:val="right"/>
            </w:pPr>
          </w:p>
        </w:tc>
      </w:tr>
      <w:tr>
        <w:tblPrEx>
          <w:tblW w:w="9615" w:type="dxa"/>
          <w:jc w:val="center"/>
          <w:tblLayout w:type="fixed"/>
          <w:tblCellMar>
            <w:left w:w="108" w:type="dxa"/>
            <w:right w:w="108" w:type="dxa"/>
          </w:tblCellMar>
        </w:tblPrEx>
        <w:trPr>
          <w:cantSplit/>
          <w:trHeight w:hRule="exact" w:val="300"/>
          <w:jc w:val="center"/>
        </w:trPr>
        <w:tc>
          <w:tcPr>
            <w:tcW w:w="70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ind w:left="240"/>
              <w:jc w:val="left"/>
            </w:pPr>
            <w:r>
              <w:rPr>
                <w:rFonts w:ascii="Times New Roman" w:eastAsia="Times New Roman" w:hAnsi="Times New Roman" w:cs="Times New Roman"/>
                <w:b w:val="0"/>
                <w:i w:val="0"/>
                <w:color w:val="000000"/>
                <w:sz w:val="20"/>
                <w:u w:val="none"/>
              </w:rPr>
              <w:t>Receivables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86"/>
              </w:tabs>
              <w:spacing w:before="75" w:after="30" w:line="240" w:lineRule="auto"/>
              <w:jc w:val="right"/>
            </w:pPr>
            <w:r>
              <w:rPr>
                <w:rFonts w:ascii="Times New Roman" w:eastAsia="Times New Roman" w:hAnsi="Times New Roman" w:cs="Times New Roman"/>
                <w:b w:val="0"/>
                <w:i w:val="0"/>
                <w:color w:val="000000"/>
                <w:sz w:val="20"/>
                <w:u w:val="none"/>
              </w:rPr>
              <w:tab/>
              <w:t>(86)</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86"/>
              </w:tabs>
              <w:spacing w:before="75" w:after="30" w:line="240" w:lineRule="auto"/>
              <w:jc w:val="right"/>
            </w:pPr>
            <w:r>
              <w:rPr>
                <w:rFonts w:ascii="Times New Roman" w:eastAsia="Times New Roman" w:hAnsi="Times New Roman" w:cs="Times New Roman"/>
                <w:b w:val="0"/>
                <w:i w:val="0"/>
                <w:color w:val="000000"/>
                <w:sz w:val="20"/>
                <w:u w:val="none"/>
              </w:rPr>
              <w:tab/>
              <w:t>(268)</w:t>
            </w:r>
          </w:p>
        </w:tc>
      </w:tr>
      <w:tr>
        <w:tblPrEx>
          <w:tblW w:w="9615" w:type="dxa"/>
          <w:jc w:val="center"/>
          <w:tblLayout w:type="fixed"/>
          <w:tblCellMar>
            <w:left w:w="108" w:type="dxa"/>
            <w:right w:w="108" w:type="dxa"/>
          </w:tblCellMar>
        </w:tblPrEx>
        <w:trPr>
          <w:cantSplit/>
          <w:trHeight w:hRule="exact" w:val="300"/>
          <w:jc w:val="center"/>
        </w:trPr>
        <w:tc>
          <w:tcPr>
            <w:tcW w:w="70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ind w:left="240"/>
              <w:jc w:val="left"/>
            </w:pPr>
            <w:r>
              <w:rPr>
                <w:rFonts w:ascii="Times New Roman" w:eastAsia="Times New Roman" w:hAnsi="Times New Roman" w:cs="Times New Roman"/>
                <w:b w:val="0"/>
                <w:i w:val="0"/>
                <w:color w:val="000000"/>
                <w:sz w:val="20"/>
                <w:u w:val="none"/>
              </w:rPr>
              <w:t>Accounts payable</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86"/>
              </w:tabs>
              <w:spacing w:before="75" w:after="30" w:line="240" w:lineRule="auto"/>
              <w:jc w:val="right"/>
            </w:pPr>
            <w:r>
              <w:rPr>
                <w:rFonts w:ascii="Times New Roman" w:eastAsia="Times New Roman" w:hAnsi="Times New Roman" w:cs="Times New Roman"/>
                <w:b w:val="0"/>
                <w:i w:val="0"/>
                <w:color w:val="000000"/>
                <w:sz w:val="20"/>
                <w:u w:val="none"/>
              </w:rPr>
              <w:tab/>
              <w:t>(64)</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86"/>
              </w:tabs>
              <w:spacing w:before="75" w:after="30" w:line="240" w:lineRule="auto"/>
              <w:jc w:val="right"/>
            </w:pPr>
            <w:r>
              <w:rPr>
                <w:rFonts w:ascii="Times New Roman" w:eastAsia="Times New Roman" w:hAnsi="Times New Roman" w:cs="Times New Roman"/>
                <w:b w:val="0"/>
                <w:i w:val="0"/>
                <w:color w:val="000000"/>
                <w:sz w:val="20"/>
                <w:u w:val="none"/>
              </w:rPr>
              <w:tab/>
              <w:t>(41)</w:t>
            </w:r>
          </w:p>
        </w:tc>
      </w:tr>
      <w:tr>
        <w:tblPrEx>
          <w:tblW w:w="9615" w:type="dxa"/>
          <w:jc w:val="center"/>
          <w:tblLayout w:type="fixed"/>
          <w:tblCellMar>
            <w:left w:w="108" w:type="dxa"/>
            <w:right w:w="108" w:type="dxa"/>
          </w:tblCellMar>
        </w:tblPrEx>
        <w:trPr>
          <w:cantSplit/>
          <w:trHeight w:hRule="exact" w:val="300"/>
          <w:jc w:val="center"/>
        </w:trPr>
        <w:tc>
          <w:tcPr>
            <w:tcW w:w="70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ind w:left="240"/>
              <w:jc w:val="left"/>
            </w:pPr>
            <w:r>
              <w:rPr>
                <w:rFonts w:ascii="Times New Roman" w:eastAsia="Times New Roman" w:hAnsi="Times New Roman" w:cs="Times New Roman"/>
                <w:b w:val="0"/>
                <w:i w:val="0"/>
                <w:color w:val="000000"/>
                <w:sz w:val="20"/>
                <w:u w:val="none"/>
              </w:rPr>
              <w:t>Inventories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86"/>
              </w:tabs>
              <w:spacing w:before="75" w:after="30" w:line="240" w:lineRule="auto"/>
              <w:jc w:val="right"/>
            </w:pPr>
            <w:r>
              <w:rPr>
                <w:rFonts w:ascii="Times New Roman" w:eastAsia="Times New Roman" w:hAnsi="Times New Roman" w:cs="Times New Roman"/>
                <w:b w:val="0"/>
                <w:i w:val="0"/>
                <w:color w:val="000000"/>
                <w:sz w:val="20"/>
                <w:u w:val="none"/>
              </w:rPr>
              <w:tab/>
              <w:t>(4)</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86"/>
              </w:tabs>
              <w:spacing w:before="75" w:after="30" w:line="240" w:lineRule="auto"/>
              <w:jc w:val="right"/>
            </w:pPr>
            <w:r>
              <w:rPr>
                <w:rFonts w:ascii="Times New Roman" w:eastAsia="Times New Roman" w:hAnsi="Times New Roman" w:cs="Times New Roman"/>
                <w:b w:val="0"/>
                <w:i w:val="0"/>
                <w:color w:val="000000"/>
                <w:sz w:val="20"/>
                <w:u w:val="none"/>
              </w:rPr>
              <w:tab/>
              <w:t>(32)</w:t>
            </w:r>
          </w:p>
        </w:tc>
      </w:tr>
      <w:tr>
        <w:tblPrEx>
          <w:tblW w:w="9615" w:type="dxa"/>
          <w:jc w:val="center"/>
          <w:tblLayout w:type="fixed"/>
          <w:tblCellMar>
            <w:left w:w="108" w:type="dxa"/>
            <w:right w:w="108" w:type="dxa"/>
          </w:tblCellMar>
        </w:tblPrEx>
        <w:trPr>
          <w:cantSplit/>
          <w:trHeight w:hRule="exact" w:val="300"/>
          <w:jc w:val="center"/>
        </w:trPr>
        <w:tc>
          <w:tcPr>
            <w:tcW w:w="700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Other operating activities</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86"/>
              </w:tabs>
              <w:spacing w:before="75" w:after="30" w:line="240" w:lineRule="auto"/>
              <w:jc w:val="right"/>
            </w:pPr>
            <w:r>
              <w:rPr>
                <w:rFonts w:ascii="Times New Roman" w:eastAsia="Times New Roman" w:hAnsi="Times New Roman" w:cs="Times New Roman"/>
                <w:b w:val="0"/>
                <w:i w:val="0"/>
                <w:color w:val="000000"/>
                <w:sz w:val="20"/>
                <w:u w:val="none"/>
              </w:rPr>
              <w:tab/>
              <w:t>(305)</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86"/>
              </w:tabs>
              <w:spacing w:before="75" w:after="30" w:line="240" w:lineRule="auto"/>
              <w:jc w:val="right"/>
            </w:pPr>
            <w:r>
              <w:rPr>
                <w:rFonts w:ascii="Times New Roman" w:eastAsia="Times New Roman" w:hAnsi="Times New Roman" w:cs="Times New Roman"/>
                <w:b w:val="0"/>
                <w:i w:val="0"/>
                <w:color w:val="000000"/>
                <w:sz w:val="20"/>
                <w:u w:val="none"/>
              </w:rPr>
              <w:tab/>
              <w:t>(44)</w:t>
            </w:r>
          </w:p>
        </w:tc>
      </w:tr>
      <w:tr>
        <w:tblPrEx>
          <w:tblW w:w="9615" w:type="dxa"/>
          <w:jc w:val="center"/>
          <w:tblLayout w:type="fixed"/>
          <w:tblCellMar>
            <w:left w:w="108" w:type="dxa"/>
            <w:right w:w="108" w:type="dxa"/>
          </w:tblCellMar>
        </w:tblPrEx>
        <w:trPr>
          <w:cantSplit/>
          <w:trHeight w:hRule="exact" w:val="300"/>
          <w:jc w:val="center"/>
        </w:trPr>
        <w:tc>
          <w:tcPr>
            <w:tcW w:w="7005" w:type="dxa"/>
            <w:tcBorders>
              <w:top w:val="single" w:sz="8" w:space="0" w:color="000000"/>
              <w:left w:val="nil"/>
              <w:bottom w:val="single" w:sz="8" w:space="0" w:color="000000"/>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20"/>
                <w:u w:val="none"/>
              </w:rPr>
              <w:t>Total cash flows provided by operating activities</w:t>
            </w: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72"/>
                <w:tab w:val="left" w:pos="1237"/>
              </w:tabs>
              <w:spacing w:before="55" w:after="30" w:line="240" w:lineRule="auto"/>
              <w:jc w:val="right"/>
            </w:pPr>
            <w:r>
              <w:rPr>
                <w:rFonts w:ascii="Times New Roman" w:eastAsia="Times New Roman" w:hAnsi="Times New Roman" w:cs="Times New Roman"/>
                <w:b w:val="0"/>
                <w:i w:val="0"/>
                <w:color w:val="000000"/>
                <w:sz w:val="20"/>
                <w:u w:val="none"/>
              </w:rPr>
              <w:tab/>
              <w:t>377</w:t>
              <w:tab/>
            </w: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72"/>
                <w:tab w:val="left" w:pos="1237"/>
              </w:tabs>
              <w:spacing w:before="55" w:after="30" w:line="240" w:lineRule="auto"/>
              <w:jc w:val="right"/>
            </w:pPr>
            <w:r>
              <w:rPr>
                <w:rFonts w:ascii="Times New Roman" w:eastAsia="Times New Roman" w:hAnsi="Times New Roman" w:cs="Times New Roman"/>
                <w:b w:val="0"/>
                <w:i w:val="0"/>
                <w:color w:val="000000"/>
                <w:sz w:val="20"/>
                <w:u w:val="none"/>
              </w:rPr>
              <w:tab/>
              <w:t>487</w:t>
              <w:tab/>
            </w:r>
          </w:p>
        </w:tc>
      </w:tr>
      <w:tr>
        <w:tblPrEx>
          <w:tblW w:w="9615" w:type="dxa"/>
          <w:jc w:val="center"/>
          <w:tblLayout w:type="fixed"/>
          <w:tblCellMar>
            <w:left w:w="108" w:type="dxa"/>
            <w:right w:w="108" w:type="dxa"/>
          </w:tblCellMar>
        </w:tblPrEx>
        <w:trPr>
          <w:cantSplit/>
          <w:trHeight w:hRule="exact" w:val="300"/>
          <w:jc w:val="center"/>
        </w:trPr>
        <w:tc>
          <w:tcPr>
            <w:tcW w:w="7005"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20"/>
                <w:u w:val="none"/>
              </w:rPr>
              <w:t>Cash flows from investing activities:</w:t>
            </w:r>
          </w:p>
        </w:tc>
        <w:tc>
          <w:tcPr>
            <w:tcW w:w="1305" w:type="dxa"/>
            <w:tcBorders>
              <w:top w:val="single" w:sz="8" w:space="0" w:color="000000"/>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p>
        </w:tc>
        <w:tc>
          <w:tcPr>
            <w:tcW w:w="1305" w:type="dxa"/>
            <w:tcBorders>
              <w:top w:val="single" w:sz="8" w:space="0" w:color="000000"/>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r>
              <w:rPr>
                <w:rFonts w:ascii="Times New Roman" w:eastAsia="Times New Roman" w:hAnsi="Times New Roman" w:cs="Times New Roman"/>
                <w:b w:val="0"/>
                <w:i w:val="0"/>
                <w:color w:val="000000"/>
                <w:sz w:val="20"/>
                <w:u w:val="none"/>
              </w:rPr>
              <w:t> </w:t>
            </w:r>
          </w:p>
        </w:tc>
      </w:tr>
      <w:tr>
        <w:tblPrEx>
          <w:tblW w:w="9615" w:type="dxa"/>
          <w:jc w:val="center"/>
          <w:tblLayout w:type="fixed"/>
          <w:tblCellMar>
            <w:left w:w="108" w:type="dxa"/>
            <w:right w:w="108" w:type="dxa"/>
          </w:tblCellMar>
        </w:tblPrEx>
        <w:trPr>
          <w:cantSplit/>
          <w:trHeight w:hRule="exact" w:val="300"/>
          <w:jc w:val="center"/>
        </w:trPr>
        <w:tc>
          <w:tcPr>
            <w:tcW w:w="70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Capital expenditures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86"/>
              </w:tabs>
              <w:spacing w:before="75" w:after="30" w:line="240" w:lineRule="auto"/>
              <w:jc w:val="right"/>
            </w:pPr>
            <w:r>
              <w:rPr>
                <w:rFonts w:ascii="Times New Roman" w:eastAsia="Times New Roman" w:hAnsi="Times New Roman" w:cs="Times New Roman"/>
                <w:b w:val="0"/>
                <w:i w:val="0"/>
                <w:color w:val="000000"/>
                <w:sz w:val="20"/>
                <w:u w:val="none"/>
              </w:rPr>
              <w:tab/>
              <w:t>(302)</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86"/>
              </w:tabs>
              <w:spacing w:before="75" w:after="30" w:line="240" w:lineRule="auto"/>
              <w:jc w:val="right"/>
            </w:pPr>
            <w:r>
              <w:rPr>
                <w:rFonts w:ascii="Times New Roman" w:eastAsia="Times New Roman" w:hAnsi="Times New Roman" w:cs="Times New Roman"/>
                <w:b w:val="0"/>
                <w:i w:val="0"/>
                <w:color w:val="000000"/>
                <w:sz w:val="20"/>
                <w:u w:val="none"/>
              </w:rPr>
              <w:tab/>
              <w:t>(330)</w:t>
            </w:r>
          </w:p>
        </w:tc>
      </w:tr>
      <w:tr>
        <w:tblPrEx>
          <w:tblW w:w="9615" w:type="dxa"/>
          <w:jc w:val="center"/>
          <w:tblLayout w:type="fixed"/>
          <w:tblCellMar>
            <w:left w:w="108" w:type="dxa"/>
            <w:right w:w="108" w:type="dxa"/>
          </w:tblCellMar>
        </w:tblPrEx>
        <w:trPr>
          <w:cantSplit/>
          <w:trHeight w:hRule="exact" w:val="300"/>
          <w:jc w:val="center"/>
        </w:trPr>
        <w:tc>
          <w:tcPr>
            <w:tcW w:w="70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Purchases of investment securities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86"/>
              </w:tabs>
              <w:spacing w:before="75" w:after="30" w:line="240" w:lineRule="auto"/>
              <w:jc w:val="right"/>
            </w:pPr>
            <w:r>
              <w:rPr>
                <w:rFonts w:ascii="Times New Roman" w:eastAsia="Times New Roman" w:hAnsi="Times New Roman" w:cs="Times New Roman"/>
                <w:b w:val="0"/>
                <w:i w:val="0"/>
                <w:color w:val="000000"/>
                <w:sz w:val="20"/>
                <w:u w:val="none"/>
              </w:rPr>
              <w:tab/>
              <w:t>(96)</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86"/>
              </w:tabs>
              <w:spacing w:before="75" w:after="30" w:line="240" w:lineRule="auto"/>
              <w:jc w:val="right"/>
            </w:pPr>
            <w:r>
              <w:rPr>
                <w:rFonts w:ascii="Times New Roman" w:eastAsia="Times New Roman" w:hAnsi="Times New Roman" w:cs="Times New Roman"/>
                <w:b w:val="0"/>
                <w:i w:val="0"/>
                <w:color w:val="000000"/>
                <w:sz w:val="20"/>
                <w:u w:val="none"/>
              </w:rPr>
              <w:tab/>
              <w:t>(88)</w:t>
            </w:r>
          </w:p>
        </w:tc>
      </w:tr>
      <w:tr>
        <w:tblPrEx>
          <w:tblW w:w="9615" w:type="dxa"/>
          <w:jc w:val="center"/>
          <w:tblLayout w:type="fixed"/>
          <w:tblCellMar>
            <w:left w:w="108" w:type="dxa"/>
            <w:right w:w="108" w:type="dxa"/>
          </w:tblCellMar>
        </w:tblPrEx>
        <w:trPr>
          <w:cantSplit/>
          <w:trHeight w:hRule="exact" w:val="300"/>
          <w:jc w:val="center"/>
        </w:trPr>
        <w:tc>
          <w:tcPr>
            <w:tcW w:w="70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Proceeds from sales of property, plant, and equipment</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72"/>
                <w:tab w:val="left" w:pos="1237"/>
              </w:tabs>
              <w:spacing w:before="75" w:after="30" w:line="240" w:lineRule="auto"/>
              <w:jc w:val="right"/>
            </w:pPr>
            <w:r>
              <w:rPr>
                <w:rFonts w:ascii="Times New Roman" w:eastAsia="Times New Roman" w:hAnsi="Times New Roman" w:cs="Times New Roman"/>
                <w:b w:val="0"/>
                <w:i w:val="0"/>
                <w:color w:val="000000"/>
                <w:sz w:val="20"/>
                <w:u w:val="none"/>
              </w:rPr>
              <w:tab/>
              <w:t>49</w:t>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72"/>
                <w:tab w:val="left" w:pos="1237"/>
              </w:tabs>
              <w:spacing w:before="75" w:after="30" w:line="240" w:lineRule="auto"/>
              <w:jc w:val="right"/>
            </w:pPr>
            <w:r>
              <w:rPr>
                <w:rFonts w:ascii="Times New Roman" w:eastAsia="Times New Roman" w:hAnsi="Times New Roman" w:cs="Times New Roman"/>
                <w:b w:val="0"/>
                <w:i w:val="0"/>
                <w:color w:val="000000"/>
                <w:sz w:val="20"/>
                <w:u w:val="none"/>
              </w:rPr>
              <w:tab/>
              <w:t>49</w:t>
              <w:tab/>
            </w:r>
          </w:p>
        </w:tc>
      </w:tr>
      <w:tr>
        <w:tblPrEx>
          <w:tblW w:w="9615" w:type="dxa"/>
          <w:jc w:val="center"/>
          <w:tblLayout w:type="fixed"/>
          <w:tblCellMar>
            <w:left w:w="108" w:type="dxa"/>
            <w:right w:w="108" w:type="dxa"/>
          </w:tblCellMar>
        </w:tblPrEx>
        <w:trPr>
          <w:cantSplit/>
          <w:trHeight w:hRule="exact" w:val="300"/>
          <w:jc w:val="center"/>
        </w:trPr>
        <w:tc>
          <w:tcPr>
            <w:tcW w:w="7005" w:type="dxa"/>
            <w:tcBorders>
              <w:top w:val="nil"/>
              <w:left w:val="nil"/>
              <w:bottom w:val="nil"/>
              <w:right w:val="nil"/>
            </w:tcBorders>
            <w:shd w:val="clear" w:color="auto" w:fill="FFFFFF"/>
            <w:tcMar>
              <w:top w:w="0" w:type="dxa"/>
              <w:left w:w="53" w:type="dxa"/>
              <w:bottom w:w="0" w:type="dxa"/>
              <w:right w:w="53" w:type="dxa"/>
            </w:tcMar>
            <w:vAlign w:val="top"/>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Sales of investment securities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72"/>
                <w:tab w:val="left" w:pos="1237"/>
              </w:tabs>
              <w:spacing w:before="75" w:after="30" w:line="240" w:lineRule="auto"/>
              <w:jc w:val="right"/>
            </w:pPr>
            <w:r>
              <w:rPr>
                <w:rFonts w:ascii="Times New Roman" w:eastAsia="Times New Roman" w:hAnsi="Times New Roman" w:cs="Times New Roman"/>
                <w:b w:val="0"/>
                <w:i w:val="0"/>
                <w:color w:val="000000"/>
                <w:sz w:val="20"/>
                <w:u w:val="none"/>
              </w:rPr>
              <w:tab/>
              <w:t>41</w:t>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72"/>
                <w:tab w:val="left" w:pos="1237"/>
              </w:tabs>
              <w:spacing w:before="75" w:after="30" w:line="240" w:lineRule="auto"/>
              <w:jc w:val="right"/>
            </w:pPr>
            <w:r>
              <w:rPr>
                <w:rFonts w:ascii="Times New Roman" w:eastAsia="Times New Roman" w:hAnsi="Times New Roman" w:cs="Times New Roman"/>
                <w:b w:val="0"/>
                <w:i w:val="0"/>
                <w:color w:val="000000"/>
                <w:sz w:val="20"/>
                <w:u w:val="none"/>
              </w:rPr>
              <w:tab/>
              <w:t>—</w:t>
              <w:tab/>
            </w:r>
          </w:p>
        </w:tc>
      </w:tr>
      <w:tr>
        <w:tblPrEx>
          <w:tblW w:w="9615" w:type="dxa"/>
          <w:jc w:val="center"/>
          <w:tblLayout w:type="fixed"/>
          <w:tblCellMar>
            <w:left w:w="108" w:type="dxa"/>
            <w:right w:w="108" w:type="dxa"/>
          </w:tblCellMar>
        </w:tblPrEx>
        <w:trPr>
          <w:cantSplit/>
          <w:trHeight w:hRule="exact" w:val="300"/>
          <w:jc w:val="center"/>
        </w:trPr>
        <w:tc>
          <w:tcPr>
            <w:tcW w:w="70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Purchase of an equity investment</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92"/>
                <w:tab w:val="left" w:pos="1237"/>
              </w:tabs>
              <w:spacing w:before="75" w:after="30" w:line="240" w:lineRule="auto"/>
              <w:jc w:val="right"/>
            </w:pPr>
            <w:r>
              <w:rPr>
                <w:rFonts w:ascii="Arial" w:eastAsia="Arial" w:hAnsi="Arial" w:cs="Arial"/>
                <w:b w:val="0"/>
                <w:i w:val="0"/>
                <w:color w:val="000000"/>
                <w:sz w:val="18"/>
                <w:u w:val="none"/>
              </w:rPr>
              <w:tab/>
              <w:t>(345)</w:t>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92"/>
                <w:tab w:val="left" w:pos="1237"/>
              </w:tabs>
              <w:spacing w:before="75" w:after="30" w:line="240" w:lineRule="auto"/>
              <w:jc w:val="right"/>
            </w:pPr>
            <w:r>
              <w:rPr>
                <w:rFonts w:ascii="Arial" w:eastAsia="Arial" w:hAnsi="Arial" w:cs="Arial"/>
                <w:b w:val="0"/>
                <w:i w:val="0"/>
                <w:color w:val="000000"/>
                <w:sz w:val="18"/>
                <w:u w:val="none"/>
              </w:rPr>
              <w:tab/>
              <w:t>—</w:t>
              <w:tab/>
            </w:r>
          </w:p>
        </w:tc>
      </w:tr>
      <w:tr>
        <w:tblPrEx>
          <w:tblW w:w="9615" w:type="dxa"/>
          <w:jc w:val="center"/>
          <w:tblLayout w:type="fixed"/>
          <w:tblCellMar>
            <w:left w:w="108" w:type="dxa"/>
            <w:right w:w="108" w:type="dxa"/>
          </w:tblCellMar>
        </w:tblPrEx>
        <w:trPr>
          <w:cantSplit/>
          <w:trHeight w:hRule="exact" w:val="300"/>
          <w:jc w:val="center"/>
        </w:trPr>
        <w:tc>
          <w:tcPr>
            <w:tcW w:w="70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Payments to acquire businesses, net of cash acquired</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92"/>
                <w:tab w:val="left" w:pos="1237"/>
              </w:tabs>
              <w:spacing w:before="75" w:after="30" w:line="240" w:lineRule="auto"/>
              <w:jc w:val="right"/>
            </w:pPr>
            <w:r>
              <w:rPr>
                <w:rFonts w:ascii="Arial" w:eastAsia="Arial" w:hAnsi="Arial" w:cs="Arial"/>
                <w:b w:val="0"/>
                <w:i w:val="0"/>
                <w:color w:val="000000"/>
                <w:sz w:val="18"/>
                <w:u w:val="none"/>
              </w:rPr>
              <w:tab/>
              <w:t>(116)</w:t>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92"/>
                <w:tab w:val="left" w:pos="1237"/>
              </w:tabs>
              <w:spacing w:before="75" w:after="30" w:line="240" w:lineRule="auto"/>
              <w:jc w:val="right"/>
            </w:pPr>
            <w:r>
              <w:rPr>
                <w:rFonts w:ascii="Arial" w:eastAsia="Arial" w:hAnsi="Arial" w:cs="Arial"/>
                <w:b w:val="0"/>
                <w:i w:val="0"/>
                <w:color w:val="000000"/>
                <w:sz w:val="18"/>
                <w:u w:val="none"/>
              </w:rPr>
              <w:tab/>
              <w:t>—</w:t>
              <w:tab/>
            </w:r>
          </w:p>
        </w:tc>
      </w:tr>
      <w:tr>
        <w:tblPrEx>
          <w:tblW w:w="9615" w:type="dxa"/>
          <w:jc w:val="center"/>
          <w:tblLayout w:type="fixed"/>
          <w:tblCellMar>
            <w:left w:w="108" w:type="dxa"/>
            <w:right w:w="108" w:type="dxa"/>
          </w:tblCellMar>
        </w:tblPrEx>
        <w:trPr>
          <w:cantSplit/>
          <w:trHeight w:hRule="exact" w:val="300"/>
          <w:jc w:val="center"/>
        </w:trPr>
        <w:tc>
          <w:tcPr>
            <w:tcW w:w="7005"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Other investing activities</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86"/>
              </w:tabs>
              <w:spacing w:before="75" w:after="30" w:line="240" w:lineRule="auto"/>
              <w:jc w:val="right"/>
            </w:pPr>
            <w:r>
              <w:rPr>
                <w:rFonts w:ascii="Times New Roman" w:eastAsia="Times New Roman" w:hAnsi="Times New Roman" w:cs="Times New Roman"/>
                <w:b w:val="0"/>
                <w:i w:val="0"/>
                <w:color w:val="000000"/>
                <w:sz w:val="20"/>
                <w:u w:val="none"/>
              </w:rPr>
              <w:tab/>
              <w:t>(15)</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86"/>
              </w:tabs>
              <w:spacing w:before="75" w:after="30" w:line="240" w:lineRule="auto"/>
              <w:jc w:val="right"/>
            </w:pPr>
            <w:r>
              <w:rPr>
                <w:rFonts w:ascii="Times New Roman" w:eastAsia="Times New Roman" w:hAnsi="Times New Roman" w:cs="Times New Roman"/>
                <w:b w:val="0"/>
                <w:i w:val="0"/>
                <w:color w:val="000000"/>
                <w:sz w:val="20"/>
                <w:u w:val="none"/>
              </w:rPr>
              <w:tab/>
              <w:t>(12)</w:t>
            </w:r>
          </w:p>
        </w:tc>
      </w:tr>
      <w:tr>
        <w:tblPrEx>
          <w:tblW w:w="9615" w:type="dxa"/>
          <w:jc w:val="center"/>
          <w:tblLayout w:type="fixed"/>
          <w:tblCellMar>
            <w:left w:w="108" w:type="dxa"/>
            <w:right w:w="108" w:type="dxa"/>
          </w:tblCellMar>
        </w:tblPrEx>
        <w:trPr>
          <w:cantSplit/>
          <w:trHeight w:hRule="exact" w:val="300"/>
          <w:jc w:val="center"/>
        </w:trPr>
        <w:tc>
          <w:tcPr>
            <w:tcW w:w="700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20"/>
                <w:u w:val="none"/>
              </w:rPr>
              <w:t>Total cash flows used in investing activities</w:t>
            </w: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86"/>
              </w:tabs>
              <w:spacing w:before="55" w:after="30" w:line="240" w:lineRule="auto"/>
              <w:jc w:val="right"/>
            </w:pPr>
            <w:r>
              <w:rPr>
                <w:rFonts w:ascii="Times New Roman" w:eastAsia="Times New Roman" w:hAnsi="Times New Roman" w:cs="Times New Roman"/>
                <w:b w:val="0"/>
                <w:i w:val="0"/>
                <w:color w:val="000000"/>
                <w:sz w:val="20"/>
                <w:u w:val="none"/>
              </w:rPr>
              <w:tab/>
              <w:t>(784)</w:t>
            </w: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86"/>
              </w:tabs>
              <w:spacing w:before="55" w:after="30" w:line="240" w:lineRule="auto"/>
              <w:jc w:val="right"/>
            </w:pPr>
            <w:r>
              <w:rPr>
                <w:rFonts w:ascii="Times New Roman" w:eastAsia="Times New Roman" w:hAnsi="Times New Roman" w:cs="Times New Roman"/>
                <w:b w:val="0"/>
                <w:i w:val="0"/>
                <w:color w:val="000000"/>
                <w:sz w:val="20"/>
                <w:u w:val="none"/>
              </w:rPr>
              <w:tab/>
              <w:t>(381)</w:t>
            </w:r>
          </w:p>
        </w:tc>
      </w:tr>
      <w:tr>
        <w:tblPrEx>
          <w:tblW w:w="9615" w:type="dxa"/>
          <w:jc w:val="center"/>
          <w:tblLayout w:type="fixed"/>
          <w:tblCellMar>
            <w:left w:w="108" w:type="dxa"/>
            <w:right w:w="108" w:type="dxa"/>
          </w:tblCellMar>
        </w:tblPrEx>
        <w:trPr>
          <w:cantSplit/>
          <w:trHeight w:hRule="exact" w:val="300"/>
          <w:jc w:val="center"/>
        </w:trPr>
        <w:tc>
          <w:tcPr>
            <w:tcW w:w="700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20"/>
                <w:u w:val="none"/>
              </w:rPr>
              <w:t>Cash flows from financing activities:</w:t>
            </w:r>
          </w:p>
        </w:tc>
        <w:tc>
          <w:tcPr>
            <w:tcW w:w="1305" w:type="dxa"/>
            <w:tcBorders>
              <w:top w:val="single" w:sz="8" w:space="0" w:color="000000"/>
              <w:left w:val="nil"/>
              <w:bottom w:val="nil"/>
              <w:right w:val="nil"/>
            </w:tcBorders>
            <w:shd w:val="clear" w:color="auto" w:fill="CCEEFF"/>
            <w:tcMar>
              <w:top w:w="0" w:type="dxa"/>
              <w:left w:w="0" w:type="dxa"/>
              <w:bottom w:w="0" w:type="dxa"/>
              <w:right w:w="53" w:type="dxa"/>
            </w:tcMar>
            <w:vAlign w:val="bottom"/>
          </w:tcPr>
          <w:p>
            <w:pPr>
              <w:keepNext/>
              <w:pageBreakBefore w:val="0"/>
              <w:spacing w:before="55" w:after="30" w:line="240" w:lineRule="auto"/>
              <w:jc w:val="right"/>
            </w:pPr>
          </w:p>
        </w:tc>
        <w:tc>
          <w:tcPr>
            <w:tcW w:w="1305" w:type="dxa"/>
            <w:tcBorders>
              <w:top w:val="single" w:sz="8" w:space="0" w:color="000000"/>
              <w:left w:val="nil"/>
              <w:bottom w:val="nil"/>
              <w:right w:val="nil"/>
            </w:tcBorders>
            <w:shd w:val="clear" w:color="auto" w:fill="CCEEFF"/>
            <w:tcMar>
              <w:top w:w="0" w:type="dxa"/>
              <w:left w:w="0" w:type="dxa"/>
              <w:bottom w:w="0" w:type="dxa"/>
              <w:right w:w="53" w:type="dxa"/>
            </w:tcMar>
            <w:vAlign w:val="bottom"/>
          </w:tcPr>
          <w:p>
            <w:pPr>
              <w:keepNext/>
              <w:pageBreakBefore w:val="0"/>
              <w:spacing w:before="55" w:after="30" w:line="240" w:lineRule="auto"/>
              <w:jc w:val="right"/>
            </w:pPr>
            <w:r>
              <w:rPr>
                <w:rFonts w:ascii="Times New Roman" w:eastAsia="Times New Roman" w:hAnsi="Times New Roman" w:cs="Times New Roman"/>
                <w:b w:val="0"/>
                <w:i w:val="0"/>
                <w:color w:val="000000"/>
                <w:sz w:val="20"/>
                <w:u w:val="none"/>
              </w:rPr>
              <w:t> </w:t>
            </w:r>
          </w:p>
        </w:tc>
      </w:tr>
      <w:tr>
        <w:tblPrEx>
          <w:tblW w:w="9615" w:type="dxa"/>
          <w:jc w:val="center"/>
          <w:tblLayout w:type="fixed"/>
          <w:tblCellMar>
            <w:left w:w="108" w:type="dxa"/>
            <w:right w:w="108" w:type="dxa"/>
          </w:tblCellMar>
        </w:tblPrEx>
        <w:trPr>
          <w:cantSplit/>
          <w:trHeight w:hRule="exact" w:val="300"/>
          <w:jc w:val="center"/>
        </w:trPr>
        <w:tc>
          <w:tcPr>
            <w:tcW w:w="70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Stock repurchase program</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86"/>
              </w:tabs>
              <w:spacing w:before="75" w:after="30" w:line="240" w:lineRule="auto"/>
              <w:jc w:val="right"/>
            </w:pPr>
            <w:r>
              <w:rPr>
                <w:rFonts w:ascii="Times New Roman" w:eastAsia="Times New Roman" w:hAnsi="Times New Roman" w:cs="Times New Roman"/>
                <w:b w:val="0"/>
                <w:i w:val="0"/>
                <w:color w:val="000000"/>
                <w:sz w:val="20"/>
                <w:u w:val="none"/>
              </w:rPr>
              <w:tab/>
              <w:t>(250)</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86"/>
              </w:tabs>
              <w:spacing w:before="75" w:after="30" w:line="240" w:lineRule="auto"/>
              <w:jc w:val="right"/>
            </w:pPr>
            <w:r>
              <w:rPr>
                <w:rFonts w:ascii="Times New Roman" w:eastAsia="Times New Roman" w:hAnsi="Times New Roman" w:cs="Times New Roman"/>
                <w:b w:val="0"/>
                <w:i w:val="0"/>
                <w:color w:val="000000"/>
                <w:sz w:val="20"/>
                <w:u w:val="none"/>
              </w:rPr>
              <w:tab/>
              <w:t>(250)</w:t>
            </w:r>
          </w:p>
        </w:tc>
      </w:tr>
      <w:tr>
        <w:tblPrEx>
          <w:tblW w:w="9615" w:type="dxa"/>
          <w:jc w:val="center"/>
          <w:tblLayout w:type="fixed"/>
          <w:tblCellMar>
            <w:left w:w="108" w:type="dxa"/>
            <w:right w:w="108" w:type="dxa"/>
          </w:tblCellMar>
        </w:tblPrEx>
        <w:trPr>
          <w:cantSplit/>
          <w:trHeight w:hRule="exact" w:val="300"/>
          <w:jc w:val="center"/>
        </w:trPr>
        <w:tc>
          <w:tcPr>
            <w:tcW w:w="70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Dividends to shareholders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86"/>
              </w:tabs>
              <w:spacing w:before="75" w:after="30" w:line="240" w:lineRule="auto"/>
              <w:jc w:val="right"/>
            </w:pPr>
            <w:r>
              <w:rPr>
                <w:rFonts w:ascii="Times New Roman" w:eastAsia="Times New Roman" w:hAnsi="Times New Roman" w:cs="Times New Roman"/>
                <w:b w:val="0"/>
                <w:i w:val="0"/>
                <w:color w:val="000000"/>
                <w:sz w:val="20"/>
                <w:u w:val="none"/>
              </w:rPr>
              <w:tab/>
              <w:t>(147)</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86"/>
              </w:tabs>
              <w:spacing w:before="75" w:after="30" w:line="240" w:lineRule="auto"/>
              <w:jc w:val="right"/>
            </w:pPr>
            <w:r>
              <w:rPr>
                <w:rFonts w:ascii="Times New Roman" w:eastAsia="Times New Roman" w:hAnsi="Times New Roman" w:cs="Times New Roman"/>
                <w:b w:val="0"/>
                <w:i w:val="0"/>
                <w:color w:val="000000"/>
                <w:sz w:val="20"/>
                <w:u w:val="none"/>
              </w:rPr>
              <w:tab/>
              <w:t>(151)</w:t>
            </w:r>
          </w:p>
        </w:tc>
      </w:tr>
      <w:tr>
        <w:tblPrEx>
          <w:tblW w:w="9615" w:type="dxa"/>
          <w:jc w:val="center"/>
          <w:tblLayout w:type="fixed"/>
          <w:tblCellMar>
            <w:left w:w="108" w:type="dxa"/>
            <w:right w:w="108" w:type="dxa"/>
          </w:tblCellMar>
        </w:tblPrEx>
        <w:trPr>
          <w:cantSplit/>
          <w:trHeight w:hRule="exact" w:val="300"/>
          <w:jc w:val="center"/>
        </w:trPr>
        <w:tc>
          <w:tcPr>
            <w:tcW w:w="700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Other financing activities</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86"/>
              </w:tabs>
              <w:spacing w:before="75" w:after="30" w:line="240" w:lineRule="auto"/>
              <w:jc w:val="right"/>
            </w:pPr>
            <w:r>
              <w:rPr>
                <w:rFonts w:ascii="Times New Roman" w:eastAsia="Times New Roman" w:hAnsi="Times New Roman" w:cs="Times New Roman"/>
                <w:b w:val="0"/>
                <w:i w:val="0"/>
                <w:color w:val="000000"/>
                <w:sz w:val="20"/>
                <w:u w:val="none"/>
              </w:rPr>
              <w:tab/>
              <w:t>(9)</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86"/>
              </w:tabs>
              <w:spacing w:before="75" w:after="30" w:line="240" w:lineRule="auto"/>
              <w:jc w:val="right"/>
            </w:pPr>
            <w:r>
              <w:rPr>
                <w:rFonts w:ascii="Times New Roman" w:eastAsia="Times New Roman" w:hAnsi="Times New Roman" w:cs="Times New Roman"/>
                <w:b w:val="0"/>
                <w:i w:val="0"/>
                <w:color w:val="000000"/>
                <w:sz w:val="20"/>
                <w:u w:val="none"/>
              </w:rPr>
              <w:tab/>
              <w:t>(21)</w:t>
            </w:r>
          </w:p>
        </w:tc>
      </w:tr>
      <w:tr>
        <w:tblPrEx>
          <w:tblW w:w="9615" w:type="dxa"/>
          <w:jc w:val="center"/>
          <w:tblLayout w:type="fixed"/>
          <w:tblCellMar>
            <w:left w:w="108" w:type="dxa"/>
            <w:right w:w="108" w:type="dxa"/>
          </w:tblCellMar>
        </w:tblPrEx>
        <w:trPr>
          <w:cantSplit/>
          <w:trHeight w:hRule="exact" w:val="300"/>
          <w:jc w:val="center"/>
        </w:trPr>
        <w:tc>
          <w:tcPr>
            <w:tcW w:w="7005" w:type="dxa"/>
            <w:tcBorders>
              <w:top w:val="single" w:sz="8" w:space="0" w:color="000000"/>
              <w:left w:val="nil"/>
              <w:bottom w:val="single" w:sz="8" w:space="0" w:color="000000"/>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20"/>
                <w:u w:val="none"/>
              </w:rPr>
              <w:t>Total cash flows used in financing activities</w:t>
            </w: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86"/>
              </w:tabs>
              <w:spacing w:before="55" w:after="30" w:line="240" w:lineRule="auto"/>
              <w:jc w:val="right"/>
            </w:pPr>
            <w:r>
              <w:rPr>
                <w:rFonts w:ascii="Times New Roman" w:eastAsia="Times New Roman" w:hAnsi="Times New Roman" w:cs="Times New Roman"/>
                <w:b w:val="0"/>
                <w:i w:val="0"/>
                <w:color w:val="000000"/>
                <w:sz w:val="20"/>
                <w:u w:val="none"/>
              </w:rPr>
              <w:tab/>
              <w:t>(406)</w:t>
            </w: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86"/>
              </w:tabs>
              <w:spacing w:before="55" w:after="30" w:line="240" w:lineRule="auto"/>
              <w:jc w:val="right"/>
            </w:pPr>
            <w:r>
              <w:rPr>
                <w:rFonts w:ascii="Times New Roman" w:eastAsia="Times New Roman" w:hAnsi="Times New Roman" w:cs="Times New Roman"/>
                <w:b w:val="0"/>
                <w:i w:val="0"/>
                <w:color w:val="000000"/>
                <w:sz w:val="20"/>
                <w:u w:val="none"/>
              </w:rPr>
              <w:tab/>
              <w:t>(422)</w:t>
            </w:r>
          </w:p>
        </w:tc>
      </w:tr>
      <w:tr>
        <w:tblPrEx>
          <w:tblW w:w="9615" w:type="dxa"/>
          <w:jc w:val="center"/>
          <w:tblLayout w:type="fixed"/>
          <w:tblCellMar>
            <w:left w:w="108" w:type="dxa"/>
            <w:right w:w="108" w:type="dxa"/>
          </w:tblCellMar>
        </w:tblPrEx>
        <w:trPr>
          <w:cantSplit/>
          <w:trHeight w:hRule="exact" w:val="300"/>
          <w:jc w:val="center"/>
        </w:trPr>
        <w:tc>
          <w:tcPr>
            <w:tcW w:w="700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20"/>
                <w:u w:val="none"/>
              </w:rPr>
              <w:t>Effect of exchange rate changes on cash</w:t>
            </w: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86"/>
              </w:tabs>
              <w:spacing w:before="55" w:after="30" w:line="240" w:lineRule="auto"/>
              <w:jc w:val="right"/>
            </w:pPr>
            <w:r>
              <w:rPr>
                <w:rFonts w:ascii="Times New Roman" w:eastAsia="Times New Roman" w:hAnsi="Times New Roman" w:cs="Times New Roman"/>
                <w:b w:val="0"/>
                <w:i w:val="0"/>
                <w:color w:val="000000"/>
                <w:sz w:val="20"/>
                <w:u w:val="none"/>
              </w:rPr>
              <w:tab/>
              <w:t>(1)</w:t>
            </w: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86"/>
              </w:tabs>
              <w:spacing w:before="55" w:after="30" w:line="240" w:lineRule="auto"/>
              <w:jc w:val="right"/>
            </w:pPr>
            <w:r>
              <w:rPr>
                <w:rFonts w:ascii="Times New Roman" w:eastAsia="Times New Roman" w:hAnsi="Times New Roman" w:cs="Times New Roman"/>
                <w:b w:val="0"/>
                <w:i w:val="0"/>
                <w:color w:val="000000"/>
                <w:sz w:val="20"/>
                <w:u w:val="none"/>
              </w:rPr>
              <w:tab/>
              <w:t>(57)</w:t>
            </w:r>
          </w:p>
        </w:tc>
      </w:tr>
      <w:tr>
        <w:tblPrEx>
          <w:tblW w:w="9615" w:type="dxa"/>
          <w:jc w:val="center"/>
          <w:tblLayout w:type="fixed"/>
          <w:tblCellMar>
            <w:left w:w="108" w:type="dxa"/>
            <w:right w:w="108" w:type="dxa"/>
          </w:tblCellMar>
        </w:tblPrEx>
        <w:trPr>
          <w:cantSplit/>
          <w:trHeight w:hRule="exact" w:val="300"/>
          <w:jc w:val="center"/>
        </w:trPr>
        <w:tc>
          <w:tcPr>
            <w:tcW w:w="700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20"/>
                <w:u w:val="none"/>
              </w:rPr>
              <w:t>Decrease in cash and equivalents</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786"/>
              </w:tabs>
              <w:spacing w:before="55" w:after="30" w:line="240" w:lineRule="auto"/>
              <w:jc w:val="right"/>
            </w:pPr>
            <w:r>
              <w:rPr>
                <w:rFonts w:ascii="Times New Roman" w:eastAsia="Times New Roman" w:hAnsi="Times New Roman" w:cs="Times New Roman"/>
                <w:b w:val="0"/>
                <w:i w:val="0"/>
                <w:color w:val="000000"/>
                <w:sz w:val="20"/>
                <w:u w:val="none"/>
              </w:rPr>
              <w:tab/>
              <w:t>(814)</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786"/>
              </w:tabs>
              <w:spacing w:before="55" w:after="30" w:line="240" w:lineRule="auto"/>
              <w:jc w:val="right"/>
            </w:pPr>
            <w:r>
              <w:rPr>
                <w:rFonts w:ascii="Times New Roman" w:eastAsia="Times New Roman" w:hAnsi="Times New Roman" w:cs="Times New Roman"/>
                <w:b w:val="0"/>
                <w:i w:val="0"/>
                <w:color w:val="000000"/>
                <w:sz w:val="20"/>
                <w:u w:val="none"/>
              </w:rPr>
              <w:tab/>
              <w:t>(373)</w:t>
            </w:r>
          </w:p>
        </w:tc>
      </w:tr>
      <w:tr>
        <w:tblPrEx>
          <w:tblW w:w="9615" w:type="dxa"/>
          <w:jc w:val="center"/>
          <w:tblLayout w:type="fixed"/>
          <w:tblCellMar>
            <w:left w:w="108" w:type="dxa"/>
            <w:right w:w="108" w:type="dxa"/>
          </w:tblCellMar>
        </w:tblPrEx>
        <w:trPr>
          <w:cantSplit/>
          <w:trHeight w:hRule="exact" w:val="300"/>
          <w:jc w:val="center"/>
        </w:trPr>
        <w:tc>
          <w:tcPr>
            <w:tcW w:w="700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Cash and equivalents at beginning of period</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22"/>
                <w:tab w:val="left" w:pos="1237"/>
              </w:tabs>
              <w:spacing w:before="75" w:after="30" w:line="240" w:lineRule="auto"/>
              <w:jc w:val="right"/>
            </w:pPr>
            <w:r>
              <w:rPr>
                <w:rFonts w:ascii="Times New Roman" w:eastAsia="Times New Roman" w:hAnsi="Times New Roman" w:cs="Times New Roman"/>
                <w:b w:val="0"/>
                <w:i w:val="0"/>
                <w:color w:val="000000"/>
                <w:sz w:val="20"/>
                <w:u w:val="none"/>
              </w:rPr>
              <w:tab/>
              <w:t>2,618</w:t>
              <w:tab/>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22"/>
                <w:tab w:val="left" w:pos="1237"/>
              </w:tabs>
              <w:spacing w:before="75" w:after="30" w:line="240" w:lineRule="auto"/>
              <w:jc w:val="right"/>
            </w:pPr>
            <w:r>
              <w:rPr>
                <w:rFonts w:ascii="Times New Roman" w:eastAsia="Times New Roman" w:hAnsi="Times New Roman" w:cs="Times New Roman"/>
                <w:b w:val="0"/>
                <w:i w:val="0"/>
                <w:color w:val="000000"/>
                <w:sz w:val="20"/>
                <w:u w:val="none"/>
              </w:rPr>
              <w:tab/>
              <w:t>2,264</w:t>
              <w:tab/>
            </w:r>
          </w:p>
        </w:tc>
      </w:tr>
      <w:tr>
        <w:tblPrEx>
          <w:tblW w:w="9615" w:type="dxa"/>
          <w:jc w:val="center"/>
          <w:tblLayout w:type="fixed"/>
          <w:tblCellMar>
            <w:left w:w="108" w:type="dxa"/>
            <w:right w:w="108" w:type="dxa"/>
          </w:tblCellMar>
        </w:tblPrEx>
        <w:trPr>
          <w:cantSplit/>
          <w:trHeight w:hRule="exact" w:val="300"/>
          <w:jc w:val="center"/>
        </w:trPr>
        <w:tc>
          <w:tcPr>
            <w:tcW w:w="7005" w:type="dxa"/>
            <w:tcBorders>
              <w:top w:val="single" w:sz="8" w:space="0" w:color="000000"/>
              <w:left w:val="nil"/>
              <w:bottom w:val="double" w:sz="8" w:space="0" w:color="000000"/>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20"/>
                <w:u w:val="none"/>
              </w:rPr>
              <w:t>Cash and equivalents at end of period</w:t>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722"/>
                <w:tab w:val="left" w:pos="1237"/>
              </w:tabs>
              <w:spacing w:before="55" w:after="30" w:line="240" w:lineRule="auto"/>
              <w:jc w:val="right"/>
            </w:pPr>
            <w:r>
              <w:rPr>
                <w:rFonts w:ascii="Times New Roman" w:eastAsia="Times New Roman" w:hAnsi="Times New Roman" w:cs="Times New Roman"/>
                <w:b w:val="0"/>
                <w:i w:val="0"/>
                <w:color w:val="000000"/>
                <w:sz w:val="20"/>
                <w:u w:val="none"/>
              </w:rPr>
              <w:t>$</w:t>
              <w:tab/>
              <w:t>1,804</w:t>
              <w:tab/>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722"/>
                <w:tab w:val="left" w:pos="1237"/>
              </w:tabs>
              <w:spacing w:before="55" w:after="30" w:line="240" w:lineRule="auto"/>
              <w:jc w:val="right"/>
            </w:pPr>
            <w:r>
              <w:rPr>
                <w:rFonts w:ascii="Times New Roman" w:eastAsia="Times New Roman" w:hAnsi="Times New Roman" w:cs="Times New Roman"/>
                <w:b w:val="0"/>
                <w:i w:val="0"/>
                <w:color w:val="000000"/>
                <w:sz w:val="20"/>
                <w:u w:val="none"/>
              </w:rPr>
              <w:t>$</w:t>
              <w:tab/>
              <w:t>1,891</w:t>
              <w:tab/>
            </w:r>
          </w:p>
        </w:tc>
      </w:tr>
      <w:tr>
        <w:tblPrEx>
          <w:tblW w:w="9615" w:type="dxa"/>
          <w:jc w:val="center"/>
          <w:tblLayout w:type="fixed"/>
          <w:tblCellMar>
            <w:left w:w="108" w:type="dxa"/>
            <w:right w:w="108" w:type="dxa"/>
          </w:tblCellMar>
        </w:tblPrEx>
        <w:trPr>
          <w:cantSplit/>
          <w:trHeight w:hRule="exact" w:val="300"/>
          <w:jc w:val="center"/>
        </w:trPr>
        <w:tc>
          <w:tcPr>
            <w:tcW w:w="7005" w:type="dxa"/>
            <w:tcBorders>
              <w:top w:val="double" w:sz="8" w:space="0" w:color="000000"/>
              <w:left w:val="nil"/>
              <w:bottom w:val="nil"/>
              <w:right w:val="nil"/>
            </w:tcBorders>
            <w:shd w:val="clear" w:color="auto" w:fill="FFFFFF"/>
            <w:tcMar>
              <w:top w:w="0" w:type="dxa"/>
              <w:left w:w="53" w:type="dxa"/>
              <w:bottom w:w="0" w:type="dxa"/>
              <w:right w:w="53" w:type="dxa"/>
            </w:tcMar>
            <w:vAlign w:val="bottom"/>
          </w:tcPr>
          <w:p>
            <w:pPr>
              <w:keepNext/>
              <w:pageBreakBefore w:val="0"/>
              <w:spacing w:before="15" w:after="30" w:line="240" w:lineRule="auto"/>
              <w:jc w:val="left"/>
            </w:pPr>
            <w:r>
              <w:rPr>
                <w:rFonts w:ascii="Times New Roman" w:eastAsia="Times New Roman" w:hAnsi="Times New Roman" w:cs="Times New Roman"/>
                <w:b/>
                <w:i w:val="0"/>
                <w:color w:val="000000"/>
                <w:sz w:val="20"/>
                <w:u w:val="none"/>
              </w:rPr>
              <w:t>Supplemental disclosure of cash flow information:</w:t>
            </w:r>
          </w:p>
        </w:tc>
        <w:tc>
          <w:tcPr>
            <w:tcW w:w="1305" w:type="dxa"/>
            <w:tcBorders>
              <w:top w:val="double" w:sz="8" w:space="0" w:color="000000"/>
              <w:left w:val="nil"/>
              <w:bottom w:val="nil"/>
              <w:right w:val="nil"/>
            </w:tcBorders>
            <w:shd w:val="clear" w:color="auto" w:fill="FFFFFF"/>
            <w:tcMar>
              <w:top w:w="0" w:type="dxa"/>
              <w:left w:w="0" w:type="dxa"/>
              <w:bottom w:w="0" w:type="dxa"/>
              <w:right w:w="53" w:type="dxa"/>
            </w:tcMar>
            <w:vAlign w:val="bottom"/>
          </w:tcPr>
          <w:p>
            <w:pPr>
              <w:keepNext/>
              <w:pageBreakBefore w:val="0"/>
              <w:spacing w:before="15" w:after="30" w:line="240" w:lineRule="auto"/>
              <w:jc w:val="right"/>
            </w:pPr>
          </w:p>
        </w:tc>
        <w:tc>
          <w:tcPr>
            <w:tcW w:w="1305" w:type="dxa"/>
            <w:tcBorders>
              <w:top w:val="double" w:sz="8" w:space="0" w:color="000000"/>
              <w:left w:val="nil"/>
              <w:bottom w:val="nil"/>
              <w:right w:val="nil"/>
            </w:tcBorders>
            <w:shd w:val="clear" w:color="auto" w:fill="FFFFFF"/>
            <w:tcMar>
              <w:top w:w="0" w:type="dxa"/>
              <w:left w:w="0" w:type="dxa"/>
              <w:bottom w:w="0" w:type="dxa"/>
              <w:right w:w="53" w:type="dxa"/>
            </w:tcMar>
            <w:vAlign w:val="bottom"/>
          </w:tcPr>
          <w:p>
            <w:pPr>
              <w:keepNext/>
              <w:pageBreakBefore w:val="0"/>
              <w:spacing w:before="15" w:after="30" w:line="240" w:lineRule="auto"/>
              <w:jc w:val="right"/>
            </w:pPr>
            <w:r>
              <w:rPr>
                <w:rFonts w:ascii="Times New Roman" w:eastAsia="Times New Roman" w:hAnsi="Times New Roman" w:cs="Times New Roman"/>
                <w:b w:val="0"/>
                <w:i w:val="0"/>
                <w:color w:val="000000"/>
                <w:sz w:val="20"/>
                <w:u w:val="none"/>
              </w:rPr>
              <w:t> </w:t>
            </w:r>
          </w:p>
        </w:tc>
      </w:tr>
      <w:tr>
        <w:tblPrEx>
          <w:tblW w:w="9615" w:type="dxa"/>
          <w:jc w:val="center"/>
          <w:tblLayout w:type="fixed"/>
          <w:tblCellMar>
            <w:left w:w="108" w:type="dxa"/>
            <w:right w:w="108" w:type="dxa"/>
          </w:tblCellMar>
        </w:tblPrEx>
        <w:trPr>
          <w:cantSplit/>
          <w:trHeight w:hRule="exact" w:val="300"/>
          <w:jc w:val="center"/>
        </w:trPr>
        <w:tc>
          <w:tcPr>
            <w:tcW w:w="70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Cash payments during the period for:</w:t>
            </w:r>
          </w:p>
        </w:tc>
        <w:tc>
          <w:tcPr>
            <w:tcW w:w="130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30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20"/>
                <w:u w:val="none"/>
              </w:rPr>
              <w:t> </w:t>
            </w:r>
          </w:p>
        </w:tc>
      </w:tr>
      <w:tr>
        <w:tblPrEx>
          <w:tblW w:w="9615" w:type="dxa"/>
          <w:jc w:val="center"/>
          <w:tblLayout w:type="fixed"/>
          <w:tblCellMar>
            <w:left w:w="108" w:type="dxa"/>
            <w:right w:w="108" w:type="dxa"/>
          </w:tblCellMar>
        </w:tblPrEx>
        <w:trPr>
          <w:cantSplit/>
          <w:trHeight w:hRule="exact" w:val="300"/>
          <w:jc w:val="center"/>
        </w:trPr>
        <w:tc>
          <w:tcPr>
            <w:tcW w:w="70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ind w:left="240"/>
              <w:jc w:val="left"/>
            </w:pPr>
            <w:r>
              <w:rPr>
                <w:rFonts w:ascii="Times New Roman" w:eastAsia="Times New Roman" w:hAnsi="Times New Roman" w:cs="Times New Roman"/>
                <w:b w:val="0"/>
                <w:i w:val="0"/>
                <w:color w:val="000000"/>
                <w:sz w:val="20"/>
                <w:u w:val="none"/>
              </w:rPr>
              <w:t>Interest</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w:t>
              <w:tab/>
              <w:t>116</w:t>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w:t>
              <w:tab/>
              <w:t>118</w:t>
              <w:tab/>
            </w:r>
          </w:p>
        </w:tc>
      </w:tr>
      <w:tr>
        <w:tblPrEx>
          <w:tblW w:w="9615" w:type="dxa"/>
          <w:jc w:val="center"/>
          <w:tblLayout w:type="fixed"/>
          <w:tblCellMar>
            <w:left w:w="108" w:type="dxa"/>
            <w:right w:w="108" w:type="dxa"/>
          </w:tblCellMar>
        </w:tblPrEx>
        <w:trPr>
          <w:cantSplit/>
          <w:trHeight w:hRule="exact" w:val="300"/>
          <w:jc w:val="center"/>
        </w:trPr>
        <w:tc>
          <w:tcPr>
            <w:tcW w:w="7005" w:type="dxa"/>
            <w:tcBorders>
              <w:top w:val="nil"/>
              <w:left w:val="nil"/>
              <w:bottom w:val="double" w:sz="8" w:space="0" w:color="000000"/>
              <w:right w:val="nil"/>
            </w:tcBorders>
            <w:shd w:val="clear" w:color="auto" w:fill="CCEEFF"/>
            <w:tcMar>
              <w:top w:w="0" w:type="dxa"/>
              <w:left w:w="53" w:type="dxa"/>
              <w:bottom w:w="0" w:type="dxa"/>
              <w:right w:w="53" w:type="dxa"/>
            </w:tcMar>
            <w:vAlign w:val="bottom"/>
          </w:tcPr>
          <w:p>
            <w:pPr>
              <w:pageBreakBefore w:val="0"/>
              <w:spacing w:before="75" w:after="30" w:line="240" w:lineRule="auto"/>
              <w:ind w:left="240"/>
              <w:jc w:val="left"/>
            </w:pPr>
            <w:r>
              <w:rPr>
                <w:rFonts w:ascii="Times New Roman" w:eastAsia="Times New Roman" w:hAnsi="Times New Roman" w:cs="Times New Roman"/>
                <w:b w:val="0"/>
                <w:i w:val="0"/>
                <w:color w:val="000000"/>
                <w:sz w:val="20"/>
                <w:u w:val="none"/>
              </w:rPr>
              <w:t>Income taxes</w:t>
            </w:r>
          </w:p>
        </w:tc>
        <w:tc>
          <w:tcPr>
            <w:tcW w:w="1305" w:type="dxa"/>
            <w:tcBorders>
              <w:top w:val="nil"/>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w:t>
              <w:tab/>
              <w:t>165</w:t>
              <w:tab/>
            </w:r>
          </w:p>
        </w:tc>
        <w:tc>
          <w:tcPr>
            <w:tcW w:w="1305" w:type="dxa"/>
            <w:tcBorders>
              <w:top w:val="nil"/>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972"/>
                <w:tab w:val="left" w:pos="1237"/>
              </w:tabs>
              <w:spacing w:before="75" w:after="30" w:line="240" w:lineRule="auto"/>
              <w:jc w:val="right"/>
            </w:pPr>
            <w:r>
              <w:rPr>
                <w:rFonts w:ascii="Times New Roman" w:eastAsia="Times New Roman" w:hAnsi="Times New Roman" w:cs="Times New Roman"/>
                <w:b w:val="0"/>
                <w:i w:val="0"/>
                <w:color w:val="000000"/>
                <w:sz w:val="20"/>
                <w:u w:val="none"/>
              </w:rPr>
              <w:t>$</w:t>
              <w:tab/>
              <w:t>95</w:t>
              <w:tab/>
            </w:r>
          </w:p>
        </w:tc>
      </w:tr>
    </w:tbl>
    <w:p>
      <w:pPr>
        <w:keepNext/>
        <w:keepLines w:val="0"/>
        <w:pageBreakBefore w:val="0"/>
        <w:widowControl/>
        <w:numPr>
          <w:ilvl w:val="0"/>
          <w:numId w:val="0"/>
        </w:numPr>
        <w:spacing w:before="0" w:after="160" w:line="288"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color w:val="000000"/>
          <w:sz w:val="20"/>
          <w:u w:val="none"/>
        </w:rPr>
        <w:t xml:space="preserve">See notes to </w:t>
      </w:r>
      <w:r>
        <w:rPr>
          <w:rFonts w:ascii="Times New Roman" w:eastAsia="Times New Roman" w:hAnsi="Times New Roman" w:cs="Times New Roman"/>
          <w:b w:val="0"/>
          <w:i w:val="0"/>
          <w:color w:val="000000"/>
          <w:sz w:val="20"/>
          <w:u w:val="none"/>
        </w:rPr>
        <w:t>condensed consolidated</w:t>
      </w:r>
      <w:r>
        <w:rPr>
          <w:rFonts w:ascii="Times New Roman" w:eastAsia="Times New Roman" w:hAnsi="Times New Roman" w:cs="Times New Roman"/>
          <w:b w:val="0"/>
          <w:i w:val="0"/>
          <w:color w:val="000000"/>
          <w:sz w:val="20"/>
          <w:u w:val="none"/>
        </w:rPr>
        <w:t xml:space="preserve"> financial statements</w:t>
      </w:r>
      <w:r>
        <w:rPr>
          <w:rFonts w:ascii="Times New Roman" w:eastAsia="Times New Roman" w:hAnsi="Times New Roman" w:cs="Times New Roman"/>
          <w:b w:val="0"/>
          <w:i w:val="0"/>
          <w:sz w:val="20"/>
        </w:rPr>
        <w:t>.</w:t>
      </w:r>
    </w:p>
    <w:p>
      <w:pPr>
        <w:keepNext w:val="0"/>
        <w:keepLines w:val="0"/>
        <w:pageBreakBefore w:val="0"/>
        <w:widowControl/>
        <w:numPr>
          <w:ilvl w:val="0"/>
          <w:numId w:val="0"/>
        </w:numPr>
        <w:spacing w:before="0" w:after="160" w:line="288" w:lineRule="auto"/>
        <w:ind w:left="0" w:right="0" w:firstLine="720"/>
        <w:jc w:val="left"/>
        <w:outlineLvl w:val="9"/>
        <w:rPr>
          <w:rFonts w:ascii="Times New Roman" w:eastAsia="Times New Roman" w:hAnsi="Times New Roman" w:cs="Times New Roman"/>
          <w:b w:val="0"/>
          <w:i w:val="0"/>
          <w:sz w:val="20"/>
        </w:rPr>
      </w:pPr>
    </w:p>
    <w:p>
      <w:pPr>
        <w:keepNext w:val="0"/>
        <w:keepLines w:val="0"/>
        <w:pageBreakBefore w:val="0"/>
        <w:widowControl/>
        <w:numPr>
          <w:ilvl w:val="0"/>
          <w:numId w:val="0"/>
        </w:numPr>
        <w:spacing w:before="0" w:after="160" w:line="288" w:lineRule="auto"/>
        <w:ind w:left="0" w:right="0" w:firstLine="720"/>
        <w:jc w:val="left"/>
        <w:outlineLvl w:val="9"/>
        <w:rPr>
          <w:rFonts w:ascii="Times New Roman" w:eastAsia="Times New Roman" w:hAnsi="Times New Roman" w:cs="Times New Roman"/>
          <w:b w:val="0"/>
          <w:i w:val="0"/>
          <w:sz w:val="20"/>
        </w:rPr>
        <w:sectPr>
          <w:headerReference w:type="default" r:id="rId15"/>
          <w:footerReference w:type="default" r:id="rId16"/>
          <w:pgSz w:w="12240" w:h="15840"/>
          <w:pgMar w:top="900" w:right="990" w:bottom="900" w:left="990" w:header="270" w:footer="270"/>
          <w:cols w:space="708"/>
        </w:sectPr>
      </w:pPr>
    </w:p>
    <w:p>
      <w:pPr>
        <w:keepNext w:val="0"/>
        <w:keepLines w:val="0"/>
        <w:pageBreakBefore w:val="0"/>
        <w:widowControl/>
        <w:numPr>
          <w:ilvl w:val="0"/>
          <w:numId w:val="0"/>
        </w:numPr>
        <w:spacing w:before="0" w:after="0" w:line="288" w:lineRule="auto"/>
        <w:ind w:left="0" w:right="0" w:firstLine="0"/>
        <w:jc w:val="center"/>
        <w:outlineLvl w:val="1"/>
        <w:rPr>
          <w:rFonts w:ascii="Times New Roman" w:eastAsia="Times New Roman" w:hAnsi="Times New Roman" w:cs="Times New Roman"/>
          <w:b/>
          <w:i w:val="0"/>
          <w:sz w:val="20"/>
        </w:rPr>
      </w:pPr>
      <w:bookmarkStart w:id="8" w:name="Section9"/>
      <w:bookmarkEnd w:id="8"/>
      <w:r>
        <w:rPr>
          <w:rFonts w:ascii="Times New Roman" w:eastAsia="Times New Roman" w:hAnsi="Times New Roman" w:cs="Times New Roman"/>
          <w:b/>
          <w:i w:val="0"/>
          <w:sz w:val="20"/>
        </w:rPr>
        <w:t>HALLIBURTON COMPANY</w:t>
      </w:r>
    </w:p>
    <w:p>
      <w:pPr>
        <w:keepNext w:val="0"/>
        <w:keepLines w:val="0"/>
        <w:pageBreakBefore w:val="0"/>
        <w:widowControl/>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 xml:space="preserve">Notes to </w:t>
      </w:r>
      <w:r>
        <w:rPr>
          <w:rFonts w:ascii="Times New Roman" w:eastAsia="Times New Roman" w:hAnsi="Times New Roman" w:cs="Times New Roman"/>
          <w:b/>
          <w:i w:val="0"/>
          <w:color w:val="000000"/>
          <w:sz w:val="20"/>
          <w:u w:val="none"/>
        </w:rPr>
        <w:t>Condensed Consolidated</w:t>
      </w:r>
      <w:r>
        <w:rPr>
          <w:rFonts w:ascii="Times New Roman" w:eastAsia="Times New Roman" w:hAnsi="Times New Roman" w:cs="Times New Roman"/>
          <w:b/>
          <w:i w:val="0"/>
          <w:sz w:val="20"/>
        </w:rPr>
        <w:t xml:space="preserve"> Financial Statements</w:t>
      </w:r>
    </w:p>
    <w:p>
      <w:pPr>
        <w:keepNext w:val="0"/>
        <w:keepLines w:val="0"/>
        <w:pageBreakBefore w:val="0"/>
        <w:widowControl/>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color w:val="000000"/>
          <w:sz w:val="20"/>
          <w:u w:val="none"/>
        </w:rPr>
        <w:t>(Unaudited)</w:t>
      </w:r>
    </w:p>
    <w:p>
      <w:pPr>
        <w:keepNext w:val="0"/>
        <w:keepLines w:val="0"/>
        <w:pageBreakBefore w:val="0"/>
        <w:widowControl/>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p>
    <w:p>
      <w:pPr>
        <w:keepNext w:val="0"/>
        <w:keepLines w:val="0"/>
        <w:pageBreakBefore w:val="0"/>
        <w:widowControl/>
        <w:numPr>
          <w:ilvl w:val="0"/>
          <w:numId w:val="0"/>
        </w:numPr>
        <w:spacing w:before="0" w:after="0" w:line="288" w:lineRule="auto"/>
        <w:ind w:left="0" w:right="0" w:firstLine="0"/>
        <w:jc w:val="center"/>
        <w:outlineLvl w:val="9"/>
        <w:sectPr>
          <w:headerReference w:type="default" r:id="rId17"/>
          <w:footerReference w:type="default" r:id="rId18"/>
          <w:pgSz w:w="12240" w:h="15840"/>
          <w:pgMar w:top="900" w:right="990" w:bottom="900" w:left="990" w:header="270" w:footer="270"/>
          <w:cols w:space="708"/>
        </w:sectPr>
      </w:pPr>
    </w:p>
    <w:p>
      <w:pPr>
        <w:keepNext/>
        <w:keepLines/>
        <w:pageBreakBefore w:val="0"/>
        <w:widowControl w:val="0"/>
        <w:numPr>
          <w:ilvl w:val="0"/>
          <w:numId w:val="0"/>
        </w:numPr>
        <w:spacing w:before="0" w:after="160" w:line="288" w:lineRule="auto"/>
        <w:ind w:left="0" w:right="0" w:firstLine="0"/>
        <w:jc w:val="left"/>
        <w:outlineLvl w:val="2"/>
        <w:rPr>
          <w:rFonts w:ascii="Times New Roman" w:eastAsia="Times New Roman" w:hAnsi="Times New Roman" w:cs="Times New Roman"/>
          <w:b/>
          <w:i w:val="0"/>
          <w:sz w:val="20"/>
        </w:rPr>
      </w:pPr>
      <w:bookmarkStart w:id="9" w:name="Section10"/>
      <w:bookmarkEnd w:id="9"/>
      <w:r>
        <w:rPr>
          <w:rFonts w:ascii="Times New Roman" w:eastAsia="Times New Roman" w:hAnsi="Times New Roman" w:cs="Times New Roman"/>
          <w:b/>
          <w:i w:val="0"/>
          <w:sz w:val="20"/>
        </w:rPr>
        <w:t xml:space="preserve">Note </w:t>
      </w:r>
      <w:r>
        <w:rPr>
          <w:rFonts w:ascii="Times New Roman" w:eastAsia="Times New Roman" w:hAnsi="Times New Roman" w:cs="Times New Roman"/>
          <w:b/>
          <w:i w:val="0"/>
          <w:color w:val="000000"/>
          <w:sz w:val="20"/>
          <w:u w:val="none"/>
        </w:rPr>
        <w:t>1</w:t>
      </w:r>
      <w:r>
        <w:rPr>
          <w:rFonts w:ascii="Times New Roman" w:eastAsia="Times New Roman" w:hAnsi="Times New Roman" w:cs="Times New Roman"/>
          <w:b/>
          <w:i w:val="0"/>
          <w:sz w:val="20"/>
        </w:rPr>
        <w:t xml:space="preserve">. </w:t>
      </w:r>
      <w:r>
        <w:rPr>
          <w:rFonts w:ascii="Times New Roman" w:eastAsia="Times New Roman" w:hAnsi="Times New Roman" w:cs="Times New Roman"/>
          <w:b/>
          <w:i w:val="0"/>
          <w:color w:val="000000"/>
          <w:sz w:val="20"/>
          <w:u w:val="none"/>
        </w:rPr>
        <w:t>Basis of Presentation</w:t>
      </w:r>
    </w:p>
    <w:p>
      <w:pPr>
        <w:keepNext w:val="0"/>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The accompanying unaudited </w:t>
      </w:r>
      <w:r>
        <w:rPr>
          <w:rFonts w:ascii="Times New Roman" w:eastAsia="Times New Roman" w:hAnsi="Times New Roman" w:cs="Times New Roman"/>
          <w:b w:val="0"/>
          <w:i w:val="0"/>
          <w:color w:val="000000"/>
          <w:sz w:val="20"/>
          <w:u w:val="none"/>
        </w:rPr>
        <w:t>condensed consolidated</w:t>
      </w:r>
      <w:r>
        <w:rPr>
          <w:rFonts w:ascii="Times New Roman" w:eastAsia="Times New Roman" w:hAnsi="Times New Roman" w:cs="Times New Roman"/>
          <w:b w:val="0"/>
          <w:i w:val="0"/>
          <w:color w:val="000000"/>
          <w:sz w:val="20"/>
          <w:u w:val="none"/>
        </w:rPr>
        <w:t xml:space="preserve"> financial statements were prepared using United States generally accepted accounting principles (U.S. GAAP) for interim financial information and the instructions to Form 10-Q and Regulation S-X. Accordingly, these financial statements do not include all information or notes required by U.S. GAAP for annual financial statements and should be read together with our </w:t>
      </w:r>
      <w:r>
        <w:rPr>
          <w:rFonts w:ascii="Times New Roman" w:eastAsia="Times New Roman" w:hAnsi="Times New Roman" w:cs="Times New Roman"/>
          <w:b w:val="0"/>
          <w:i w:val="0"/>
          <w:color w:val="000000"/>
          <w:sz w:val="20"/>
          <w:u w:val="none"/>
        </w:rPr>
        <w:t>2024</w:t>
      </w:r>
      <w:r>
        <w:rPr>
          <w:rFonts w:ascii="Times New Roman" w:eastAsia="Times New Roman" w:hAnsi="Times New Roman" w:cs="Times New Roman"/>
          <w:b w:val="0"/>
          <w:i w:val="0"/>
          <w:color w:val="000000"/>
          <w:sz w:val="20"/>
          <w:u w:val="none"/>
        </w:rPr>
        <w:t xml:space="preserve"> Annual Report on Form 10-K.</w:t>
      </w:r>
    </w:p>
    <w:p>
      <w:pPr>
        <w:keepNext/>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Our accounting policies are in accordance with U.S. GAAP. The preparation of financial statements in conformity with these accounting principles requires us to make estimates and assumptions that affect:</w:t>
      </w:r>
    </w:p>
    <w:p>
      <w:pPr>
        <w:keepNext/>
        <w:keepLines/>
        <w:pageBreakBefore w:val="0"/>
        <w:widowControl w:val="0"/>
        <w:numPr>
          <w:ilvl w:val="0"/>
          <w:numId w:val="14"/>
        </w:numPr>
        <w:spacing w:before="0" w:after="60" w:line="288" w:lineRule="auto"/>
        <w:ind w:left="990" w:right="0" w:hanging="27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 reported amounts of assets and liabilities and disclosure of contingent assets and liabilities at the date of the financial statements; and</w:t>
      </w:r>
    </w:p>
    <w:p>
      <w:pPr>
        <w:keepNext/>
        <w:keepLines/>
        <w:pageBreakBefore w:val="0"/>
        <w:widowControl w:val="0"/>
        <w:numPr>
          <w:ilvl w:val="0"/>
          <w:numId w:val="15"/>
        </w:numPr>
        <w:spacing w:before="0" w:after="160" w:line="288" w:lineRule="auto"/>
        <w:ind w:left="990" w:right="0" w:hanging="27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 reported amounts of revenue and expenses during the reporting period.</w:t>
      </w:r>
    </w:p>
    <w:p>
      <w:pPr>
        <w:keepNext w:val="0"/>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Ultimate results could differ from our estimates.</w:t>
      </w:r>
    </w:p>
    <w:p>
      <w:pPr>
        <w:keepNext w:val="0"/>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In our opinion, the </w:t>
      </w:r>
      <w:r>
        <w:rPr>
          <w:rFonts w:ascii="Times New Roman" w:eastAsia="Times New Roman" w:hAnsi="Times New Roman" w:cs="Times New Roman"/>
          <w:b w:val="0"/>
          <w:i w:val="0"/>
          <w:color w:val="000000"/>
          <w:sz w:val="20"/>
          <w:u w:val="none"/>
        </w:rPr>
        <w:t>condensed consolidated</w:t>
      </w:r>
      <w:r>
        <w:rPr>
          <w:rFonts w:ascii="Times New Roman" w:eastAsia="Times New Roman" w:hAnsi="Times New Roman" w:cs="Times New Roman"/>
          <w:b w:val="0"/>
          <w:i w:val="0"/>
          <w:color w:val="000000"/>
          <w:sz w:val="20"/>
          <w:u w:val="none"/>
        </w:rPr>
        <w:t xml:space="preserve"> financial statements included herein contain all adjustments necessary to present fairly our financial </w:t>
      </w:r>
      <w:r>
        <w:rPr>
          <w:rFonts w:ascii="Times New Roman" w:eastAsia="Times New Roman" w:hAnsi="Times New Roman" w:cs="Times New Roman"/>
          <w:b w:val="0"/>
          <w:i w:val="0"/>
          <w:color w:val="000000"/>
          <w:sz w:val="20"/>
          <w:u w:val="none"/>
        </w:rPr>
        <w:t>position</w:t>
      </w:r>
      <w:r>
        <w:rPr>
          <w:rFonts w:ascii="Times New Roman" w:eastAsia="Times New Roman" w:hAnsi="Times New Roman" w:cs="Times New Roman"/>
          <w:b w:val="0"/>
          <w:i w:val="0"/>
          <w:color w:val="000000"/>
          <w:sz w:val="20"/>
          <w:u w:val="none"/>
        </w:rPr>
        <w:t xml:space="preserve"> as of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color w:val="000000"/>
          <w:sz w:val="20"/>
          <w:u w:val="none"/>
        </w:rPr>
        <w:t>,</w:t>
      </w:r>
      <w:r>
        <w:rPr>
          <w:rFonts w:ascii="Times New Roman" w:eastAsia="Times New Roman" w:hAnsi="Times New Roman" w:cs="Times New Roman"/>
          <w:b w:val="0"/>
          <w:i w:val="0"/>
          <w:color w:val="000000"/>
          <w:sz w:val="20"/>
          <w:u w:val="none"/>
        </w:rPr>
        <w:t xml:space="preserve"> the results of our operations for the</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three months ended</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color w:val="000000"/>
          <w:sz w:val="20"/>
          <w:u w:val="none"/>
        </w:rPr>
        <w:t xml:space="preserve"> and </w:t>
      </w:r>
      <w:r>
        <w:rPr>
          <w:rFonts w:ascii="Times New Roman" w:eastAsia="Times New Roman" w:hAnsi="Times New Roman" w:cs="Times New Roman"/>
          <w:b w:val="0"/>
          <w:i w:val="0"/>
          <w:color w:val="000000"/>
          <w:sz w:val="20"/>
          <w:u w:val="none"/>
        </w:rPr>
        <w:t>2024</w:t>
      </w:r>
      <w:r>
        <w:rPr>
          <w:rFonts w:ascii="Times New Roman" w:eastAsia="Times New Roman" w:hAnsi="Times New Roman" w:cs="Times New Roman"/>
          <w:b w:val="0"/>
          <w:i w:val="0"/>
          <w:color w:val="000000"/>
          <w:sz w:val="20"/>
          <w:u w:val="none"/>
        </w:rPr>
        <w:t xml:space="preserve">, and our cash flows for the </w:t>
      </w:r>
      <w:r>
        <w:rPr>
          <w:rFonts w:ascii="Times New Roman" w:eastAsia="Times New Roman" w:hAnsi="Times New Roman" w:cs="Times New Roman"/>
          <w:b w:val="0"/>
          <w:i w:val="0"/>
          <w:color w:val="000000"/>
          <w:sz w:val="20"/>
          <w:u w:val="none"/>
        </w:rPr>
        <w:t>three months ended</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color w:val="000000"/>
          <w:sz w:val="20"/>
          <w:u w:val="none"/>
        </w:rPr>
        <w:t xml:space="preserve"> and </w:t>
      </w:r>
      <w:r>
        <w:rPr>
          <w:rFonts w:ascii="Times New Roman" w:eastAsia="Times New Roman" w:hAnsi="Times New Roman" w:cs="Times New Roman"/>
          <w:b w:val="0"/>
          <w:i w:val="0"/>
          <w:color w:val="000000"/>
          <w:sz w:val="20"/>
          <w:u w:val="none"/>
        </w:rPr>
        <w:t>2024</w:t>
      </w:r>
      <w:r>
        <w:rPr>
          <w:rFonts w:ascii="Times New Roman" w:eastAsia="Times New Roman" w:hAnsi="Times New Roman" w:cs="Times New Roman"/>
          <w:b w:val="0"/>
          <w:i w:val="0"/>
          <w:color w:val="000000"/>
          <w:sz w:val="20"/>
          <w:u w:val="none"/>
        </w:rPr>
        <w:t>. Such adjustments are of a normal recurring nature. In addition, certain reclassifications of prior period balances have been made to conform to the current period presentation.</w:t>
      </w:r>
    </w:p>
    <w:p>
      <w:pPr>
        <w:keepNext w:val="0"/>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The results of our operations for the </w:t>
      </w:r>
      <w:r>
        <w:rPr>
          <w:rFonts w:ascii="Times New Roman" w:eastAsia="Times New Roman" w:hAnsi="Times New Roman" w:cs="Times New Roman"/>
          <w:b w:val="0"/>
          <w:i w:val="0"/>
          <w:color w:val="000000"/>
          <w:sz w:val="20"/>
          <w:u w:val="none"/>
        </w:rPr>
        <w:t xml:space="preserve">three </w:t>
      </w:r>
      <w:r>
        <w:rPr>
          <w:rFonts w:ascii="Times New Roman" w:eastAsia="Times New Roman" w:hAnsi="Times New Roman" w:cs="Times New Roman"/>
          <w:b w:val="0"/>
          <w:i w:val="0"/>
          <w:color w:val="000000"/>
          <w:sz w:val="20"/>
          <w:u w:val="none"/>
        </w:rPr>
        <w:t xml:space="preserve">months ended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color w:val="000000"/>
          <w:sz w:val="20"/>
          <w:u w:val="none"/>
        </w:rPr>
        <w:t xml:space="preserve"> may not be indicative of results for the full year.</w:t>
      </w:r>
    </w:p>
    <w:p>
      <w:pPr>
        <w:keepNext w:val="0"/>
        <w:keepLines/>
        <w:pageBreakBefore w:val="0"/>
        <w:widowControl w:val="0"/>
        <w:numPr>
          <w:ilvl w:val="0"/>
          <w:numId w:val="0"/>
        </w:numPr>
        <w:spacing w:before="0" w:after="160" w:line="288" w:lineRule="auto"/>
        <w:ind w:left="0" w:right="0" w:firstLine="720"/>
        <w:jc w:val="both"/>
        <w:outlineLvl w:val="9"/>
        <w:sectPr>
          <w:headerReference w:type="default" r:id="rId19"/>
          <w:footerReference w:type="default" r:id="rId20"/>
          <w:type w:val="continuous"/>
          <w:pgSz w:w="12240" w:h="15840"/>
          <w:pgMar w:top="900" w:right="990" w:bottom="900" w:left="990" w:header="270" w:footer="270"/>
          <w:cols w:space="708"/>
        </w:sectPr>
      </w:pPr>
    </w:p>
    <w:p>
      <w:pPr>
        <w:keepNext/>
        <w:keepLines/>
        <w:pageBreakBefore w:val="0"/>
        <w:widowControl w:val="0"/>
        <w:numPr>
          <w:ilvl w:val="0"/>
          <w:numId w:val="0"/>
        </w:numPr>
        <w:spacing w:before="0" w:after="160" w:line="288" w:lineRule="auto"/>
        <w:ind w:left="0" w:right="0" w:firstLine="0"/>
        <w:jc w:val="left"/>
        <w:outlineLvl w:val="2"/>
        <w:rPr>
          <w:rFonts w:ascii="Times New Roman" w:eastAsia="Times New Roman" w:hAnsi="Times New Roman" w:cs="Times New Roman"/>
          <w:b/>
          <w:i w:val="0"/>
          <w:sz w:val="20"/>
        </w:rPr>
      </w:pPr>
      <w:bookmarkStart w:id="10" w:name="Section11"/>
      <w:bookmarkEnd w:id="10"/>
      <w:r>
        <w:rPr>
          <w:rFonts w:ascii="Times New Roman" w:eastAsia="Times New Roman" w:hAnsi="Times New Roman" w:cs="Times New Roman"/>
          <w:b/>
          <w:i w:val="0"/>
          <w:color w:val="000000"/>
          <w:sz w:val="20"/>
          <w:u w:val="none"/>
        </w:rPr>
        <w:t xml:space="preserve">Note </w:t>
      </w:r>
      <w:r>
        <w:rPr>
          <w:rFonts w:ascii="Times New Roman" w:eastAsia="Times New Roman" w:hAnsi="Times New Roman" w:cs="Times New Roman"/>
          <w:b/>
          <w:i w:val="0"/>
          <w:color w:val="000000"/>
          <w:sz w:val="20"/>
          <w:u w:val="none"/>
        </w:rPr>
        <w:t>2</w:t>
      </w:r>
      <w:r>
        <w:rPr>
          <w:rFonts w:ascii="Times New Roman" w:eastAsia="Times New Roman" w:hAnsi="Times New Roman" w:cs="Times New Roman"/>
          <w:b/>
          <w:i w:val="0"/>
          <w:color w:val="000000"/>
          <w:sz w:val="20"/>
          <w:u w:val="none"/>
        </w:rPr>
        <w:t>.</w:t>
      </w:r>
      <w:r>
        <w:rPr>
          <w:rFonts w:ascii="Times New Roman" w:eastAsia="Times New Roman" w:hAnsi="Times New Roman" w:cs="Times New Roman"/>
          <w:b/>
          <w:i w:val="0"/>
          <w:color w:val="000000"/>
          <w:sz w:val="20"/>
          <w:u w:val="none"/>
        </w:rPr>
        <w:t xml:space="preserve"> </w:t>
      </w:r>
      <w:r>
        <w:rPr>
          <w:rFonts w:ascii="Times New Roman" w:eastAsia="Times New Roman" w:hAnsi="Times New Roman" w:cs="Times New Roman"/>
          <w:b/>
          <w:i w:val="0"/>
          <w:color w:val="000000"/>
          <w:sz w:val="20"/>
          <w:u w:val="none"/>
        </w:rPr>
        <w:t>Impairments and Other Charges</w:t>
      </w:r>
      <w:r>
        <w:rPr>
          <w:rFonts w:ascii="Times New Roman" w:eastAsia="Times New Roman" w:hAnsi="Times New Roman" w:cs="Times New Roman"/>
          <w:b/>
          <w:i w:val="0"/>
          <w:color w:val="000000"/>
          <w:sz w:val="20"/>
          <w:u w:val="none"/>
        </w:rPr>
        <w:t xml:space="preserve"> </w:t>
      </w:r>
    </w:p>
    <w:p>
      <w:pPr>
        <w:keepNext w:val="0"/>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i/>
          <w:color w:val="000000"/>
          <w:sz w:val="24"/>
          <w:u w:val="none"/>
          <w:shd w:val="clear" w:color="auto" w:fill="FFF7C3"/>
        </w:rPr>
      </w:pPr>
      <w:r>
        <w:rPr>
          <w:rFonts w:ascii="Times New Roman" w:eastAsia="Times New Roman" w:hAnsi="Times New Roman" w:cs="Times New Roman"/>
          <w:b w:val="0"/>
          <w:i w:val="0"/>
          <w:color w:val="000000"/>
          <w:sz w:val="20"/>
          <w:u w:val="none"/>
        </w:rPr>
        <w:t xml:space="preserve">The following table presents various pre-tax charges we recorded during the </w:t>
      </w:r>
      <w:r>
        <w:rPr>
          <w:rFonts w:ascii="Times New Roman" w:eastAsia="Times New Roman" w:hAnsi="Times New Roman" w:cs="Times New Roman"/>
          <w:b w:val="0"/>
          <w:i w:val="0"/>
          <w:color w:val="000000"/>
          <w:sz w:val="20"/>
          <w:u w:val="none"/>
        </w:rPr>
        <w:t>three months ended</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color w:val="000000"/>
          <w:sz w:val="20"/>
          <w:u w:val="none"/>
        </w:rPr>
        <w:t>,</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 xml:space="preserve">which are reflected within </w:t>
      </w:r>
      <w:r>
        <w:rPr>
          <w:rFonts w:ascii="Times New Roman" w:eastAsia="Times New Roman" w:hAnsi="Times New Roman" w:cs="Times New Roman"/>
          <w:b w:val="0"/>
          <w:i w:val="0"/>
          <w:color w:val="000000"/>
          <w:sz w:val="20"/>
          <w:u w:val="none"/>
        </w:rPr>
        <w:t>“</w:t>
      </w:r>
      <w:r>
        <w:rPr>
          <w:rFonts w:ascii="Times New Roman" w:eastAsia="Times New Roman" w:hAnsi="Times New Roman" w:cs="Times New Roman"/>
          <w:b w:val="0"/>
          <w:i w:val="0"/>
          <w:color w:val="000000"/>
          <w:sz w:val="20"/>
          <w:u w:val="none"/>
        </w:rPr>
        <w:t xml:space="preserve">Impairments and other charges” on our </w:t>
      </w:r>
      <w:r>
        <w:rPr>
          <w:rFonts w:ascii="Times New Roman" w:eastAsia="Times New Roman" w:hAnsi="Times New Roman" w:cs="Times New Roman"/>
          <w:b w:val="0"/>
          <w:i w:val="0"/>
          <w:color w:val="000000"/>
          <w:sz w:val="20"/>
          <w:u w:val="none"/>
        </w:rPr>
        <w:t>condensed consolidated</w:t>
      </w:r>
      <w:r>
        <w:rPr>
          <w:rFonts w:ascii="Times New Roman" w:eastAsia="Times New Roman" w:hAnsi="Times New Roman" w:cs="Times New Roman"/>
          <w:b w:val="0"/>
          <w:i w:val="0"/>
          <w:color w:val="000000"/>
          <w:sz w:val="20"/>
          <w:u w:val="none"/>
        </w:rPr>
        <w:t xml:space="preserve"> statements of operations.</w:t>
      </w:r>
    </w:p>
    <w:tbl>
      <w:tblPr>
        <w:tblW w:w="7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310"/>
        <w:gridCol w:w="1800"/>
      </w:tblGrid>
      <w:tr>
        <w:tblPrEx>
          <w:tblW w:w="7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00"/>
          <w:jc w:val="center"/>
        </w:trPr>
        <w:tc>
          <w:tcPr>
            <w:tcW w:w="5310"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p>
        </w:tc>
        <w:tc>
          <w:tcPr>
            <w:tcW w:w="1800"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20"/>
                <w:u w:val="none"/>
              </w:rPr>
              <w:t>Three Months Ended</w:t>
            </w:r>
          </w:p>
        </w:tc>
      </w:tr>
      <w:tr>
        <w:tblPrEx>
          <w:tblW w:w="7110" w:type="dxa"/>
          <w:jc w:val="center"/>
          <w:tblLayout w:type="fixed"/>
          <w:tblCellMar>
            <w:left w:w="108" w:type="dxa"/>
            <w:right w:w="108" w:type="dxa"/>
          </w:tblCellMar>
        </w:tblPrEx>
        <w:trPr>
          <w:cantSplit/>
          <w:trHeight w:hRule="exact" w:val="300"/>
          <w:jc w:val="center"/>
        </w:trPr>
        <w:tc>
          <w:tcPr>
            <w:tcW w:w="5310"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p>
        </w:tc>
        <w:tc>
          <w:tcPr>
            <w:tcW w:w="180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20"/>
                <w:u w:val="none"/>
              </w:rPr>
              <w:t xml:space="preserve">March 31, </w:t>
            </w:r>
          </w:p>
        </w:tc>
      </w:tr>
      <w:tr>
        <w:tblPrEx>
          <w:tblW w:w="7110" w:type="dxa"/>
          <w:jc w:val="center"/>
          <w:tblLayout w:type="fixed"/>
          <w:tblCellMar>
            <w:left w:w="108" w:type="dxa"/>
            <w:right w:w="108" w:type="dxa"/>
          </w:tblCellMar>
        </w:tblPrEx>
        <w:trPr>
          <w:cantSplit/>
          <w:trHeight w:hRule="exact" w:val="300"/>
          <w:jc w:val="center"/>
        </w:trPr>
        <w:tc>
          <w:tcPr>
            <w:tcW w:w="531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color w:val="000000"/>
                <w:sz w:val="20"/>
                <w:u w:val="none"/>
              </w:rPr>
              <w:t>Millions of dollars</w:t>
            </w:r>
          </w:p>
        </w:tc>
        <w:tc>
          <w:tcPr>
            <w:tcW w:w="180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2025</w:t>
            </w:r>
          </w:p>
        </w:tc>
      </w:tr>
      <w:tr>
        <w:tblPrEx>
          <w:tblW w:w="7110" w:type="dxa"/>
          <w:jc w:val="center"/>
          <w:tblLayout w:type="fixed"/>
          <w:tblCellMar>
            <w:left w:w="108" w:type="dxa"/>
            <w:right w:w="108" w:type="dxa"/>
          </w:tblCellMar>
        </w:tblPrEx>
        <w:trPr>
          <w:cantSplit/>
          <w:trHeight w:hRule="exact" w:val="300"/>
          <w:jc w:val="center"/>
        </w:trPr>
        <w:tc>
          <w:tcPr>
            <w:tcW w:w="531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20"/>
                <w:u w:val="none"/>
              </w:rPr>
              <w:t>Severance costs</w:t>
            </w:r>
          </w:p>
        </w:tc>
        <w:tc>
          <w:tcPr>
            <w:tcW w:w="18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367"/>
                <w:tab w:val="left" w:pos="1732"/>
              </w:tabs>
              <w:spacing w:before="55" w:after="30" w:line="240" w:lineRule="auto"/>
              <w:jc w:val="right"/>
            </w:pPr>
            <w:r>
              <w:rPr>
                <w:rFonts w:ascii="Times New Roman" w:eastAsia="Times New Roman" w:hAnsi="Times New Roman" w:cs="Times New Roman"/>
                <w:b w:val="0"/>
                <w:i w:val="0"/>
                <w:color w:val="000000"/>
                <w:sz w:val="20"/>
                <w:u w:val="none"/>
              </w:rPr>
              <w:t>$</w:t>
              <w:tab/>
              <w:t>107</w:t>
              <w:tab/>
            </w:r>
          </w:p>
        </w:tc>
      </w:tr>
      <w:tr>
        <w:tblPrEx>
          <w:tblW w:w="7110" w:type="dxa"/>
          <w:jc w:val="center"/>
          <w:tblLayout w:type="fixed"/>
          <w:tblCellMar>
            <w:left w:w="108" w:type="dxa"/>
            <w:right w:w="108" w:type="dxa"/>
          </w:tblCellMar>
        </w:tblPrEx>
        <w:trPr>
          <w:cantSplit/>
          <w:trHeight w:hRule="exact" w:val="300"/>
          <w:jc w:val="center"/>
        </w:trPr>
        <w:tc>
          <w:tcPr>
            <w:tcW w:w="531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Impairment of assets held for sale</w:t>
            </w:r>
          </w:p>
        </w:tc>
        <w:tc>
          <w:tcPr>
            <w:tcW w:w="18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367"/>
                <w:tab w:val="left" w:pos="1732"/>
              </w:tabs>
              <w:spacing w:before="75" w:after="30" w:line="240" w:lineRule="auto"/>
              <w:jc w:val="right"/>
            </w:pPr>
            <w:r>
              <w:rPr>
                <w:rFonts w:ascii="Times New Roman" w:eastAsia="Times New Roman" w:hAnsi="Times New Roman" w:cs="Times New Roman"/>
                <w:b w:val="0"/>
                <w:i w:val="0"/>
                <w:color w:val="000000"/>
                <w:sz w:val="20"/>
                <w:u w:val="none"/>
              </w:rPr>
              <w:tab/>
              <w:t>104</w:t>
              <w:tab/>
            </w:r>
          </w:p>
        </w:tc>
      </w:tr>
      <w:tr>
        <w:tblPrEx>
          <w:tblW w:w="7110" w:type="dxa"/>
          <w:jc w:val="center"/>
          <w:tblLayout w:type="fixed"/>
          <w:tblCellMar>
            <w:left w:w="108" w:type="dxa"/>
            <w:right w:w="108" w:type="dxa"/>
          </w:tblCellMar>
        </w:tblPrEx>
        <w:trPr>
          <w:cantSplit/>
          <w:trHeight w:hRule="exact" w:val="300"/>
          <w:jc w:val="center"/>
        </w:trPr>
        <w:tc>
          <w:tcPr>
            <w:tcW w:w="531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Impairment of real estate facilities</w:t>
            </w:r>
          </w:p>
        </w:tc>
        <w:tc>
          <w:tcPr>
            <w:tcW w:w="18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467"/>
                <w:tab w:val="left" w:pos="1732"/>
              </w:tabs>
              <w:spacing w:before="75" w:after="30" w:line="240" w:lineRule="auto"/>
              <w:jc w:val="right"/>
            </w:pPr>
            <w:r>
              <w:rPr>
                <w:rFonts w:ascii="Times New Roman" w:eastAsia="Times New Roman" w:hAnsi="Times New Roman" w:cs="Times New Roman"/>
                <w:b w:val="0"/>
                <w:i w:val="0"/>
                <w:color w:val="000000"/>
                <w:sz w:val="20"/>
                <w:u w:val="none"/>
              </w:rPr>
              <w:tab/>
              <w:t>53</w:t>
              <w:tab/>
            </w:r>
          </w:p>
        </w:tc>
      </w:tr>
      <w:tr>
        <w:tblPrEx>
          <w:tblW w:w="7110" w:type="dxa"/>
          <w:jc w:val="center"/>
          <w:tblLayout w:type="fixed"/>
          <w:tblCellMar>
            <w:left w:w="108" w:type="dxa"/>
            <w:right w:w="108" w:type="dxa"/>
          </w:tblCellMar>
        </w:tblPrEx>
        <w:trPr>
          <w:cantSplit/>
          <w:trHeight w:hRule="exact" w:val="300"/>
          <w:jc w:val="center"/>
        </w:trPr>
        <w:tc>
          <w:tcPr>
            <w:tcW w:w="531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Other</w:t>
            </w:r>
          </w:p>
        </w:tc>
        <w:tc>
          <w:tcPr>
            <w:tcW w:w="18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467"/>
                <w:tab w:val="left" w:pos="1732"/>
              </w:tabs>
              <w:spacing w:before="75" w:after="30" w:line="240" w:lineRule="auto"/>
              <w:jc w:val="right"/>
            </w:pPr>
            <w:r>
              <w:rPr>
                <w:rFonts w:ascii="Times New Roman" w:eastAsia="Times New Roman" w:hAnsi="Times New Roman" w:cs="Times New Roman"/>
                <w:b w:val="0"/>
                <w:i w:val="0"/>
                <w:color w:val="000000"/>
                <w:sz w:val="20"/>
                <w:u w:val="none"/>
              </w:rPr>
              <w:tab/>
              <w:t>92</w:t>
              <w:tab/>
            </w:r>
          </w:p>
        </w:tc>
      </w:tr>
      <w:tr>
        <w:tblPrEx>
          <w:tblW w:w="7110" w:type="dxa"/>
          <w:jc w:val="center"/>
          <w:tblLayout w:type="fixed"/>
          <w:tblCellMar>
            <w:left w:w="108" w:type="dxa"/>
            <w:right w:w="108" w:type="dxa"/>
          </w:tblCellMar>
        </w:tblPrEx>
        <w:trPr>
          <w:cantSplit/>
          <w:trHeight w:hRule="exact" w:val="300"/>
          <w:jc w:val="center"/>
        </w:trPr>
        <w:tc>
          <w:tcPr>
            <w:tcW w:w="5310" w:type="dxa"/>
            <w:tcBorders>
              <w:top w:val="single" w:sz="8" w:space="0" w:color="000000"/>
              <w:left w:val="nil"/>
              <w:bottom w:val="double" w:sz="8" w:space="0" w:color="000000"/>
              <w:right w:val="nil"/>
            </w:tcBorders>
            <w:shd w:val="clear" w:color="auto" w:fill="CCEEFF"/>
            <w:tcMar>
              <w:top w:w="0" w:type="dxa"/>
              <w:left w:w="53" w:type="dxa"/>
              <w:bottom w:w="0" w:type="dxa"/>
              <w:right w:w="53" w:type="dxa"/>
            </w:tcMar>
            <w:vAlign w:val="bottom"/>
          </w:tcPr>
          <w:p>
            <w:pPr>
              <w:pageBreakBefore w:val="0"/>
              <w:spacing w:before="55" w:after="30" w:line="240" w:lineRule="auto"/>
              <w:jc w:val="left"/>
            </w:pPr>
            <w:r>
              <w:rPr>
                <w:rFonts w:ascii="Times New Roman" w:eastAsia="Times New Roman" w:hAnsi="Times New Roman" w:cs="Times New Roman"/>
                <w:b w:val="0"/>
                <w:i w:val="0"/>
                <w:color w:val="000000"/>
                <w:sz w:val="20"/>
                <w:u w:val="none"/>
              </w:rPr>
              <w:t>Total impairments and other charges</w:t>
            </w:r>
          </w:p>
        </w:tc>
        <w:tc>
          <w:tcPr>
            <w:tcW w:w="18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367"/>
                <w:tab w:val="left" w:pos="1732"/>
              </w:tabs>
              <w:spacing w:before="55" w:after="30" w:line="240" w:lineRule="auto"/>
              <w:jc w:val="right"/>
            </w:pPr>
            <w:r>
              <w:rPr>
                <w:rFonts w:ascii="Times New Roman" w:eastAsia="Times New Roman" w:hAnsi="Times New Roman" w:cs="Times New Roman"/>
                <w:b w:val="0"/>
                <w:i w:val="0"/>
                <w:color w:val="000000"/>
                <w:sz w:val="20"/>
                <w:u w:val="none"/>
              </w:rPr>
              <w:t>$</w:t>
              <w:tab/>
              <w:t>356</w:t>
              <w:tab/>
            </w:r>
          </w:p>
        </w:tc>
      </w:tr>
    </w:tbl>
    <w:p>
      <w:pPr>
        <w:keepNext/>
        <w:keepLines/>
        <w:pageBreakBefore w:val="0"/>
        <w:widowControl w:val="0"/>
        <w:numPr>
          <w:ilvl w:val="0"/>
          <w:numId w:val="0"/>
        </w:numPr>
        <w:spacing w:before="0" w:after="160" w:line="288" w:lineRule="auto"/>
        <w:ind w:left="0" w:right="0" w:firstLine="0"/>
        <w:jc w:val="center"/>
        <w:outlineLvl w:val="9"/>
        <w:rPr>
          <w:rFonts w:ascii="Times New Roman" w:eastAsia="Times New Roman" w:hAnsi="Times New Roman" w:cs="Times New Roman"/>
          <w:b w:val="0"/>
          <w:i w:val="0"/>
          <w:color w:val="000000"/>
          <w:sz w:val="20"/>
          <w:u w:val="none"/>
          <w:shd w:val="clear" w:color="auto" w:fill="FFFF00"/>
        </w:rPr>
      </w:pPr>
      <w:r>
        <w:rPr>
          <w:rFonts w:ascii="Times New Roman" w:eastAsia="Times New Roman" w:hAnsi="Times New Roman" w:cs="Times New Roman"/>
          <w:b w:val="0"/>
          <w:i w:val="0"/>
          <w:color w:val="000000"/>
          <w:sz w:val="20"/>
          <w:u w:val="none"/>
        </w:rPr>
        <w:t xml:space="preserve"> </w:t>
      </w:r>
    </w:p>
    <w:p>
      <w:pPr>
        <w:keepNext/>
        <w:keepLines/>
        <w:pageBreakBefore w:val="0"/>
        <w:widowControl w:val="0"/>
        <w:numPr>
          <w:ilvl w:val="0"/>
          <w:numId w:val="0"/>
        </w:numPr>
        <w:spacing w:before="0" w:after="160" w:line="288" w:lineRule="auto"/>
        <w:ind w:left="0" w:right="0" w:firstLine="0"/>
        <w:jc w:val="center"/>
        <w:outlineLvl w:val="9"/>
        <w:rPr>
          <w:rFonts w:ascii="Times New Roman" w:eastAsia="Times New Roman" w:hAnsi="Times New Roman" w:cs="Times New Roman"/>
          <w:b w:val="0"/>
          <w:i w:val="0"/>
          <w:color w:val="000000"/>
          <w:sz w:val="20"/>
          <w:u w:val="none"/>
          <w:shd w:val="clear" w:color="auto" w:fill="FFFF00"/>
        </w:rPr>
        <w:sectPr>
          <w:headerReference w:type="default" r:id="rId21"/>
          <w:footerReference w:type="default" r:id="rId22"/>
          <w:type w:val="continuous"/>
          <w:pgSz w:w="12240" w:h="15840"/>
          <w:pgMar w:top="900" w:right="990" w:bottom="900" w:left="990" w:header="270" w:footer="270"/>
          <w:cols w:space="708"/>
        </w:sectPr>
      </w:pPr>
    </w:p>
    <w:p>
      <w:pPr>
        <w:keepNext/>
        <w:keepLines/>
        <w:pageBreakBefore w:val="0"/>
        <w:widowControl w:val="0"/>
        <w:numPr>
          <w:ilvl w:val="0"/>
          <w:numId w:val="0"/>
        </w:numPr>
        <w:spacing w:before="0" w:after="160" w:line="288" w:lineRule="auto"/>
        <w:ind w:left="0" w:right="0" w:firstLine="720"/>
        <w:jc w:val="both"/>
        <w:outlineLvl w:val="3"/>
        <w:rPr>
          <w:rFonts w:ascii="Times New Roman" w:eastAsia="Times New Roman" w:hAnsi="Times New Roman" w:cs="Times New Roman"/>
          <w:b w:val="0"/>
          <w:i w:val="0"/>
          <w:color w:val="000000"/>
          <w:sz w:val="24"/>
          <w:u w:val="none"/>
          <w:shd w:val="clear" w:color="auto" w:fill="FFFF00"/>
        </w:rPr>
      </w:pPr>
      <w:bookmarkStart w:id="11" w:name="Section12"/>
      <w:bookmarkEnd w:id="11"/>
      <w:r>
        <w:rPr>
          <w:rFonts w:ascii="Times New Roman" w:eastAsia="Times New Roman" w:hAnsi="Times New Roman" w:cs="Times New Roman"/>
          <w:b w:val="0"/>
          <w:i w:val="0"/>
          <w:color w:val="000000"/>
          <w:sz w:val="20"/>
          <w:u w:val="none"/>
          <w:shd w:val="clear" w:color="auto" w:fill="FFFFFF"/>
        </w:rPr>
        <w:t>Of the</w:t>
      </w:r>
      <w:r>
        <w:rPr>
          <w:rFonts w:ascii="Times New Roman" w:eastAsia="Times New Roman" w:hAnsi="Times New Roman" w:cs="Times New Roman"/>
          <w:b w:val="0"/>
          <w:i w:val="0"/>
          <w:color w:val="000000"/>
          <w:sz w:val="20"/>
          <w:u w:val="none"/>
          <w:shd w:val="clear" w:color="auto" w:fill="FFFFFF"/>
        </w:rPr>
        <w:t xml:space="preserve"> </w:t>
      </w:r>
      <w:r>
        <w:rPr>
          <w:rFonts w:ascii="Times New Roman" w:eastAsia="Times New Roman" w:hAnsi="Times New Roman" w:cs="Times New Roman"/>
          <w:b w:val="0"/>
          <w:i w:val="0"/>
          <w:color w:val="000000"/>
          <w:sz w:val="20"/>
          <w:u w:val="none"/>
        </w:rPr>
        <w:t>$356 million</w:t>
      </w:r>
      <w:r>
        <w:rPr>
          <w:rFonts w:ascii="Times New Roman" w:eastAsia="Times New Roman" w:hAnsi="Times New Roman" w:cs="Times New Roman"/>
          <w:b w:val="0"/>
          <w:i w:val="0"/>
          <w:color w:val="000000"/>
          <w:sz w:val="20"/>
          <w:u w:val="none"/>
          <w:shd w:val="clear" w:color="auto" w:fill="FFFFFF"/>
        </w:rPr>
        <w:t xml:space="preserve"> </w:t>
      </w:r>
      <w:r>
        <w:rPr>
          <w:rFonts w:ascii="Times New Roman" w:eastAsia="Times New Roman" w:hAnsi="Times New Roman" w:cs="Times New Roman"/>
          <w:b w:val="0"/>
          <w:i w:val="0"/>
          <w:color w:val="000000"/>
          <w:sz w:val="20"/>
          <w:u w:val="none"/>
          <w:shd w:val="clear" w:color="auto" w:fill="FFFFFF"/>
        </w:rPr>
        <w:t>pre-tax</w:t>
      </w:r>
      <w:r>
        <w:rPr>
          <w:rFonts w:ascii="Times New Roman" w:eastAsia="Times New Roman" w:hAnsi="Times New Roman" w:cs="Times New Roman"/>
          <w:b w:val="0"/>
          <w:i w:val="0"/>
          <w:color w:val="000000"/>
          <w:sz w:val="20"/>
          <w:u w:val="none"/>
          <w:shd w:val="clear" w:color="auto" w:fill="FFFFFF"/>
        </w:rPr>
        <w:t xml:space="preserve"> charges recorded during the </w:t>
      </w:r>
      <w:r>
        <w:rPr>
          <w:rFonts w:ascii="Times New Roman" w:eastAsia="Times New Roman" w:hAnsi="Times New Roman" w:cs="Times New Roman"/>
          <w:b w:val="0"/>
          <w:i w:val="0"/>
          <w:color w:val="000000"/>
          <w:sz w:val="20"/>
          <w:u w:val="none"/>
        </w:rPr>
        <w:t>three months ended</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color w:val="000000"/>
          <w:sz w:val="20"/>
          <w:u w:val="none"/>
          <w:shd w:val="clear" w:color="auto" w:fill="FFFFFF"/>
        </w:rPr>
        <w:t xml:space="preserve">, </w:t>
      </w:r>
      <w:r>
        <w:rPr>
          <w:rFonts w:ascii="Times New Roman" w:eastAsia="Times New Roman" w:hAnsi="Times New Roman" w:cs="Times New Roman"/>
          <w:b w:val="0"/>
          <w:i w:val="0"/>
          <w:color w:val="000000"/>
          <w:sz w:val="20"/>
          <w:u w:val="none"/>
        </w:rPr>
        <w:t>$201 million</w:t>
      </w:r>
      <w:r>
        <w:rPr>
          <w:rFonts w:ascii="Times New Roman" w:eastAsia="Times New Roman" w:hAnsi="Times New Roman" w:cs="Times New Roman"/>
          <w:b w:val="0"/>
          <w:i w:val="0"/>
          <w:color w:val="000000"/>
          <w:sz w:val="20"/>
          <w:u w:val="none"/>
          <w:shd w:val="clear" w:color="auto" w:fill="FFFFFF"/>
        </w:rPr>
        <w:t xml:space="preserve"> was attributable to our Completion and Production segment, </w:t>
      </w:r>
      <w:r>
        <w:rPr>
          <w:rFonts w:ascii="Times New Roman" w:eastAsia="Times New Roman" w:hAnsi="Times New Roman" w:cs="Times New Roman"/>
          <w:b w:val="0"/>
          <w:i w:val="0"/>
          <w:color w:val="000000"/>
          <w:sz w:val="20"/>
          <w:u w:val="none"/>
        </w:rPr>
        <w:t>$85 million</w:t>
      </w:r>
      <w:r>
        <w:rPr>
          <w:rFonts w:ascii="Times New Roman" w:eastAsia="Times New Roman" w:hAnsi="Times New Roman" w:cs="Times New Roman"/>
          <w:b w:val="0"/>
          <w:i w:val="0"/>
          <w:color w:val="000000"/>
          <w:sz w:val="20"/>
          <w:u w:val="none"/>
          <w:shd w:val="clear" w:color="auto" w:fill="FFFFFF"/>
        </w:rPr>
        <w:t xml:space="preserve"> was attributable to our Drilling and Evaluation segment, and </w:t>
      </w:r>
      <w:r>
        <w:rPr>
          <w:rFonts w:ascii="Times New Roman" w:eastAsia="Times New Roman" w:hAnsi="Times New Roman" w:cs="Times New Roman"/>
          <w:b w:val="0"/>
          <w:i w:val="0"/>
          <w:color w:val="000000"/>
          <w:sz w:val="20"/>
          <w:u w:val="none"/>
        </w:rPr>
        <w:t>$70 million</w:t>
      </w:r>
      <w:r>
        <w:rPr>
          <w:rFonts w:ascii="Times New Roman" w:eastAsia="Times New Roman" w:hAnsi="Times New Roman" w:cs="Times New Roman"/>
          <w:b w:val="0"/>
          <w:i w:val="0"/>
          <w:color w:val="000000"/>
          <w:sz w:val="20"/>
          <w:u w:val="none"/>
          <w:shd w:val="clear" w:color="auto" w:fill="FFFFFF"/>
        </w:rPr>
        <w:t xml:space="preserve"> was attributable to Corporate and</w:t>
      </w:r>
      <w:r>
        <w:rPr>
          <w:rFonts w:ascii="Times New Roman" w:eastAsia="Times New Roman" w:hAnsi="Times New Roman" w:cs="Times New Roman"/>
          <w:b w:val="0"/>
          <w:i w:val="0"/>
          <w:color w:val="000000"/>
          <w:sz w:val="20"/>
          <w:u w:val="none"/>
          <w:shd w:val="clear" w:color="auto" w:fill="FFFFFF"/>
        </w:rPr>
        <w:t xml:space="preserve"> other.</w:t>
      </w:r>
    </w:p>
    <w:p>
      <w:pPr>
        <w:keepNext w:val="0"/>
        <w:keepLines w:val="0"/>
        <w:pageBreakBefore w:val="0"/>
        <w:widowControl/>
        <w:numPr>
          <w:ilvl w:val="0"/>
          <w:numId w:val="0"/>
        </w:numPr>
        <w:spacing w:before="0" w:after="16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During the </w:t>
      </w:r>
      <w:r>
        <w:rPr>
          <w:rFonts w:ascii="Times New Roman" w:eastAsia="Times New Roman" w:hAnsi="Times New Roman" w:cs="Times New Roman"/>
          <w:b w:val="0"/>
          <w:i w:val="0"/>
          <w:color w:val="000000"/>
          <w:sz w:val="20"/>
          <w:u w:val="none"/>
        </w:rPr>
        <w:t>first</w:t>
      </w:r>
      <w:r>
        <w:rPr>
          <w:rFonts w:ascii="Times New Roman" w:eastAsia="Times New Roman" w:hAnsi="Times New Roman" w:cs="Times New Roman"/>
          <w:b w:val="0"/>
          <w:i w:val="0"/>
          <w:color w:val="000000"/>
          <w:sz w:val="20"/>
          <w:u w:val="none"/>
        </w:rPr>
        <w:t xml:space="preserve"> quarter of</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2025</w:t>
      </w:r>
      <w:r>
        <w:rPr>
          <w:rFonts w:ascii="Times New Roman" w:eastAsia="Times New Roman" w:hAnsi="Times New Roman" w:cs="Times New Roman"/>
          <w:b w:val="0"/>
          <w:i w:val="0"/>
          <w:color w:val="000000"/>
          <w:sz w:val="20"/>
          <w:u w:val="none"/>
        </w:rPr>
        <w:t>,</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 xml:space="preserve">we recorded </w:t>
      </w:r>
      <w:r>
        <w:rPr>
          <w:rFonts w:ascii="Times New Roman" w:eastAsia="Times New Roman" w:hAnsi="Times New Roman" w:cs="Times New Roman"/>
          <w:b w:val="0"/>
          <w:i w:val="0"/>
          <w:color w:val="000000"/>
          <w:sz w:val="20"/>
          <w:u w:val="none"/>
        </w:rPr>
        <w:t>$107 million</w:t>
      </w:r>
      <w:r>
        <w:rPr>
          <w:rFonts w:ascii="Times New Roman" w:eastAsia="Times New Roman" w:hAnsi="Times New Roman" w:cs="Times New Roman"/>
          <w:b w:val="0"/>
          <w:i w:val="0"/>
          <w:color w:val="000000"/>
          <w:sz w:val="20"/>
          <w:u w:val="none"/>
        </w:rPr>
        <w:t xml:space="preserve"> in severance expense </w:t>
      </w:r>
      <w:r>
        <w:rPr>
          <w:rFonts w:ascii="Times New Roman" w:eastAsia="Times New Roman" w:hAnsi="Times New Roman" w:cs="Times New Roman"/>
          <w:b w:val="0"/>
          <w:i w:val="0"/>
          <w:color w:val="000000"/>
          <w:sz w:val="20"/>
          <w:u w:val="none"/>
        </w:rPr>
        <w:t xml:space="preserve">as we rationalized global headcount to </w:t>
      </w:r>
      <w:r>
        <w:rPr>
          <w:rFonts w:ascii="Times New Roman" w:eastAsia="Times New Roman" w:hAnsi="Times New Roman" w:cs="Times New Roman"/>
          <w:b w:val="0"/>
          <w:i w:val="0"/>
          <w:color w:val="000000"/>
          <w:sz w:val="20"/>
          <w:u w:val="none"/>
        </w:rPr>
        <w:t xml:space="preserve">align </w:t>
      </w:r>
      <w:r>
        <w:rPr>
          <w:rFonts w:ascii="Times New Roman" w:eastAsia="Times New Roman" w:hAnsi="Times New Roman" w:cs="Times New Roman"/>
          <w:b w:val="0"/>
          <w:i w:val="0"/>
          <w:color w:val="000000"/>
          <w:sz w:val="20"/>
          <w:u w:val="none"/>
        </w:rPr>
        <w:t>with activity levels</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 xml:space="preserve">and </w:t>
      </w:r>
      <w:r>
        <w:rPr>
          <w:rFonts w:ascii="Times New Roman" w:eastAsia="Times New Roman" w:hAnsi="Times New Roman" w:cs="Times New Roman"/>
          <w:b w:val="0"/>
          <w:i w:val="0"/>
          <w:color w:val="000000"/>
          <w:sz w:val="20"/>
          <w:u w:val="none"/>
        </w:rPr>
        <w:t>$104 million</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 xml:space="preserve">of </w:t>
      </w:r>
      <w:r>
        <w:rPr>
          <w:rFonts w:ascii="Times New Roman" w:eastAsia="Times New Roman" w:hAnsi="Times New Roman" w:cs="Times New Roman"/>
          <w:b w:val="0"/>
          <w:i w:val="0"/>
          <w:color w:val="000000"/>
          <w:sz w:val="20"/>
          <w:u w:val="none"/>
        </w:rPr>
        <w:t xml:space="preserve">additional </w:t>
      </w:r>
      <w:r>
        <w:rPr>
          <w:rFonts w:ascii="Times New Roman" w:eastAsia="Times New Roman" w:hAnsi="Times New Roman" w:cs="Times New Roman"/>
          <w:b w:val="0"/>
          <w:i w:val="0"/>
          <w:color w:val="000000"/>
          <w:sz w:val="20"/>
          <w:u w:val="none"/>
        </w:rPr>
        <w:t xml:space="preserve">impairment </w:t>
      </w:r>
      <w:r>
        <w:rPr>
          <w:rFonts w:ascii="Times New Roman" w:eastAsia="Times New Roman" w:hAnsi="Times New Roman" w:cs="Times New Roman"/>
          <w:b w:val="0"/>
          <w:i w:val="0"/>
          <w:color w:val="000000"/>
          <w:sz w:val="20"/>
          <w:u w:val="none"/>
        </w:rPr>
        <w:t xml:space="preserve">associated with a </w:t>
      </w:r>
      <w:r>
        <w:rPr>
          <w:rFonts w:ascii="Times New Roman" w:eastAsia="Times New Roman" w:hAnsi="Times New Roman" w:cs="Times New Roman"/>
          <w:b w:val="0"/>
          <w:i w:val="0"/>
          <w:color w:val="000000"/>
          <w:sz w:val="20"/>
          <w:u w:val="none"/>
        </w:rPr>
        <w:t>strategic decision to market</w:t>
      </w:r>
      <w:r>
        <w:rPr>
          <w:rFonts w:ascii="Times New Roman" w:eastAsia="Times New Roman" w:hAnsi="Times New Roman" w:cs="Times New Roman"/>
          <w:b w:val="0"/>
          <w:i w:val="0"/>
          <w:color w:val="000000"/>
          <w:sz w:val="20"/>
          <w:u w:val="none"/>
        </w:rPr>
        <w:t xml:space="preserve"> for sale a portion of our</w:t>
      </w:r>
      <w:r>
        <w:rPr>
          <w:rFonts w:ascii="Times New Roman" w:eastAsia="Times New Roman" w:hAnsi="Times New Roman" w:cs="Times New Roman"/>
          <w:b w:val="0"/>
          <w:i w:val="0"/>
          <w:color w:val="000000"/>
          <w:sz w:val="20"/>
          <w:u w:val="none"/>
        </w:rPr>
        <w:t xml:space="preserve"> chemical business</w:t>
      </w:r>
      <w:r>
        <w:rPr>
          <w:rFonts w:ascii="Times New Roman" w:eastAsia="Times New Roman" w:hAnsi="Times New Roman" w:cs="Times New Roman"/>
          <w:b w:val="0"/>
          <w:i w:val="0"/>
          <w:color w:val="000000"/>
          <w:sz w:val="20"/>
          <w:u w:val="none"/>
        </w:rPr>
        <w:t>.</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Addition</w:t>
      </w:r>
      <w:r>
        <w:rPr>
          <w:rFonts w:ascii="Times New Roman" w:eastAsia="Times New Roman" w:hAnsi="Times New Roman" w:cs="Times New Roman"/>
          <w:b w:val="0"/>
          <w:i w:val="0"/>
          <w:color w:val="000000"/>
          <w:sz w:val="20"/>
          <w:u w:val="none"/>
        </w:rPr>
        <w:t xml:space="preserve">ally, we recognized </w:t>
      </w:r>
      <w:r>
        <w:rPr>
          <w:rFonts w:ascii="Times New Roman" w:eastAsia="Times New Roman" w:hAnsi="Times New Roman" w:cs="Times New Roman"/>
          <w:b w:val="0"/>
          <w:i w:val="0"/>
          <w:color w:val="000000"/>
          <w:sz w:val="20"/>
          <w:u w:val="none"/>
        </w:rPr>
        <w:t xml:space="preserve">a </w:t>
      </w:r>
      <w:r>
        <w:rPr>
          <w:rFonts w:ascii="Times New Roman" w:eastAsia="Times New Roman" w:hAnsi="Times New Roman" w:cs="Times New Roman"/>
          <w:b w:val="0"/>
          <w:i w:val="0"/>
          <w:color w:val="000000"/>
          <w:sz w:val="20"/>
          <w:u w:val="none"/>
        </w:rPr>
        <w:t>$53 million</w:t>
      </w:r>
      <w:r>
        <w:rPr>
          <w:rFonts w:ascii="Times New Roman" w:eastAsia="Times New Roman" w:hAnsi="Times New Roman" w:cs="Times New Roman"/>
          <w:b w:val="0"/>
          <w:i w:val="0"/>
          <w:color w:val="000000"/>
          <w:sz w:val="20"/>
          <w:u w:val="none"/>
        </w:rPr>
        <w:t xml:space="preserve"> impairment related to facilit</w:t>
      </w:r>
      <w:r>
        <w:rPr>
          <w:rFonts w:ascii="Times New Roman" w:eastAsia="Times New Roman" w:hAnsi="Times New Roman" w:cs="Times New Roman"/>
          <w:b w:val="0"/>
          <w:i w:val="0"/>
          <w:color w:val="000000"/>
          <w:sz w:val="20"/>
          <w:u w:val="none"/>
        </w:rPr>
        <w:t>y closure</w:t>
      </w:r>
      <w:r>
        <w:rPr>
          <w:rFonts w:ascii="Times New Roman" w:eastAsia="Times New Roman" w:hAnsi="Times New Roman" w:cs="Times New Roman"/>
          <w:b w:val="0"/>
          <w:i w:val="0"/>
          <w:color w:val="000000"/>
          <w:sz w:val="20"/>
          <w:u w:val="none"/>
        </w:rPr>
        <w:t>s</w:t>
      </w:r>
      <w:r>
        <w:rPr>
          <w:rFonts w:ascii="Times New Roman" w:eastAsia="Times New Roman" w:hAnsi="Times New Roman" w:cs="Times New Roman"/>
          <w:b w:val="0"/>
          <w:i w:val="0"/>
          <w:color w:val="000000"/>
          <w:sz w:val="20"/>
          <w:u w:val="none"/>
        </w:rPr>
        <w:t xml:space="preserve"> and lease termination</w:t>
      </w:r>
      <w:r>
        <w:rPr>
          <w:rFonts w:ascii="Times New Roman" w:eastAsia="Times New Roman" w:hAnsi="Times New Roman" w:cs="Times New Roman"/>
          <w:b w:val="0"/>
          <w:i w:val="0"/>
          <w:color w:val="000000"/>
          <w:sz w:val="20"/>
          <w:u w:val="none"/>
        </w:rPr>
        <w:t>s</w:t>
      </w:r>
      <w:r>
        <w:rPr>
          <w:rFonts w:ascii="Times New Roman" w:eastAsia="Times New Roman" w:hAnsi="Times New Roman" w:cs="Times New Roman"/>
          <w:b w:val="0"/>
          <w:i w:val="0"/>
          <w:color w:val="000000"/>
          <w:sz w:val="20"/>
          <w:u w:val="none"/>
        </w:rPr>
        <w:t>.</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O</w:t>
      </w:r>
      <w:r>
        <w:rPr>
          <w:rFonts w:ascii="Times New Roman" w:eastAsia="Times New Roman" w:hAnsi="Times New Roman" w:cs="Times New Roman"/>
          <w:b w:val="0"/>
          <w:i w:val="0"/>
          <w:color w:val="000000"/>
          <w:sz w:val="20"/>
          <w:u w:val="none"/>
        </w:rPr>
        <w:t>ther</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charge</w:t>
      </w:r>
      <w:r>
        <w:rPr>
          <w:rFonts w:ascii="Times New Roman" w:eastAsia="Times New Roman" w:hAnsi="Times New Roman" w:cs="Times New Roman"/>
          <w:b w:val="0"/>
          <w:i w:val="0"/>
          <w:color w:val="000000"/>
          <w:sz w:val="20"/>
          <w:u w:val="none"/>
        </w:rPr>
        <w:t>s</w:t>
      </w:r>
      <w:r>
        <w:rPr>
          <w:rFonts w:ascii="Times New Roman" w:eastAsia="Times New Roman" w:hAnsi="Times New Roman" w:cs="Times New Roman"/>
          <w:b w:val="0"/>
          <w:i w:val="0"/>
          <w:color w:val="000000"/>
          <w:sz w:val="20"/>
          <w:u w:val="none"/>
        </w:rPr>
        <w:t xml:space="preserve"> of </w:t>
      </w:r>
      <w:r>
        <w:rPr>
          <w:rFonts w:ascii="Times New Roman" w:eastAsia="Times New Roman" w:hAnsi="Times New Roman" w:cs="Times New Roman"/>
          <w:b w:val="0"/>
          <w:i w:val="0"/>
          <w:color w:val="000000"/>
          <w:sz w:val="20"/>
          <w:u w:val="none"/>
        </w:rPr>
        <w:t>$92 million</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is</w:t>
      </w:r>
      <w:r>
        <w:rPr>
          <w:rFonts w:ascii="Times New Roman" w:eastAsia="Times New Roman" w:hAnsi="Times New Roman" w:cs="Times New Roman"/>
          <w:b w:val="0"/>
          <w:i w:val="0"/>
          <w:color w:val="000000"/>
          <w:sz w:val="20"/>
          <w:u w:val="none"/>
        </w:rPr>
        <w:t xml:space="preserve"> primarily rela</w:t>
      </w:r>
      <w:r>
        <w:rPr>
          <w:rFonts w:ascii="Times New Roman" w:eastAsia="Times New Roman" w:hAnsi="Times New Roman" w:cs="Times New Roman"/>
          <w:b w:val="0"/>
          <w:i w:val="0"/>
          <w:color w:val="000000"/>
          <w:sz w:val="20"/>
          <w:u w:val="none"/>
        </w:rPr>
        <w:t>ted to legacy environmental remediation cost estimate increases.</w:t>
      </w:r>
    </w:p>
    <w:p>
      <w:pPr>
        <w:keepNext w:val="0"/>
        <w:keepLines w:val="0"/>
        <w:pageBreakBefore w:val="0"/>
        <w:widowControl/>
        <w:numPr>
          <w:ilvl w:val="0"/>
          <w:numId w:val="0"/>
        </w:numPr>
        <w:spacing w:before="0" w:after="160" w:line="288" w:lineRule="auto"/>
        <w:ind w:left="0" w:right="0" w:firstLine="720"/>
        <w:jc w:val="both"/>
        <w:outlineLvl w:val="9"/>
        <w:sectPr>
          <w:headerReference w:type="default" r:id="rId23"/>
          <w:footerReference w:type="default" r:id="rId24"/>
          <w:type w:val="continuous"/>
          <w:pgSz w:w="12240" w:h="15840"/>
          <w:pgMar w:top="900" w:right="990" w:bottom="900" w:left="990" w:header="270" w:footer="270"/>
          <w:cols w:space="708"/>
        </w:sectPr>
      </w:pPr>
    </w:p>
    <w:p>
      <w:pPr>
        <w:keepNext w:val="0"/>
        <w:keepLines/>
        <w:pageBreakBefore w:val="0"/>
        <w:widowControl w:val="0"/>
        <w:numPr>
          <w:ilvl w:val="0"/>
          <w:numId w:val="0"/>
        </w:numPr>
        <w:spacing w:before="0" w:after="160" w:line="288" w:lineRule="auto"/>
        <w:ind w:left="0" w:right="0" w:firstLine="720"/>
        <w:jc w:val="both"/>
        <w:outlineLvl w:val="3"/>
        <w:rPr>
          <w:rFonts w:ascii="Times New Roman" w:eastAsia="Times New Roman" w:hAnsi="Times New Roman" w:cs="Times New Roman"/>
          <w:b w:val="0"/>
          <w:i w:val="0"/>
          <w:color w:val="000000"/>
          <w:sz w:val="20"/>
          <w:u w:val="none"/>
          <w:shd w:val="clear" w:color="auto" w:fill="FFFFFF"/>
        </w:rPr>
      </w:pPr>
      <w:bookmarkStart w:id="12" w:name="Section13"/>
      <w:bookmarkEnd w:id="12"/>
      <w:r>
        <w:rPr>
          <w:rFonts w:ascii="Times New Roman" w:eastAsia="Times New Roman" w:hAnsi="Times New Roman" w:cs="Times New Roman"/>
          <w:b w:val="0"/>
          <w:i w:val="0"/>
          <w:color w:val="000000"/>
          <w:sz w:val="20"/>
          <w:u w:val="none"/>
        </w:rPr>
        <w:t xml:space="preserve">During the </w:t>
      </w:r>
      <w:r>
        <w:rPr>
          <w:rFonts w:ascii="Times New Roman" w:eastAsia="Times New Roman" w:hAnsi="Times New Roman" w:cs="Times New Roman"/>
          <w:b w:val="0"/>
          <w:i w:val="0"/>
          <w:color w:val="000000"/>
          <w:sz w:val="20"/>
          <w:u w:val="none"/>
        </w:rPr>
        <w:t>three months ended</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March 31, 2024</w:t>
      </w:r>
      <w:r>
        <w:rPr>
          <w:rFonts w:ascii="Times New Roman" w:eastAsia="Times New Roman" w:hAnsi="Times New Roman" w:cs="Times New Roman"/>
          <w:b w:val="0"/>
          <w:i w:val="0"/>
          <w:color w:val="000000"/>
          <w:sz w:val="20"/>
          <w:u w:val="none"/>
        </w:rPr>
        <w:t xml:space="preserve">, there were </w:t>
      </w:r>
      <w:r>
        <w:rPr>
          <w:rFonts w:ascii="Times New Roman" w:eastAsia="Times New Roman" w:hAnsi="Times New Roman" w:cs="Times New Roman"/>
          <w:b w:val="0"/>
          <w:i w:val="0"/>
          <w:color w:val="000000"/>
          <w:sz w:val="20"/>
          <w:u w:val="none"/>
        </w:rPr>
        <w:t>no</w:t>
      </w:r>
      <w:r>
        <w:rPr>
          <w:rFonts w:ascii="Times New Roman" w:eastAsia="Times New Roman" w:hAnsi="Times New Roman" w:cs="Times New Roman"/>
          <w:b w:val="0"/>
          <w:i w:val="0"/>
          <w:color w:val="000000"/>
          <w:sz w:val="20"/>
          <w:u w:val="none"/>
        </w:rPr>
        <w:t xml:space="preserve"> amounts recorded in impairments and other charges.</w:t>
      </w:r>
    </w:p>
    <w:p>
      <w:pPr>
        <w:keepNext w:val="0"/>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160" w:line="288" w:lineRule="auto"/>
        <w:ind w:left="0" w:right="0" w:firstLine="720"/>
        <w:jc w:val="both"/>
        <w:outlineLvl w:val="9"/>
        <w:sectPr>
          <w:headerReference w:type="default" r:id="rId25"/>
          <w:footerReference w:type="default" r:id="rId26"/>
          <w:type w:val="continuous"/>
          <w:pgSz w:w="12240" w:h="15840"/>
          <w:pgMar w:top="900" w:right="990" w:bottom="900" w:left="990" w:header="270" w:footer="270"/>
          <w:cols w:space="708"/>
        </w:sectPr>
      </w:pPr>
    </w:p>
    <w:p>
      <w:pPr>
        <w:keepNext/>
        <w:keepLines/>
        <w:pageBreakBefore w:val="0"/>
        <w:widowControl w:val="0"/>
        <w:numPr>
          <w:ilvl w:val="0"/>
          <w:numId w:val="0"/>
        </w:numPr>
        <w:spacing w:before="0" w:after="160" w:line="288" w:lineRule="auto"/>
        <w:ind w:left="0" w:right="0" w:firstLine="0"/>
        <w:jc w:val="left"/>
        <w:outlineLvl w:val="2"/>
        <w:rPr>
          <w:rFonts w:ascii="Times New Roman" w:eastAsia="Times New Roman" w:hAnsi="Times New Roman" w:cs="Times New Roman"/>
          <w:b/>
          <w:i w:val="0"/>
          <w:sz w:val="20"/>
        </w:rPr>
      </w:pPr>
      <w:bookmarkStart w:id="13" w:name="Section14"/>
      <w:bookmarkEnd w:id="13"/>
      <w:r>
        <w:rPr>
          <w:rFonts w:ascii="Times New Roman" w:eastAsia="Times New Roman" w:hAnsi="Times New Roman" w:cs="Times New Roman"/>
          <w:b/>
          <w:i w:val="0"/>
          <w:color w:val="000000"/>
          <w:sz w:val="20"/>
          <w:u w:val="none"/>
        </w:rPr>
        <w:t xml:space="preserve">Note </w:t>
      </w:r>
      <w:r>
        <w:rPr>
          <w:rFonts w:ascii="Times New Roman" w:eastAsia="Times New Roman" w:hAnsi="Times New Roman" w:cs="Times New Roman"/>
          <w:b/>
          <w:i w:val="0"/>
          <w:color w:val="000000"/>
          <w:sz w:val="20"/>
          <w:u w:val="none"/>
        </w:rPr>
        <w:t>3</w:t>
      </w:r>
      <w:r>
        <w:rPr>
          <w:rFonts w:ascii="Times New Roman" w:eastAsia="Times New Roman" w:hAnsi="Times New Roman" w:cs="Times New Roman"/>
          <w:b/>
          <w:i w:val="0"/>
          <w:color w:val="000000"/>
          <w:sz w:val="20"/>
          <w:u w:val="none"/>
        </w:rPr>
        <w:t xml:space="preserve">. </w:t>
      </w:r>
      <w:r>
        <w:rPr>
          <w:rFonts w:ascii="Times New Roman" w:eastAsia="Times New Roman" w:hAnsi="Times New Roman" w:cs="Times New Roman"/>
          <w:b/>
          <w:i w:val="0"/>
          <w:color w:val="000000"/>
          <w:sz w:val="20"/>
          <w:u w:val="none"/>
        </w:rPr>
        <w:t>Business Segment Information</w:t>
      </w:r>
    </w:p>
    <w:p>
      <w:pPr>
        <w:keepNext/>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We operate under </w:t>
      </w:r>
      <w:r>
        <w:rPr>
          <w:rFonts w:ascii="Times New Roman" w:eastAsia="Times New Roman" w:hAnsi="Times New Roman" w:cs="Times New Roman"/>
          <w:b w:val="0"/>
          <w:i w:val="0"/>
          <w:color w:val="000000"/>
          <w:sz w:val="20"/>
          <w:u w:val="none"/>
        </w:rPr>
        <w:t>two</w:t>
      </w:r>
      <w:r>
        <w:rPr>
          <w:rFonts w:ascii="Times New Roman" w:eastAsia="Times New Roman" w:hAnsi="Times New Roman" w:cs="Times New Roman"/>
          <w:b w:val="0"/>
          <w:i w:val="0"/>
          <w:color w:val="000000"/>
          <w:sz w:val="20"/>
          <w:u w:val="none"/>
        </w:rPr>
        <w:t xml:space="preserve"> divisions, which form the basis for the </w:t>
      </w:r>
      <w:r>
        <w:rPr>
          <w:rFonts w:ascii="Times New Roman" w:eastAsia="Times New Roman" w:hAnsi="Times New Roman" w:cs="Times New Roman"/>
          <w:b w:val="0"/>
          <w:i w:val="0"/>
          <w:color w:val="000000"/>
          <w:sz w:val="20"/>
          <w:u w:val="none"/>
        </w:rPr>
        <w:t>two</w:t>
      </w:r>
      <w:r>
        <w:rPr>
          <w:rFonts w:ascii="Times New Roman" w:eastAsia="Times New Roman" w:hAnsi="Times New Roman" w:cs="Times New Roman"/>
          <w:b w:val="0"/>
          <w:i w:val="0"/>
          <w:color w:val="000000"/>
          <w:sz w:val="20"/>
          <w:u w:val="none"/>
        </w:rPr>
        <w:t xml:space="preserve"> operating segments we report: the Completion and Production segment and the Drilling and Evaluation segment. Our equity in earnings and losses of unconsolidated affiliates that are accounted for using the equity method of accounting are included within cost of services and cost of sales on our statements of operations, which is part of operating income of the applicable segment.</w:t>
      </w:r>
    </w:p>
    <w:p>
      <w:pPr>
        <w:keepNext/>
        <w:keepLines/>
        <w:pageBreakBefore w:val="0"/>
        <w:widowControl w:val="0"/>
        <w:numPr>
          <w:ilvl w:val="0"/>
          <w:numId w:val="0"/>
        </w:numPr>
        <w:spacing w:before="0" w:after="160" w:line="269"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Our company’s chief operating decision maker (CODM) is Jeffrey Miller, Chairman of the Board, President and Chief Executive Officer. Our CODM assesses the performance of the </w:t>
      </w:r>
      <w:r>
        <w:rPr>
          <w:rFonts w:ascii="Times New Roman" w:eastAsia="Times New Roman" w:hAnsi="Times New Roman" w:cs="Times New Roman"/>
          <w:b w:val="0"/>
          <w:i w:val="0"/>
          <w:color w:val="000000"/>
          <w:sz w:val="20"/>
          <w:u w:val="none"/>
        </w:rPr>
        <w:t>two</w:t>
      </w:r>
      <w:r>
        <w:rPr>
          <w:rFonts w:ascii="Times New Roman" w:eastAsia="Times New Roman" w:hAnsi="Times New Roman" w:cs="Times New Roman"/>
          <w:b w:val="0"/>
          <w:i w:val="0"/>
          <w:color w:val="000000"/>
          <w:sz w:val="20"/>
          <w:u w:val="none"/>
        </w:rPr>
        <w:t xml:space="preserve"> divisions and makes resource allocation decisions based on divisional revenue</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and operating income.</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The following table presents information on our business </w:t>
      </w:r>
      <w:r>
        <w:rPr>
          <w:rFonts w:ascii="Times New Roman" w:eastAsia="Times New Roman" w:hAnsi="Times New Roman" w:cs="Times New Roman"/>
          <w:b w:val="0"/>
          <w:i w:val="0"/>
          <w:color w:val="000000"/>
          <w:sz w:val="20"/>
          <w:u w:val="none"/>
        </w:rPr>
        <w:t>segments.</w:t>
      </w:r>
    </w:p>
    <w:tbl>
      <w:tblPr>
        <w:tblW w:w="8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880"/>
        <w:gridCol w:w="1440"/>
        <w:gridCol w:w="1305"/>
      </w:tblGrid>
      <w:tr>
        <w:tblPrEx>
          <w:tblW w:w="8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00"/>
          <w:jc w:val="center"/>
        </w:trPr>
        <w:tc>
          <w:tcPr>
            <w:tcW w:w="5880"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center"/>
            </w:pPr>
          </w:p>
        </w:tc>
        <w:tc>
          <w:tcPr>
            <w:tcW w:w="2745" w:type="dxa"/>
            <w:gridSpan w:val="2"/>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20"/>
                <w:u w:val="none"/>
              </w:rPr>
              <w:t>Three Months Ended</w:t>
            </w:r>
          </w:p>
        </w:tc>
      </w:tr>
      <w:tr>
        <w:tblPrEx>
          <w:tblW w:w="8625" w:type="dxa"/>
          <w:jc w:val="center"/>
          <w:tblLayout w:type="fixed"/>
          <w:tblCellMar>
            <w:left w:w="108" w:type="dxa"/>
            <w:right w:w="108" w:type="dxa"/>
          </w:tblCellMar>
        </w:tblPrEx>
        <w:trPr>
          <w:cantSplit/>
          <w:trHeight w:hRule="exact" w:val="300"/>
          <w:jc w:val="center"/>
        </w:trPr>
        <w:tc>
          <w:tcPr>
            <w:tcW w:w="5880"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center"/>
            </w:pPr>
          </w:p>
        </w:tc>
        <w:tc>
          <w:tcPr>
            <w:tcW w:w="2745" w:type="dxa"/>
            <w:gridSpan w:val="2"/>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 xml:space="preserve">March 31, </w:t>
            </w:r>
          </w:p>
        </w:tc>
      </w:tr>
      <w:tr>
        <w:tblPrEx>
          <w:tblW w:w="8625" w:type="dxa"/>
          <w:jc w:val="center"/>
          <w:tblLayout w:type="fixed"/>
          <w:tblCellMar>
            <w:left w:w="108" w:type="dxa"/>
            <w:right w:w="108" w:type="dxa"/>
          </w:tblCellMar>
        </w:tblPrEx>
        <w:trPr>
          <w:cantSplit/>
          <w:trHeight w:hRule="exact" w:val="300"/>
          <w:jc w:val="center"/>
        </w:trPr>
        <w:tc>
          <w:tcPr>
            <w:tcW w:w="588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color w:val="000000"/>
                <w:sz w:val="20"/>
                <w:u w:val="none"/>
              </w:rPr>
              <w:t>Millions of dollars</w:t>
            </w:r>
          </w:p>
        </w:tc>
        <w:tc>
          <w:tcPr>
            <w:tcW w:w="144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2025</w:t>
            </w: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2024</w:t>
            </w:r>
          </w:p>
        </w:tc>
      </w:tr>
      <w:tr>
        <w:tblPrEx>
          <w:tblW w:w="8625" w:type="dxa"/>
          <w:jc w:val="center"/>
          <w:tblLayout w:type="fixed"/>
          <w:tblCellMar>
            <w:left w:w="108" w:type="dxa"/>
            <w:right w:w="108" w:type="dxa"/>
          </w:tblCellMar>
        </w:tblPrEx>
        <w:trPr>
          <w:cantSplit/>
          <w:trHeight w:hRule="exact" w:val="300"/>
          <w:jc w:val="center"/>
        </w:trPr>
        <w:tc>
          <w:tcPr>
            <w:tcW w:w="588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20"/>
                <w:u w:val="none"/>
              </w:rPr>
              <w:t>Revenue:</w:t>
            </w:r>
          </w:p>
        </w:tc>
        <w:tc>
          <w:tcPr>
            <w:tcW w:w="1440" w:type="dxa"/>
            <w:tcBorders>
              <w:top w:val="single" w:sz="8" w:space="0" w:color="000000"/>
              <w:left w:val="nil"/>
              <w:bottom w:val="nil"/>
              <w:right w:val="nil"/>
            </w:tcBorders>
            <w:shd w:val="clear" w:color="auto" w:fill="CCEEFF"/>
            <w:tcMar>
              <w:top w:w="0" w:type="dxa"/>
              <w:left w:w="0" w:type="dxa"/>
              <w:bottom w:w="0" w:type="dxa"/>
              <w:right w:w="53" w:type="dxa"/>
            </w:tcMar>
            <w:vAlign w:val="bottom"/>
          </w:tcPr>
          <w:p>
            <w:pPr>
              <w:keepNext/>
              <w:pageBreakBefore w:val="0"/>
              <w:spacing w:before="55" w:after="30" w:line="240" w:lineRule="auto"/>
              <w:jc w:val="right"/>
            </w:pPr>
          </w:p>
        </w:tc>
        <w:tc>
          <w:tcPr>
            <w:tcW w:w="1305" w:type="dxa"/>
            <w:tcBorders>
              <w:top w:val="single" w:sz="8" w:space="0" w:color="000000"/>
              <w:left w:val="nil"/>
              <w:bottom w:val="nil"/>
              <w:right w:val="nil"/>
            </w:tcBorders>
            <w:shd w:val="clear" w:color="auto" w:fill="CCEEFF"/>
            <w:tcMar>
              <w:top w:w="0" w:type="dxa"/>
              <w:left w:w="0" w:type="dxa"/>
              <w:bottom w:w="0" w:type="dxa"/>
              <w:right w:w="53" w:type="dxa"/>
            </w:tcMar>
            <w:vAlign w:val="bottom"/>
          </w:tcPr>
          <w:p>
            <w:pPr>
              <w:keepNext/>
              <w:pageBreakBefore w:val="0"/>
              <w:spacing w:before="55" w:after="30" w:line="240" w:lineRule="auto"/>
              <w:jc w:val="right"/>
            </w:pPr>
          </w:p>
        </w:tc>
      </w:tr>
      <w:tr>
        <w:tblPrEx>
          <w:tblW w:w="8625" w:type="dxa"/>
          <w:jc w:val="center"/>
          <w:tblLayout w:type="fixed"/>
          <w:tblCellMar>
            <w:left w:w="108" w:type="dxa"/>
            <w:right w:w="108" w:type="dxa"/>
          </w:tblCellMar>
        </w:tblPrEx>
        <w:trPr>
          <w:cantSplit/>
          <w:trHeight w:hRule="exact" w:val="300"/>
          <w:jc w:val="center"/>
        </w:trPr>
        <w:tc>
          <w:tcPr>
            <w:tcW w:w="588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Completion and Production</w:t>
            </w: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57"/>
                <w:tab w:val="left" w:pos="1372"/>
              </w:tabs>
              <w:spacing w:before="75" w:after="30" w:line="240" w:lineRule="auto"/>
              <w:jc w:val="right"/>
            </w:pPr>
            <w:r>
              <w:rPr>
                <w:rFonts w:ascii="Times New Roman" w:eastAsia="Times New Roman" w:hAnsi="Times New Roman" w:cs="Times New Roman"/>
                <w:b w:val="0"/>
                <w:i w:val="0"/>
                <w:color w:val="000000"/>
                <w:sz w:val="20"/>
                <w:u w:val="none"/>
              </w:rPr>
              <w:t>$</w:t>
              <w:tab/>
              <w:t>3,120</w:t>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22"/>
                <w:tab w:val="left" w:pos="1237"/>
              </w:tabs>
              <w:spacing w:before="75" w:after="30" w:line="240" w:lineRule="auto"/>
              <w:jc w:val="right"/>
            </w:pPr>
            <w:r>
              <w:rPr>
                <w:rFonts w:ascii="Times New Roman" w:eastAsia="Times New Roman" w:hAnsi="Times New Roman" w:cs="Times New Roman"/>
                <w:b w:val="0"/>
                <w:i w:val="0"/>
                <w:color w:val="000000"/>
                <w:sz w:val="20"/>
                <w:u w:val="none"/>
              </w:rPr>
              <w:t>$</w:t>
              <w:tab/>
              <w:t>3,373</w:t>
              <w:tab/>
            </w:r>
          </w:p>
        </w:tc>
      </w:tr>
      <w:tr>
        <w:tblPrEx>
          <w:tblW w:w="8625" w:type="dxa"/>
          <w:jc w:val="center"/>
          <w:tblLayout w:type="fixed"/>
          <w:tblCellMar>
            <w:left w:w="108" w:type="dxa"/>
            <w:right w:w="108" w:type="dxa"/>
          </w:tblCellMar>
        </w:tblPrEx>
        <w:trPr>
          <w:cantSplit/>
          <w:trHeight w:hRule="exact" w:val="300"/>
          <w:jc w:val="center"/>
        </w:trPr>
        <w:tc>
          <w:tcPr>
            <w:tcW w:w="5880"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Drilling and Evaluation</w:t>
            </w:r>
          </w:p>
        </w:tc>
        <w:tc>
          <w:tcPr>
            <w:tcW w:w="14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57"/>
                <w:tab w:val="left" w:pos="1372"/>
              </w:tabs>
              <w:spacing w:before="75" w:after="30" w:line="240" w:lineRule="auto"/>
              <w:jc w:val="right"/>
            </w:pPr>
            <w:r>
              <w:rPr>
                <w:rFonts w:ascii="Times New Roman" w:eastAsia="Times New Roman" w:hAnsi="Times New Roman" w:cs="Times New Roman"/>
                <w:b w:val="0"/>
                <w:i w:val="0"/>
                <w:color w:val="000000"/>
                <w:sz w:val="20"/>
                <w:u w:val="none"/>
              </w:rPr>
              <w:tab/>
              <w:t>2,297</w:t>
              <w:tab/>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22"/>
                <w:tab w:val="left" w:pos="1237"/>
              </w:tabs>
              <w:spacing w:before="75" w:after="30" w:line="240" w:lineRule="auto"/>
              <w:jc w:val="right"/>
            </w:pPr>
            <w:r>
              <w:rPr>
                <w:rFonts w:ascii="Times New Roman" w:eastAsia="Times New Roman" w:hAnsi="Times New Roman" w:cs="Times New Roman"/>
                <w:b w:val="0"/>
                <w:i w:val="0"/>
                <w:color w:val="000000"/>
                <w:sz w:val="20"/>
                <w:u w:val="none"/>
              </w:rPr>
              <w:tab/>
              <w:t>2,431</w:t>
              <w:tab/>
            </w:r>
          </w:p>
        </w:tc>
      </w:tr>
      <w:tr>
        <w:tblPrEx>
          <w:tblW w:w="8625" w:type="dxa"/>
          <w:jc w:val="center"/>
          <w:tblLayout w:type="fixed"/>
          <w:tblCellMar>
            <w:left w:w="108" w:type="dxa"/>
            <w:right w:w="108" w:type="dxa"/>
          </w:tblCellMar>
        </w:tblPrEx>
        <w:trPr>
          <w:cantSplit/>
          <w:trHeight w:hRule="exact" w:val="300"/>
          <w:jc w:val="center"/>
        </w:trPr>
        <w:tc>
          <w:tcPr>
            <w:tcW w:w="5880" w:type="dxa"/>
            <w:tcBorders>
              <w:top w:val="single" w:sz="8" w:space="0" w:color="000000"/>
              <w:left w:val="nil"/>
              <w:bottom w:val="double" w:sz="8" w:space="0" w:color="000000"/>
              <w:right w:val="nil"/>
            </w:tcBorders>
            <w:shd w:val="clear" w:color="auto" w:fill="FFFF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20"/>
                <w:u w:val="none"/>
              </w:rPr>
              <w:t>Total revenue</w:t>
            </w:r>
          </w:p>
        </w:tc>
        <w:tc>
          <w:tcPr>
            <w:tcW w:w="144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857"/>
                <w:tab w:val="left" w:pos="1372"/>
              </w:tabs>
              <w:spacing w:before="55" w:after="30" w:line="240" w:lineRule="auto"/>
              <w:jc w:val="right"/>
            </w:pPr>
            <w:r>
              <w:rPr>
                <w:rFonts w:ascii="Times New Roman" w:eastAsia="Times New Roman" w:hAnsi="Times New Roman" w:cs="Times New Roman"/>
                <w:b w:val="0"/>
                <w:i w:val="0"/>
                <w:color w:val="000000"/>
                <w:sz w:val="20"/>
                <w:u w:val="none"/>
              </w:rPr>
              <w:t>$</w:t>
              <w:tab/>
              <w:t>5,417</w:t>
              <w:tab/>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722"/>
                <w:tab w:val="left" w:pos="1237"/>
              </w:tabs>
              <w:spacing w:before="55" w:after="30" w:line="240" w:lineRule="auto"/>
              <w:jc w:val="right"/>
            </w:pPr>
            <w:r>
              <w:rPr>
                <w:rFonts w:ascii="Times New Roman" w:eastAsia="Times New Roman" w:hAnsi="Times New Roman" w:cs="Times New Roman"/>
                <w:b w:val="0"/>
                <w:i w:val="0"/>
                <w:color w:val="000000"/>
                <w:sz w:val="20"/>
                <w:u w:val="none"/>
              </w:rPr>
              <w:t>$</w:t>
              <w:tab/>
              <w:t>5,804</w:t>
              <w:tab/>
            </w:r>
          </w:p>
        </w:tc>
      </w:tr>
      <w:tr>
        <w:tblPrEx>
          <w:tblW w:w="8625" w:type="dxa"/>
          <w:jc w:val="center"/>
          <w:tblLayout w:type="fixed"/>
          <w:tblCellMar>
            <w:left w:w="108" w:type="dxa"/>
            <w:right w:w="108" w:type="dxa"/>
          </w:tblCellMar>
        </w:tblPrEx>
        <w:trPr>
          <w:cantSplit/>
          <w:trHeight w:hRule="exact" w:val="300"/>
          <w:jc w:val="center"/>
        </w:trPr>
        <w:tc>
          <w:tcPr>
            <w:tcW w:w="5880" w:type="dxa"/>
            <w:tcBorders>
              <w:top w:val="doub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15" w:after="30" w:line="240" w:lineRule="auto"/>
              <w:jc w:val="left"/>
            </w:pPr>
            <w:r>
              <w:rPr>
                <w:rFonts w:ascii="Times New Roman" w:eastAsia="Times New Roman" w:hAnsi="Times New Roman" w:cs="Times New Roman"/>
                <w:b/>
                <w:i w:val="0"/>
                <w:color w:val="000000"/>
                <w:sz w:val="20"/>
                <w:u w:val="none"/>
              </w:rPr>
              <w:t>Operating income:</w:t>
            </w:r>
          </w:p>
        </w:tc>
        <w:tc>
          <w:tcPr>
            <w:tcW w:w="1440" w:type="dxa"/>
            <w:tcBorders>
              <w:top w:val="double" w:sz="8" w:space="0" w:color="000000"/>
              <w:left w:val="nil"/>
              <w:bottom w:val="nil"/>
              <w:right w:val="nil"/>
            </w:tcBorders>
            <w:shd w:val="clear" w:color="auto" w:fill="CCEEFF"/>
            <w:tcMar>
              <w:top w:w="0" w:type="dxa"/>
              <w:left w:w="0" w:type="dxa"/>
              <w:bottom w:w="0" w:type="dxa"/>
              <w:right w:w="53" w:type="dxa"/>
            </w:tcMar>
            <w:vAlign w:val="bottom"/>
          </w:tcPr>
          <w:p>
            <w:pPr>
              <w:keepNext/>
              <w:pageBreakBefore w:val="0"/>
              <w:spacing w:before="15" w:after="30" w:line="240" w:lineRule="auto"/>
              <w:jc w:val="right"/>
            </w:pPr>
          </w:p>
        </w:tc>
        <w:tc>
          <w:tcPr>
            <w:tcW w:w="1305" w:type="dxa"/>
            <w:tcBorders>
              <w:top w:val="double" w:sz="8" w:space="0" w:color="000000"/>
              <w:left w:val="nil"/>
              <w:bottom w:val="nil"/>
              <w:right w:val="nil"/>
            </w:tcBorders>
            <w:shd w:val="clear" w:color="auto" w:fill="CCEEFF"/>
            <w:tcMar>
              <w:top w:w="0" w:type="dxa"/>
              <w:left w:w="0" w:type="dxa"/>
              <w:bottom w:w="0" w:type="dxa"/>
              <w:right w:w="53" w:type="dxa"/>
            </w:tcMar>
            <w:vAlign w:val="bottom"/>
          </w:tcPr>
          <w:p>
            <w:pPr>
              <w:keepNext/>
              <w:pageBreakBefore w:val="0"/>
              <w:spacing w:before="15" w:after="30" w:line="240" w:lineRule="auto"/>
              <w:jc w:val="right"/>
            </w:pPr>
          </w:p>
        </w:tc>
      </w:tr>
      <w:tr>
        <w:tblPrEx>
          <w:tblW w:w="8625" w:type="dxa"/>
          <w:jc w:val="center"/>
          <w:tblLayout w:type="fixed"/>
          <w:tblCellMar>
            <w:left w:w="108" w:type="dxa"/>
            <w:right w:w="108" w:type="dxa"/>
          </w:tblCellMar>
        </w:tblPrEx>
        <w:trPr>
          <w:cantSplit/>
          <w:trHeight w:hRule="exact" w:val="300"/>
          <w:jc w:val="center"/>
        </w:trPr>
        <w:tc>
          <w:tcPr>
            <w:tcW w:w="588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Completion and Production</w:t>
            </w: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07"/>
                <w:tab w:val="left" w:pos="1372"/>
              </w:tabs>
              <w:spacing w:before="75" w:after="30" w:line="240" w:lineRule="auto"/>
              <w:jc w:val="right"/>
            </w:pPr>
            <w:r>
              <w:rPr>
                <w:rFonts w:ascii="Times New Roman" w:eastAsia="Times New Roman" w:hAnsi="Times New Roman" w:cs="Times New Roman"/>
                <w:b w:val="0"/>
                <w:i w:val="0"/>
                <w:color w:val="000000"/>
                <w:sz w:val="20"/>
                <w:u w:val="none"/>
              </w:rPr>
              <w:t>$</w:t>
              <w:tab/>
              <w:t>531</w:t>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w:t>
              <w:tab/>
              <w:t>688</w:t>
              <w:tab/>
            </w:r>
          </w:p>
        </w:tc>
      </w:tr>
      <w:tr>
        <w:tblPrEx>
          <w:tblW w:w="8625" w:type="dxa"/>
          <w:jc w:val="center"/>
          <w:tblLayout w:type="fixed"/>
          <w:tblCellMar>
            <w:left w:w="108" w:type="dxa"/>
            <w:right w:w="108" w:type="dxa"/>
          </w:tblCellMar>
        </w:tblPrEx>
        <w:trPr>
          <w:cantSplit/>
          <w:trHeight w:hRule="exact" w:val="300"/>
          <w:jc w:val="center"/>
        </w:trPr>
        <w:tc>
          <w:tcPr>
            <w:tcW w:w="5880"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Drilling and Evaluation</w:t>
            </w:r>
          </w:p>
        </w:tc>
        <w:tc>
          <w:tcPr>
            <w:tcW w:w="14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007"/>
                <w:tab w:val="left" w:pos="1372"/>
              </w:tabs>
              <w:spacing w:before="75" w:after="30" w:line="240" w:lineRule="auto"/>
              <w:jc w:val="right"/>
            </w:pPr>
            <w:r>
              <w:rPr>
                <w:rFonts w:ascii="Times New Roman" w:eastAsia="Times New Roman" w:hAnsi="Times New Roman" w:cs="Times New Roman"/>
                <w:b w:val="0"/>
                <w:i w:val="0"/>
                <w:color w:val="000000"/>
                <w:sz w:val="20"/>
                <w:u w:val="none"/>
              </w:rPr>
              <w:tab/>
              <w:t>352</w:t>
              <w:tab/>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ab/>
              <w:t>398</w:t>
              <w:tab/>
            </w:r>
          </w:p>
        </w:tc>
      </w:tr>
      <w:tr>
        <w:tblPrEx>
          <w:tblW w:w="8625" w:type="dxa"/>
          <w:jc w:val="center"/>
          <w:tblLayout w:type="fixed"/>
          <w:tblCellMar>
            <w:left w:w="108" w:type="dxa"/>
            <w:right w:w="108" w:type="dxa"/>
          </w:tblCellMar>
        </w:tblPrEx>
        <w:trPr>
          <w:cantSplit/>
          <w:trHeight w:hRule="exact" w:val="300"/>
          <w:jc w:val="center"/>
        </w:trPr>
        <w:tc>
          <w:tcPr>
            <w:tcW w:w="588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20"/>
                <w:u w:val="none"/>
              </w:rPr>
              <w:t>Total operations</w:t>
            </w:r>
          </w:p>
        </w:tc>
        <w:tc>
          <w:tcPr>
            <w:tcW w:w="144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007"/>
                <w:tab w:val="left" w:pos="1372"/>
              </w:tabs>
              <w:spacing w:before="55" w:after="30" w:line="240" w:lineRule="auto"/>
              <w:jc w:val="right"/>
            </w:pPr>
            <w:r>
              <w:rPr>
                <w:rFonts w:ascii="Times New Roman" w:eastAsia="Times New Roman" w:hAnsi="Times New Roman" w:cs="Times New Roman"/>
                <w:b w:val="0"/>
                <w:i w:val="0"/>
                <w:color w:val="000000"/>
                <w:sz w:val="20"/>
                <w:u w:val="none"/>
              </w:rPr>
              <w:tab/>
              <w:t>883</w:t>
              <w:tab/>
            </w: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22"/>
                <w:tab w:val="left" w:pos="1237"/>
              </w:tabs>
              <w:spacing w:before="55" w:after="30" w:line="240" w:lineRule="auto"/>
              <w:jc w:val="right"/>
            </w:pPr>
            <w:r>
              <w:rPr>
                <w:rFonts w:ascii="Times New Roman" w:eastAsia="Times New Roman" w:hAnsi="Times New Roman" w:cs="Times New Roman"/>
                <w:b w:val="0"/>
                <w:i w:val="0"/>
                <w:color w:val="000000"/>
                <w:sz w:val="20"/>
                <w:u w:val="none"/>
              </w:rPr>
              <w:tab/>
              <w:t>1,086</w:t>
              <w:tab/>
            </w:r>
          </w:p>
        </w:tc>
      </w:tr>
      <w:tr>
        <w:tblPrEx>
          <w:tblW w:w="8625" w:type="dxa"/>
          <w:jc w:val="center"/>
          <w:tblLayout w:type="fixed"/>
          <w:tblCellMar>
            <w:left w:w="108" w:type="dxa"/>
            <w:right w:w="108" w:type="dxa"/>
          </w:tblCellMar>
        </w:tblPrEx>
        <w:trPr>
          <w:cantSplit/>
          <w:trHeight w:hRule="exact" w:val="300"/>
          <w:jc w:val="center"/>
        </w:trPr>
        <w:tc>
          <w:tcPr>
            <w:tcW w:w="588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20"/>
                <w:u w:val="none"/>
              </w:rPr>
              <w:t>Corporate and other (a)</w:t>
            </w:r>
          </w:p>
        </w:tc>
        <w:tc>
          <w:tcPr>
            <w:tcW w:w="144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21"/>
              </w:tabs>
              <w:spacing w:before="55" w:after="30" w:line="240" w:lineRule="auto"/>
              <w:jc w:val="right"/>
            </w:pPr>
            <w:r>
              <w:rPr>
                <w:rFonts w:ascii="Times New Roman" w:eastAsia="Times New Roman" w:hAnsi="Times New Roman" w:cs="Times New Roman"/>
                <w:b w:val="0"/>
                <w:i w:val="0"/>
                <w:color w:val="000000"/>
                <w:sz w:val="20"/>
                <w:u w:val="none"/>
              </w:rPr>
              <w:tab/>
              <w:t>(66)</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86"/>
              </w:tabs>
              <w:spacing w:before="55" w:after="30" w:line="240" w:lineRule="auto"/>
              <w:jc w:val="right"/>
            </w:pPr>
            <w:r>
              <w:rPr>
                <w:rFonts w:ascii="Times New Roman" w:eastAsia="Times New Roman" w:hAnsi="Times New Roman" w:cs="Times New Roman"/>
                <w:b w:val="0"/>
                <w:i w:val="0"/>
                <w:color w:val="000000"/>
                <w:sz w:val="20"/>
                <w:u w:val="none"/>
              </w:rPr>
              <w:tab/>
              <w:t>(65)</w:t>
            </w:r>
          </w:p>
        </w:tc>
      </w:tr>
      <w:tr>
        <w:tblPrEx>
          <w:tblW w:w="8625" w:type="dxa"/>
          <w:jc w:val="center"/>
          <w:tblLayout w:type="fixed"/>
          <w:tblCellMar>
            <w:left w:w="108" w:type="dxa"/>
            <w:right w:w="108" w:type="dxa"/>
          </w:tblCellMar>
        </w:tblPrEx>
        <w:trPr>
          <w:cantSplit/>
          <w:trHeight w:hRule="exact" w:val="300"/>
          <w:jc w:val="center"/>
        </w:trPr>
        <w:tc>
          <w:tcPr>
            <w:tcW w:w="588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SAP S4 upgrade expense</w:t>
            </w: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21"/>
              </w:tabs>
              <w:spacing w:before="75" w:after="30" w:line="240" w:lineRule="auto"/>
              <w:jc w:val="right"/>
            </w:pPr>
            <w:r>
              <w:rPr>
                <w:rFonts w:ascii="Times New Roman" w:eastAsia="Times New Roman" w:hAnsi="Times New Roman" w:cs="Times New Roman"/>
                <w:b w:val="0"/>
                <w:i w:val="0"/>
                <w:color w:val="000000"/>
                <w:sz w:val="20"/>
                <w:u w:val="none"/>
              </w:rPr>
              <w:tab/>
              <w:t>(30)</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86"/>
              </w:tabs>
              <w:spacing w:before="75" w:after="30" w:line="240" w:lineRule="auto"/>
              <w:jc w:val="right"/>
            </w:pPr>
            <w:r>
              <w:rPr>
                <w:rFonts w:ascii="Times New Roman" w:eastAsia="Times New Roman" w:hAnsi="Times New Roman" w:cs="Times New Roman"/>
                <w:b w:val="0"/>
                <w:i w:val="0"/>
                <w:color w:val="000000"/>
                <w:sz w:val="20"/>
                <w:u w:val="none"/>
              </w:rPr>
              <w:tab/>
              <w:t>(34)</w:t>
            </w:r>
          </w:p>
        </w:tc>
      </w:tr>
      <w:tr>
        <w:tblPrEx>
          <w:tblW w:w="8625" w:type="dxa"/>
          <w:jc w:val="center"/>
          <w:tblLayout w:type="fixed"/>
          <w:tblCellMar>
            <w:left w:w="108" w:type="dxa"/>
            <w:right w:w="108" w:type="dxa"/>
          </w:tblCellMar>
        </w:tblPrEx>
        <w:trPr>
          <w:cantSplit/>
          <w:trHeight w:hRule="exact" w:val="300"/>
          <w:jc w:val="center"/>
        </w:trPr>
        <w:tc>
          <w:tcPr>
            <w:tcW w:w="5880"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Impairments and other charges (b)</w:t>
            </w:r>
          </w:p>
        </w:tc>
        <w:tc>
          <w:tcPr>
            <w:tcW w:w="14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921"/>
              </w:tabs>
              <w:spacing w:before="75" w:after="30" w:line="240" w:lineRule="auto"/>
              <w:jc w:val="right"/>
            </w:pPr>
            <w:r>
              <w:rPr>
                <w:rFonts w:ascii="Times New Roman" w:eastAsia="Times New Roman" w:hAnsi="Times New Roman" w:cs="Times New Roman"/>
                <w:b w:val="0"/>
                <w:i w:val="0"/>
                <w:color w:val="000000"/>
                <w:sz w:val="20"/>
                <w:u w:val="none"/>
              </w:rPr>
              <w:tab/>
              <w:t>(356)</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972"/>
                <w:tab w:val="left" w:pos="1237"/>
              </w:tabs>
              <w:spacing w:before="75" w:after="30" w:line="240" w:lineRule="auto"/>
              <w:jc w:val="right"/>
            </w:pPr>
            <w:r>
              <w:rPr>
                <w:rFonts w:ascii="Times New Roman" w:eastAsia="Times New Roman" w:hAnsi="Times New Roman" w:cs="Times New Roman"/>
                <w:b w:val="0"/>
                <w:i w:val="0"/>
                <w:color w:val="000000"/>
                <w:sz w:val="20"/>
                <w:u w:val="none"/>
              </w:rPr>
              <w:tab/>
              <w:t>—</w:t>
              <w:tab/>
            </w:r>
          </w:p>
        </w:tc>
      </w:tr>
      <w:tr>
        <w:tblPrEx>
          <w:tblW w:w="8625" w:type="dxa"/>
          <w:jc w:val="center"/>
          <w:tblLayout w:type="fixed"/>
          <w:tblCellMar>
            <w:left w:w="108" w:type="dxa"/>
            <w:right w:w="108" w:type="dxa"/>
          </w:tblCellMar>
        </w:tblPrEx>
        <w:trPr>
          <w:cantSplit/>
          <w:trHeight w:hRule="exact" w:val="300"/>
          <w:jc w:val="center"/>
        </w:trPr>
        <w:tc>
          <w:tcPr>
            <w:tcW w:w="5880" w:type="dxa"/>
            <w:tcBorders>
              <w:top w:val="single" w:sz="8" w:space="0" w:color="000000"/>
              <w:left w:val="nil"/>
              <w:bottom w:val="doub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r>
              <w:rPr>
                <w:rFonts w:ascii="Times New Roman" w:eastAsia="Times New Roman" w:hAnsi="Times New Roman" w:cs="Times New Roman"/>
                <w:b w:val="0"/>
                <w:i w:val="0"/>
                <w:color w:val="000000"/>
                <w:sz w:val="20"/>
                <w:u w:val="none"/>
              </w:rPr>
              <w:t>Total operating income</w:t>
            </w:r>
          </w:p>
        </w:tc>
        <w:tc>
          <w:tcPr>
            <w:tcW w:w="144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1007"/>
                <w:tab w:val="left" w:pos="1372"/>
              </w:tabs>
              <w:spacing w:before="55" w:after="30" w:line="240" w:lineRule="auto"/>
              <w:jc w:val="right"/>
            </w:pPr>
            <w:r>
              <w:rPr>
                <w:rFonts w:ascii="Times New Roman" w:eastAsia="Times New Roman" w:hAnsi="Times New Roman" w:cs="Times New Roman"/>
                <w:b w:val="0"/>
                <w:i w:val="0"/>
                <w:color w:val="000000"/>
                <w:sz w:val="20"/>
                <w:u w:val="none"/>
              </w:rPr>
              <w:t>$</w:t>
              <w:tab/>
              <w:t>431</w:t>
              <w:tab/>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872"/>
                <w:tab w:val="left" w:pos="1237"/>
              </w:tabs>
              <w:spacing w:before="55" w:after="30" w:line="240" w:lineRule="auto"/>
              <w:jc w:val="right"/>
            </w:pPr>
            <w:r>
              <w:rPr>
                <w:rFonts w:ascii="Times New Roman" w:eastAsia="Times New Roman" w:hAnsi="Times New Roman" w:cs="Times New Roman"/>
                <w:b w:val="0"/>
                <w:i w:val="0"/>
                <w:color w:val="000000"/>
                <w:sz w:val="20"/>
                <w:u w:val="none"/>
              </w:rPr>
              <w:t>$</w:t>
              <w:tab/>
              <w:t>987</w:t>
              <w:tab/>
            </w:r>
          </w:p>
        </w:tc>
      </w:tr>
      <w:tr>
        <w:tblPrEx>
          <w:tblW w:w="8625" w:type="dxa"/>
          <w:jc w:val="center"/>
          <w:tblLayout w:type="fixed"/>
          <w:tblCellMar>
            <w:left w:w="108" w:type="dxa"/>
            <w:right w:w="108" w:type="dxa"/>
          </w:tblCellMar>
        </w:tblPrEx>
        <w:trPr>
          <w:cantSplit/>
          <w:trHeight w:hRule="exact" w:val="300"/>
          <w:jc w:val="center"/>
        </w:trPr>
        <w:tc>
          <w:tcPr>
            <w:tcW w:w="5880" w:type="dxa"/>
            <w:tcBorders>
              <w:top w:val="doub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15" w:after="30" w:line="240" w:lineRule="auto"/>
              <w:jc w:val="left"/>
            </w:pPr>
            <w:r>
              <w:rPr>
                <w:rFonts w:ascii="Times New Roman" w:eastAsia="Times New Roman" w:hAnsi="Times New Roman" w:cs="Times New Roman"/>
                <w:b w:val="0"/>
                <w:i w:val="0"/>
                <w:color w:val="000000"/>
                <w:sz w:val="20"/>
                <w:u w:val="none"/>
              </w:rPr>
              <w:t>Interest expense, net of interest income</w:t>
            </w:r>
          </w:p>
        </w:tc>
        <w:tc>
          <w:tcPr>
            <w:tcW w:w="1440" w:type="dxa"/>
            <w:tcBorders>
              <w:top w:val="doub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21"/>
              </w:tabs>
              <w:spacing w:before="15" w:after="30" w:line="240" w:lineRule="auto"/>
              <w:jc w:val="right"/>
            </w:pPr>
            <w:r>
              <w:rPr>
                <w:rFonts w:ascii="Times New Roman" w:eastAsia="Times New Roman" w:hAnsi="Times New Roman" w:cs="Times New Roman"/>
                <w:b w:val="0"/>
                <w:i w:val="0"/>
                <w:color w:val="000000"/>
                <w:sz w:val="20"/>
                <w:u w:val="none"/>
              </w:rPr>
              <w:tab/>
              <w:t>(86)</w:t>
            </w:r>
          </w:p>
        </w:tc>
        <w:tc>
          <w:tcPr>
            <w:tcW w:w="1305" w:type="dxa"/>
            <w:tcBorders>
              <w:top w:val="doub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86"/>
              </w:tabs>
              <w:spacing w:before="15" w:after="30" w:line="240" w:lineRule="auto"/>
              <w:jc w:val="right"/>
            </w:pPr>
            <w:r>
              <w:rPr>
                <w:rFonts w:ascii="Times New Roman" w:eastAsia="Times New Roman" w:hAnsi="Times New Roman" w:cs="Times New Roman"/>
                <w:b w:val="0"/>
                <w:i w:val="0"/>
                <w:color w:val="000000"/>
                <w:sz w:val="20"/>
                <w:u w:val="none"/>
              </w:rPr>
              <w:tab/>
              <w:t>(92)</w:t>
            </w:r>
          </w:p>
        </w:tc>
      </w:tr>
      <w:tr>
        <w:tblPrEx>
          <w:tblW w:w="8625" w:type="dxa"/>
          <w:jc w:val="center"/>
          <w:tblLayout w:type="fixed"/>
          <w:tblCellMar>
            <w:left w:w="108" w:type="dxa"/>
            <w:right w:w="108" w:type="dxa"/>
          </w:tblCellMar>
        </w:tblPrEx>
        <w:trPr>
          <w:cantSplit/>
          <w:trHeight w:hRule="exact" w:val="300"/>
          <w:jc w:val="center"/>
        </w:trPr>
        <w:tc>
          <w:tcPr>
            <w:tcW w:w="588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Other, net (c)</w:t>
            </w:r>
          </w:p>
        </w:tc>
        <w:tc>
          <w:tcPr>
            <w:tcW w:w="14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021"/>
              </w:tabs>
              <w:spacing w:before="75" w:after="30" w:line="240" w:lineRule="auto"/>
              <w:jc w:val="right"/>
            </w:pPr>
            <w:r>
              <w:rPr>
                <w:rFonts w:ascii="Times New Roman" w:eastAsia="Times New Roman" w:hAnsi="Times New Roman" w:cs="Times New Roman"/>
                <w:b w:val="0"/>
                <w:i w:val="0"/>
                <w:color w:val="000000"/>
                <w:sz w:val="20"/>
                <w:u w:val="none"/>
              </w:rPr>
              <w:tab/>
              <w:t>(39)</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86"/>
              </w:tabs>
              <w:spacing w:before="75" w:after="30" w:line="240" w:lineRule="auto"/>
              <w:jc w:val="right"/>
            </w:pPr>
            <w:r>
              <w:rPr>
                <w:rFonts w:ascii="Times New Roman" w:eastAsia="Times New Roman" w:hAnsi="Times New Roman" w:cs="Times New Roman"/>
                <w:b w:val="0"/>
                <w:i w:val="0"/>
                <w:color w:val="000000"/>
                <w:sz w:val="20"/>
                <w:u w:val="none"/>
              </w:rPr>
              <w:tab/>
              <w:t>(108)</w:t>
            </w:r>
          </w:p>
        </w:tc>
      </w:tr>
      <w:tr>
        <w:tblPrEx>
          <w:tblW w:w="8625" w:type="dxa"/>
          <w:jc w:val="center"/>
          <w:tblLayout w:type="fixed"/>
          <w:tblCellMar>
            <w:left w:w="108" w:type="dxa"/>
            <w:right w:w="108" w:type="dxa"/>
          </w:tblCellMar>
        </w:tblPrEx>
        <w:trPr>
          <w:cantSplit/>
          <w:trHeight w:hRule="exact" w:val="300"/>
          <w:jc w:val="center"/>
        </w:trPr>
        <w:tc>
          <w:tcPr>
            <w:tcW w:w="5880" w:type="dxa"/>
            <w:tcBorders>
              <w:top w:val="single" w:sz="8" w:space="0" w:color="000000"/>
              <w:left w:val="nil"/>
              <w:bottom w:val="double" w:sz="8" w:space="0" w:color="000000"/>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20"/>
                <w:u w:val="none"/>
              </w:rPr>
              <w:t>Income before income taxes</w:t>
            </w:r>
          </w:p>
        </w:tc>
        <w:tc>
          <w:tcPr>
            <w:tcW w:w="144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1007"/>
                <w:tab w:val="left" w:pos="1372"/>
              </w:tabs>
              <w:spacing w:before="55" w:after="30" w:line="240" w:lineRule="auto"/>
              <w:jc w:val="right"/>
            </w:pPr>
            <w:r>
              <w:rPr>
                <w:rFonts w:ascii="Times New Roman" w:eastAsia="Times New Roman" w:hAnsi="Times New Roman" w:cs="Times New Roman"/>
                <w:b w:val="0"/>
                <w:i w:val="0"/>
                <w:color w:val="000000"/>
                <w:sz w:val="20"/>
                <w:u w:val="none"/>
              </w:rPr>
              <w:t>$</w:t>
              <w:tab/>
              <w:t>306</w:t>
              <w:tab/>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872"/>
                <w:tab w:val="left" w:pos="1237"/>
              </w:tabs>
              <w:spacing w:before="55" w:after="30" w:line="240" w:lineRule="auto"/>
              <w:jc w:val="right"/>
            </w:pPr>
            <w:r>
              <w:rPr>
                <w:rFonts w:ascii="Times New Roman" w:eastAsia="Times New Roman" w:hAnsi="Times New Roman" w:cs="Times New Roman"/>
                <w:b w:val="0"/>
                <w:i w:val="0"/>
                <w:color w:val="000000"/>
                <w:sz w:val="20"/>
                <w:u w:val="none"/>
              </w:rPr>
              <w:t>$</w:t>
              <w:tab/>
              <w:t>787</w:t>
              <w:tab/>
            </w:r>
          </w:p>
        </w:tc>
      </w:tr>
      <w:tr>
        <w:tblPrEx>
          <w:tblW w:w="8625" w:type="dxa"/>
          <w:jc w:val="center"/>
          <w:tblLayout w:type="fixed"/>
          <w:tblCellMar>
            <w:left w:w="108" w:type="dxa"/>
            <w:right w:w="108" w:type="dxa"/>
          </w:tblCellMar>
        </w:tblPrEx>
        <w:trPr>
          <w:cantSplit/>
          <w:trHeight w:hRule="exact" w:val="300"/>
          <w:jc w:val="center"/>
        </w:trPr>
        <w:tc>
          <w:tcPr>
            <w:tcW w:w="5880" w:type="dxa"/>
            <w:tcBorders>
              <w:top w:val="double" w:sz="8" w:space="0" w:color="000000"/>
              <w:left w:val="nil"/>
              <w:bottom w:val="nil"/>
              <w:right w:val="nil"/>
            </w:tcBorders>
            <w:shd w:val="clear" w:color="auto" w:fill="FFFFFF"/>
            <w:tcMar>
              <w:top w:w="0" w:type="dxa"/>
              <w:left w:w="53" w:type="dxa"/>
              <w:bottom w:w="0" w:type="dxa"/>
              <w:right w:w="53" w:type="dxa"/>
            </w:tcMar>
            <w:vAlign w:val="bottom"/>
          </w:tcPr>
          <w:p>
            <w:pPr>
              <w:keepNext/>
              <w:pageBreakBefore w:val="0"/>
              <w:spacing w:before="15" w:after="30" w:line="240" w:lineRule="auto"/>
              <w:jc w:val="left"/>
            </w:pPr>
            <w:r>
              <w:rPr>
                <w:rFonts w:ascii="Times New Roman" w:eastAsia="Times New Roman" w:hAnsi="Times New Roman" w:cs="Times New Roman"/>
                <w:b/>
                <w:i w:val="0"/>
                <w:color w:val="000000"/>
                <w:sz w:val="20"/>
                <w:u w:val="none"/>
              </w:rPr>
              <w:t>Capital expenditures:</w:t>
            </w:r>
          </w:p>
        </w:tc>
        <w:tc>
          <w:tcPr>
            <w:tcW w:w="1440" w:type="dxa"/>
            <w:tcBorders>
              <w:top w:val="double" w:sz="8" w:space="0" w:color="000000"/>
              <w:left w:val="nil"/>
              <w:bottom w:val="nil"/>
              <w:right w:val="nil"/>
            </w:tcBorders>
            <w:shd w:val="clear" w:color="auto" w:fill="FFFFFF"/>
            <w:tcMar>
              <w:top w:w="0" w:type="dxa"/>
              <w:left w:w="0" w:type="dxa"/>
              <w:bottom w:w="0" w:type="dxa"/>
              <w:right w:w="53" w:type="dxa"/>
            </w:tcMar>
            <w:vAlign w:val="bottom"/>
          </w:tcPr>
          <w:p>
            <w:pPr>
              <w:keepNext/>
              <w:pageBreakBefore w:val="0"/>
              <w:spacing w:before="15" w:after="30" w:line="240" w:lineRule="auto"/>
              <w:jc w:val="right"/>
            </w:pPr>
          </w:p>
        </w:tc>
        <w:tc>
          <w:tcPr>
            <w:tcW w:w="1305" w:type="dxa"/>
            <w:tcBorders>
              <w:top w:val="double" w:sz="8" w:space="0" w:color="000000"/>
              <w:left w:val="nil"/>
              <w:bottom w:val="nil"/>
              <w:right w:val="nil"/>
            </w:tcBorders>
            <w:shd w:val="clear" w:color="auto" w:fill="FFFFFF"/>
            <w:tcMar>
              <w:top w:w="0" w:type="dxa"/>
              <w:left w:w="0" w:type="dxa"/>
              <w:bottom w:w="0" w:type="dxa"/>
              <w:right w:w="53" w:type="dxa"/>
            </w:tcMar>
            <w:vAlign w:val="bottom"/>
          </w:tcPr>
          <w:p>
            <w:pPr>
              <w:keepNext/>
              <w:pageBreakBefore w:val="0"/>
              <w:spacing w:before="15" w:after="30" w:line="240" w:lineRule="auto"/>
              <w:jc w:val="right"/>
            </w:pPr>
          </w:p>
        </w:tc>
      </w:tr>
      <w:tr>
        <w:tblPrEx>
          <w:tblW w:w="8625" w:type="dxa"/>
          <w:jc w:val="center"/>
          <w:tblLayout w:type="fixed"/>
          <w:tblCellMar>
            <w:left w:w="108" w:type="dxa"/>
            <w:right w:w="108" w:type="dxa"/>
          </w:tblCellMar>
        </w:tblPrEx>
        <w:trPr>
          <w:cantSplit/>
          <w:trHeight w:hRule="exact" w:val="300"/>
          <w:jc w:val="center"/>
        </w:trPr>
        <w:tc>
          <w:tcPr>
            <w:tcW w:w="588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Completion and Production</w:t>
            </w: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07"/>
                <w:tab w:val="left" w:pos="1372"/>
              </w:tabs>
              <w:spacing w:before="75" w:after="30" w:line="240" w:lineRule="auto"/>
              <w:jc w:val="right"/>
            </w:pPr>
            <w:r>
              <w:rPr>
                <w:rFonts w:ascii="Times New Roman" w:eastAsia="Times New Roman" w:hAnsi="Times New Roman" w:cs="Times New Roman"/>
                <w:b w:val="0"/>
                <w:i w:val="0"/>
                <w:color w:val="000000"/>
                <w:sz w:val="20"/>
                <w:u w:val="none"/>
              </w:rPr>
              <w:t>$</w:t>
              <w:tab/>
              <w:t>178</w:t>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w:t>
              <w:tab/>
              <w:t>176</w:t>
              <w:tab/>
            </w:r>
          </w:p>
        </w:tc>
      </w:tr>
      <w:tr>
        <w:tblPrEx>
          <w:tblW w:w="8625" w:type="dxa"/>
          <w:jc w:val="center"/>
          <w:tblLayout w:type="fixed"/>
          <w:tblCellMar>
            <w:left w:w="108" w:type="dxa"/>
            <w:right w:w="108" w:type="dxa"/>
          </w:tblCellMar>
        </w:tblPrEx>
        <w:trPr>
          <w:cantSplit/>
          <w:trHeight w:hRule="exact" w:val="300"/>
          <w:jc w:val="center"/>
        </w:trPr>
        <w:tc>
          <w:tcPr>
            <w:tcW w:w="588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Drilling and Evaluation</w:t>
            </w: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07"/>
                <w:tab w:val="left" w:pos="1372"/>
              </w:tabs>
              <w:spacing w:before="75" w:after="30" w:line="240" w:lineRule="auto"/>
              <w:jc w:val="right"/>
            </w:pPr>
            <w:r>
              <w:rPr>
                <w:rFonts w:ascii="Times New Roman" w:eastAsia="Times New Roman" w:hAnsi="Times New Roman" w:cs="Times New Roman"/>
                <w:b w:val="0"/>
                <w:i w:val="0"/>
                <w:color w:val="000000"/>
                <w:sz w:val="20"/>
                <w:u w:val="none"/>
              </w:rPr>
              <w:tab/>
              <w:t>124</w:t>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ab/>
              <w:t>153</w:t>
              <w:tab/>
            </w:r>
          </w:p>
        </w:tc>
      </w:tr>
      <w:tr>
        <w:tblPrEx>
          <w:tblW w:w="8625" w:type="dxa"/>
          <w:jc w:val="center"/>
          <w:tblLayout w:type="fixed"/>
          <w:tblCellMar>
            <w:left w:w="108" w:type="dxa"/>
            <w:right w:w="108" w:type="dxa"/>
          </w:tblCellMar>
        </w:tblPrEx>
        <w:trPr>
          <w:cantSplit/>
          <w:trHeight w:hRule="exact" w:val="300"/>
          <w:jc w:val="center"/>
        </w:trPr>
        <w:tc>
          <w:tcPr>
            <w:tcW w:w="5880"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Corporate and other</w:t>
            </w:r>
          </w:p>
        </w:tc>
        <w:tc>
          <w:tcPr>
            <w:tcW w:w="14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107"/>
                <w:tab w:val="left" w:pos="1372"/>
              </w:tabs>
              <w:spacing w:before="75" w:after="30" w:line="240" w:lineRule="auto"/>
              <w:jc w:val="right"/>
            </w:pPr>
            <w:r>
              <w:rPr>
                <w:rFonts w:ascii="Times New Roman" w:eastAsia="Times New Roman" w:hAnsi="Times New Roman" w:cs="Times New Roman"/>
                <w:b w:val="0"/>
                <w:i w:val="0"/>
                <w:color w:val="000000"/>
                <w:sz w:val="20"/>
                <w:u w:val="none"/>
              </w:rPr>
              <w:tab/>
              <w:t>—</w:t>
              <w:tab/>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072"/>
                <w:tab w:val="left" w:pos="1237"/>
              </w:tabs>
              <w:spacing w:before="75" w:after="30" w:line="240" w:lineRule="auto"/>
              <w:jc w:val="right"/>
            </w:pPr>
            <w:r>
              <w:rPr>
                <w:rFonts w:ascii="Times New Roman" w:eastAsia="Times New Roman" w:hAnsi="Times New Roman" w:cs="Times New Roman"/>
                <w:b w:val="0"/>
                <w:i w:val="0"/>
                <w:color w:val="000000"/>
                <w:sz w:val="20"/>
                <w:u w:val="none"/>
              </w:rPr>
              <w:tab/>
              <w:t>1</w:t>
              <w:tab/>
            </w:r>
          </w:p>
        </w:tc>
      </w:tr>
      <w:tr>
        <w:tblPrEx>
          <w:tblW w:w="8625" w:type="dxa"/>
          <w:jc w:val="center"/>
          <w:tblLayout w:type="fixed"/>
          <w:tblCellMar>
            <w:left w:w="108" w:type="dxa"/>
            <w:right w:w="108" w:type="dxa"/>
          </w:tblCellMar>
        </w:tblPrEx>
        <w:trPr>
          <w:cantSplit/>
          <w:trHeight w:hRule="exact" w:val="300"/>
          <w:jc w:val="center"/>
        </w:trPr>
        <w:tc>
          <w:tcPr>
            <w:tcW w:w="5880" w:type="dxa"/>
            <w:tcBorders>
              <w:top w:val="single" w:sz="8" w:space="0" w:color="000000"/>
              <w:left w:val="nil"/>
              <w:bottom w:val="double" w:sz="8" w:space="0" w:color="000000"/>
              <w:right w:val="nil"/>
            </w:tcBorders>
            <w:shd w:val="clear" w:color="auto" w:fill="FFFF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20"/>
                <w:u w:val="none"/>
              </w:rPr>
              <w:t>Total capital expenditures</w:t>
            </w:r>
          </w:p>
        </w:tc>
        <w:tc>
          <w:tcPr>
            <w:tcW w:w="144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1007"/>
                <w:tab w:val="left" w:pos="1372"/>
              </w:tabs>
              <w:spacing w:before="55" w:after="30" w:line="240" w:lineRule="auto"/>
              <w:jc w:val="right"/>
            </w:pPr>
            <w:r>
              <w:rPr>
                <w:rFonts w:ascii="Times New Roman" w:eastAsia="Times New Roman" w:hAnsi="Times New Roman" w:cs="Times New Roman"/>
                <w:b w:val="0"/>
                <w:i w:val="0"/>
                <w:color w:val="000000"/>
                <w:sz w:val="20"/>
                <w:u w:val="none"/>
              </w:rPr>
              <w:t>$</w:t>
              <w:tab/>
              <w:t>302</w:t>
              <w:tab/>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872"/>
                <w:tab w:val="left" w:pos="1237"/>
              </w:tabs>
              <w:spacing w:before="55" w:after="30" w:line="240" w:lineRule="auto"/>
              <w:jc w:val="right"/>
            </w:pPr>
            <w:r>
              <w:rPr>
                <w:rFonts w:ascii="Times New Roman" w:eastAsia="Times New Roman" w:hAnsi="Times New Roman" w:cs="Times New Roman"/>
                <w:b w:val="0"/>
                <w:i w:val="0"/>
                <w:color w:val="000000"/>
                <w:sz w:val="20"/>
                <w:u w:val="none"/>
              </w:rPr>
              <w:t>$</w:t>
              <w:tab/>
              <w:t>330</w:t>
              <w:tab/>
            </w:r>
          </w:p>
        </w:tc>
      </w:tr>
      <w:tr>
        <w:tblPrEx>
          <w:tblW w:w="8625" w:type="dxa"/>
          <w:jc w:val="center"/>
          <w:tblLayout w:type="fixed"/>
          <w:tblCellMar>
            <w:left w:w="108" w:type="dxa"/>
            <w:right w:w="108" w:type="dxa"/>
          </w:tblCellMar>
        </w:tblPrEx>
        <w:trPr>
          <w:cantSplit/>
          <w:trHeight w:hRule="exact" w:val="300"/>
          <w:jc w:val="center"/>
        </w:trPr>
        <w:tc>
          <w:tcPr>
            <w:tcW w:w="5880" w:type="dxa"/>
            <w:tcBorders>
              <w:top w:val="doub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15" w:after="30" w:line="240" w:lineRule="auto"/>
              <w:jc w:val="left"/>
            </w:pPr>
            <w:r>
              <w:rPr>
                <w:rFonts w:ascii="Times New Roman" w:eastAsia="Times New Roman" w:hAnsi="Times New Roman" w:cs="Times New Roman"/>
                <w:b/>
                <w:i w:val="0"/>
                <w:color w:val="000000"/>
                <w:sz w:val="20"/>
                <w:u w:val="none"/>
              </w:rPr>
              <w:t>Depreciation, depletion, and amortization:</w:t>
            </w:r>
          </w:p>
        </w:tc>
        <w:tc>
          <w:tcPr>
            <w:tcW w:w="1440" w:type="dxa"/>
            <w:tcBorders>
              <w:top w:val="doub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spacing w:before="15" w:after="30" w:line="240" w:lineRule="auto"/>
              <w:jc w:val="right"/>
            </w:pPr>
          </w:p>
        </w:tc>
        <w:tc>
          <w:tcPr>
            <w:tcW w:w="1305" w:type="dxa"/>
            <w:tcBorders>
              <w:top w:val="double" w:sz="8" w:space="0" w:color="000000"/>
              <w:left w:val="nil"/>
              <w:bottom w:val="nil"/>
              <w:right w:val="nil"/>
            </w:tcBorders>
            <w:shd w:val="clear" w:color="auto" w:fill="CCEEFF"/>
            <w:tcMar>
              <w:top w:w="0" w:type="dxa"/>
              <w:left w:w="0" w:type="dxa"/>
              <w:bottom w:w="0" w:type="dxa"/>
              <w:right w:w="53" w:type="dxa"/>
            </w:tcMar>
            <w:vAlign w:val="bottom"/>
          </w:tcPr>
          <w:p>
            <w:pPr>
              <w:keepNext/>
              <w:pageBreakBefore w:val="0"/>
              <w:spacing w:before="15" w:after="30" w:line="240" w:lineRule="auto"/>
              <w:jc w:val="right"/>
            </w:pPr>
          </w:p>
        </w:tc>
      </w:tr>
      <w:tr>
        <w:tblPrEx>
          <w:tblW w:w="8625" w:type="dxa"/>
          <w:jc w:val="center"/>
          <w:tblLayout w:type="fixed"/>
          <w:tblCellMar>
            <w:left w:w="108" w:type="dxa"/>
            <w:right w:w="108" w:type="dxa"/>
          </w:tblCellMar>
        </w:tblPrEx>
        <w:trPr>
          <w:cantSplit/>
          <w:trHeight w:hRule="exact" w:val="300"/>
          <w:jc w:val="center"/>
        </w:trPr>
        <w:tc>
          <w:tcPr>
            <w:tcW w:w="588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Completion and Production</w:t>
            </w: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07"/>
                <w:tab w:val="left" w:pos="1372"/>
              </w:tabs>
              <w:spacing w:before="75" w:after="30" w:line="240" w:lineRule="auto"/>
              <w:jc w:val="right"/>
            </w:pPr>
            <w:r>
              <w:rPr>
                <w:rFonts w:ascii="Times New Roman" w:eastAsia="Times New Roman" w:hAnsi="Times New Roman" w:cs="Times New Roman"/>
                <w:b w:val="0"/>
                <w:i w:val="0"/>
                <w:color w:val="000000"/>
                <w:sz w:val="20"/>
                <w:u w:val="none"/>
              </w:rPr>
              <w:t>$</w:t>
              <w:tab/>
              <w:t>152</w:t>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w:t>
              <w:tab/>
              <w:t>144</w:t>
              <w:tab/>
            </w:r>
          </w:p>
        </w:tc>
      </w:tr>
      <w:tr>
        <w:tblPrEx>
          <w:tblW w:w="8625" w:type="dxa"/>
          <w:jc w:val="center"/>
          <w:tblLayout w:type="fixed"/>
          <w:tblCellMar>
            <w:left w:w="108" w:type="dxa"/>
            <w:right w:w="108" w:type="dxa"/>
          </w:tblCellMar>
        </w:tblPrEx>
        <w:trPr>
          <w:cantSplit/>
          <w:trHeight w:hRule="exact" w:val="300"/>
          <w:jc w:val="center"/>
        </w:trPr>
        <w:tc>
          <w:tcPr>
            <w:tcW w:w="588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Drilling and Evaluation</w:t>
            </w: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07"/>
                <w:tab w:val="left" w:pos="1372"/>
              </w:tabs>
              <w:spacing w:before="75" w:after="30" w:line="240" w:lineRule="auto"/>
              <w:jc w:val="right"/>
            </w:pPr>
            <w:r>
              <w:rPr>
                <w:rFonts w:ascii="Times New Roman" w:eastAsia="Times New Roman" w:hAnsi="Times New Roman" w:cs="Times New Roman"/>
                <w:b w:val="0"/>
                <w:i w:val="0"/>
                <w:color w:val="000000"/>
                <w:sz w:val="20"/>
                <w:u w:val="none"/>
              </w:rPr>
              <w:tab/>
              <w:t>121</w:t>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ab/>
              <w:t>115</w:t>
              <w:tab/>
            </w:r>
          </w:p>
        </w:tc>
      </w:tr>
      <w:tr>
        <w:tblPrEx>
          <w:tblW w:w="8625" w:type="dxa"/>
          <w:jc w:val="center"/>
          <w:tblLayout w:type="fixed"/>
          <w:tblCellMar>
            <w:left w:w="108" w:type="dxa"/>
            <w:right w:w="108" w:type="dxa"/>
          </w:tblCellMar>
        </w:tblPrEx>
        <w:trPr>
          <w:cantSplit/>
          <w:trHeight w:hRule="exact" w:val="300"/>
          <w:jc w:val="center"/>
        </w:trPr>
        <w:tc>
          <w:tcPr>
            <w:tcW w:w="588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Corporate and other</w:t>
            </w:r>
          </w:p>
        </w:tc>
        <w:tc>
          <w:tcPr>
            <w:tcW w:w="14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207"/>
                <w:tab w:val="left" w:pos="1372"/>
              </w:tabs>
              <w:spacing w:before="75" w:after="30" w:line="240" w:lineRule="auto"/>
              <w:jc w:val="right"/>
            </w:pPr>
            <w:r>
              <w:rPr>
                <w:rFonts w:ascii="Times New Roman" w:eastAsia="Times New Roman" w:hAnsi="Times New Roman" w:cs="Times New Roman"/>
                <w:b w:val="0"/>
                <w:i w:val="0"/>
                <w:color w:val="000000"/>
                <w:sz w:val="20"/>
                <w:u w:val="none"/>
              </w:rPr>
              <w:tab/>
              <w:t>4</w:t>
              <w:tab/>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072"/>
                <w:tab w:val="left" w:pos="1237"/>
              </w:tabs>
              <w:spacing w:before="75" w:after="30" w:line="240" w:lineRule="auto"/>
              <w:jc w:val="right"/>
            </w:pPr>
            <w:r>
              <w:rPr>
                <w:rFonts w:ascii="Times New Roman" w:eastAsia="Times New Roman" w:hAnsi="Times New Roman" w:cs="Times New Roman"/>
                <w:b w:val="0"/>
                <w:i w:val="0"/>
                <w:color w:val="000000"/>
                <w:sz w:val="20"/>
                <w:u w:val="none"/>
              </w:rPr>
              <w:tab/>
              <w:t>4</w:t>
              <w:tab/>
            </w:r>
          </w:p>
        </w:tc>
      </w:tr>
      <w:tr>
        <w:tblPrEx>
          <w:tblW w:w="8625" w:type="dxa"/>
          <w:jc w:val="center"/>
          <w:tblLayout w:type="fixed"/>
          <w:tblCellMar>
            <w:left w:w="108" w:type="dxa"/>
            <w:right w:w="108" w:type="dxa"/>
          </w:tblCellMar>
        </w:tblPrEx>
        <w:trPr>
          <w:cantSplit/>
          <w:trHeight w:hRule="exact" w:val="300"/>
          <w:jc w:val="center"/>
        </w:trPr>
        <w:tc>
          <w:tcPr>
            <w:tcW w:w="5880" w:type="dxa"/>
            <w:tcBorders>
              <w:top w:val="single" w:sz="8" w:space="0" w:color="000000"/>
              <w:left w:val="nil"/>
              <w:bottom w:val="double" w:sz="8" w:space="0" w:color="000000"/>
              <w:right w:val="nil"/>
            </w:tcBorders>
            <w:shd w:val="clear" w:color="auto" w:fill="CCEEFF"/>
            <w:tcMar>
              <w:top w:w="0" w:type="dxa"/>
              <w:left w:w="53" w:type="dxa"/>
              <w:bottom w:w="0" w:type="dxa"/>
              <w:right w:w="53" w:type="dxa"/>
            </w:tcMar>
            <w:vAlign w:val="bottom"/>
          </w:tcPr>
          <w:p>
            <w:pPr>
              <w:pageBreakBefore w:val="0"/>
              <w:spacing w:before="55" w:after="30" w:line="240" w:lineRule="auto"/>
              <w:jc w:val="left"/>
            </w:pPr>
            <w:r>
              <w:rPr>
                <w:rFonts w:ascii="Times New Roman" w:eastAsia="Times New Roman" w:hAnsi="Times New Roman" w:cs="Times New Roman"/>
                <w:b w:val="0"/>
                <w:i w:val="0"/>
                <w:color w:val="000000"/>
                <w:sz w:val="20"/>
                <w:u w:val="none"/>
              </w:rPr>
              <w:t>Total depreciation, depletion, and amortization</w:t>
            </w:r>
          </w:p>
        </w:tc>
        <w:tc>
          <w:tcPr>
            <w:tcW w:w="144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007"/>
                <w:tab w:val="left" w:pos="1372"/>
              </w:tabs>
              <w:spacing w:before="55" w:after="30" w:line="240" w:lineRule="auto"/>
              <w:jc w:val="right"/>
            </w:pPr>
            <w:r>
              <w:rPr>
                <w:rFonts w:ascii="Times New Roman" w:eastAsia="Times New Roman" w:hAnsi="Times New Roman" w:cs="Times New Roman"/>
                <w:b w:val="0"/>
                <w:i w:val="0"/>
                <w:color w:val="000000"/>
                <w:sz w:val="20"/>
                <w:u w:val="none"/>
              </w:rPr>
              <w:t>$</w:t>
              <w:tab/>
              <w:t>277</w:t>
              <w:tab/>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872"/>
                <w:tab w:val="left" w:pos="1237"/>
              </w:tabs>
              <w:spacing w:before="55" w:after="30" w:line="240" w:lineRule="auto"/>
              <w:jc w:val="right"/>
            </w:pPr>
            <w:r>
              <w:rPr>
                <w:rFonts w:ascii="Times New Roman" w:eastAsia="Times New Roman" w:hAnsi="Times New Roman" w:cs="Times New Roman"/>
                <w:b w:val="0"/>
                <w:i w:val="0"/>
                <w:color w:val="000000"/>
                <w:sz w:val="20"/>
                <w:u w:val="none"/>
              </w:rPr>
              <w:t>$</w:t>
              <w:tab/>
              <w:t>263</w:t>
              <w:tab/>
            </w:r>
          </w:p>
        </w:tc>
      </w:tr>
    </w:tbl>
    <w:p>
      <w:pPr>
        <w:keepNext/>
        <w:keepLines/>
        <w:pageBreakBefore w:val="0"/>
        <w:widowControl w:val="0"/>
        <w:numPr>
          <w:ilvl w:val="0"/>
          <w:numId w:val="0"/>
        </w:numPr>
        <w:spacing w:before="0" w:after="0" w:line="288" w:lineRule="auto"/>
        <w:ind w:left="270" w:right="0" w:firstLine="0"/>
        <w:jc w:val="center"/>
        <w:outlineLvl w:val="9"/>
        <w:rPr>
          <w:rFonts w:ascii="Times New Roman" w:eastAsia="Times New Roman" w:hAnsi="Times New Roman" w:cs="Times New Roman"/>
          <w:b w:val="0"/>
          <w:i w:val="0"/>
          <w:color w:val="000000"/>
          <w:sz w:val="10"/>
          <w:u w:val="none"/>
        </w:rPr>
      </w:pPr>
    </w:p>
    <w:tbl>
      <w:tblPr>
        <w:tblW w:w="8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60"/>
        <w:gridCol w:w="8325"/>
      </w:tblGrid>
      <w:tr>
        <w:tblPrEx>
          <w:tblW w:w="8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585"/>
          <w:jc w:val="center"/>
        </w:trPr>
        <w:tc>
          <w:tcPr>
            <w:tcW w:w="360"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16"/>
                <w:u w:val="none"/>
              </w:rPr>
              <w:t>(a)</w:t>
            </w:r>
          </w:p>
        </w:tc>
        <w:tc>
          <w:tcPr>
            <w:tcW w:w="832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both"/>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 xml:space="preserve">Includes certain expenses not attributable to a business segment, such as costs related to support functions, corporate executives, and operating lease assets, and </w:t>
            </w:r>
            <w:r>
              <w:rPr>
                <w:rFonts w:ascii="Times New Roman" w:eastAsia="Times New Roman" w:hAnsi="Times New Roman" w:cs="Times New Roman"/>
                <w:b w:val="0"/>
                <w:i w:val="0"/>
                <w:sz w:val="16"/>
              </w:rPr>
              <w:t>includes amortization expense associated with intangible assets recorded as a result of acquisitions.</w:t>
            </w:r>
          </w:p>
        </w:tc>
      </w:tr>
      <w:tr>
        <w:tblPrEx>
          <w:tblW w:w="8685" w:type="dxa"/>
          <w:jc w:val="center"/>
          <w:tblLayout w:type="fixed"/>
          <w:tblCellMar>
            <w:left w:w="108" w:type="dxa"/>
            <w:right w:w="108" w:type="dxa"/>
          </w:tblCellMar>
        </w:tblPrEx>
        <w:trPr>
          <w:cantSplit/>
          <w:trHeight w:hRule="exact" w:val="555"/>
          <w:jc w:val="center"/>
        </w:trPr>
        <w:tc>
          <w:tcPr>
            <w:tcW w:w="360"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16"/>
                <w:u w:val="none"/>
              </w:rPr>
              <w:t>(b)</w:t>
            </w:r>
          </w:p>
        </w:tc>
        <w:tc>
          <w:tcPr>
            <w:tcW w:w="832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both"/>
              <w:outlineLvl w:val="9"/>
              <w:rPr>
                <w:rFonts w:ascii="Calibri" w:eastAsia="Calibri" w:hAnsi="Calibri" w:cs="Calibri"/>
                <w:b/>
                <w:i/>
                <w:sz w:val="22"/>
              </w:rPr>
            </w:pPr>
            <w:r>
              <w:rPr>
                <w:rFonts w:ascii="Times New Roman" w:eastAsia="Times New Roman" w:hAnsi="Times New Roman" w:cs="Times New Roman"/>
                <w:b w:val="0"/>
                <w:i w:val="0"/>
                <w:sz w:val="16"/>
              </w:rPr>
              <w:t xml:space="preserve">For the </w:t>
            </w:r>
            <w:r>
              <w:rPr>
                <w:rFonts w:ascii="Times New Roman" w:eastAsia="Times New Roman" w:hAnsi="Times New Roman" w:cs="Times New Roman"/>
                <w:b w:val="0"/>
                <w:i w:val="0"/>
                <w:color w:val="000000"/>
                <w:sz w:val="16"/>
                <w:u w:val="none"/>
              </w:rPr>
              <w:t>three months ended</w:t>
            </w:r>
            <w:r>
              <w:rPr>
                <w:rFonts w:ascii="Times New Roman" w:eastAsia="Times New Roman" w:hAnsi="Times New Roman" w:cs="Times New Roman"/>
                <w:b w:val="0"/>
                <w:i w:val="0"/>
                <w:sz w:val="16"/>
              </w:rPr>
              <w:t xml:space="preserve"> </w:t>
            </w:r>
            <w:r>
              <w:rPr>
                <w:rFonts w:ascii="Times New Roman" w:eastAsia="Times New Roman" w:hAnsi="Times New Roman" w:cs="Times New Roman"/>
                <w:b w:val="0"/>
                <w:i w:val="0"/>
                <w:color w:val="000000"/>
                <w:sz w:val="16"/>
                <w:u w:val="none"/>
              </w:rPr>
              <w:t>March 31, 2025</w:t>
            </w:r>
            <w:r>
              <w:rPr>
                <w:rFonts w:ascii="Times New Roman" w:eastAsia="Times New Roman" w:hAnsi="Times New Roman" w:cs="Times New Roman"/>
                <w:b w:val="0"/>
                <w:i w:val="0"/>
                <w:sz w:val="16"/>
              </w:rPr>
              <w:t>, the amount includes a</w:t>
            </w:r>
            <w:r>
              <w:rPr>
                <w:rFonts w:ascii="Times New Roman" w:eastAsia="Times New Roman" w:hAnsi="Times New Roman" w:cs="Times New Roman"/>
                <w:b w:val="0"/>
                <w:i w:val="0"/>
                <w:sz w:val="16"/>
              </w:rPr>
              <w:t xml:space="preserve"> </w:t>
            </w:r>
            <w:r>
              <w:rPr>
                <w:rFonts w:ascii="Times New Roman" w:eastAsia="Times New Roman" w:hAnsi="Times New Roman" w:cs="Times New Roman"/>
                <w:b w:val="0"/>
                <w:i w:val="0"/>
                <w:color w:val="000000"/>
                <w:sz w:val="16"/>
                <w:u w:val="none"/>
              </w:rPr>
              <w:t>$201 million</w:t>
            </w:r>
            <w:r>
              <w:rPr>
                <w:rFonts w:ascii="Times New Roman" w:eastAsia="Times New Roman" w:hAnsi="Times New Roman" w:cs="Times New Roman"/>
                <w:b w:val="0"/>
                <w:i w:val="0"/>
                <w:sz w:val="16"/>
              </w:rPr>
              <w:t xml:space="preserve"> charge attributable to Completion and Production, a</w:t>
            </w:r>
            <w:r>
              <w:rPr>
                <w:rFonts w:ascii="Times New Roman" w:eastAsia="Times New Roman" w:hAnsi="Times New Roman" w:cs="Times New Roman"/>
                <w:b w:val="0"/>
                <w:i w:val="0"/>
                <w:sz w:val="16"/>
              </w:rPr>
              <w:t>n</w:t>
            </w:r>
            <w:r>
              <w:rPr>
                <w:rFonts w:ascii="Times New Roman" w:eastAsia="Times New Roman" w:hAnsi="Times New Roman" w:cs="Times New Roman"/>
                <w:b w:val="0"/>
                <w:i w:val="0"/>
                <w:sz w:val="16"/>
              </w:rPr>
              <w:t xml:space="preserve"> </w:t>
            </w:r>
            <w:r>
              <w:rPr>
                <w:rFonts w:ascii="Times New Roman" w:eastAsia="Times New Roman" w:hAnsi="Times New Roman" w:cs="Times New Roman"/>
                <w:b w:val="0"/>
                <w:i w:val="0"/>
                <w:color w:val="000000"/>
                <w:sz w:val="16"/>
                <w:u w:val="none"/>
              </w:rPr>
              <w:t>$85 million</w:t>
            </w:r>
            <w:r>
              <w:rPr>
                <w:rFonts w:ascii="Times New Roman" w:eastAsia="Times New Roman" w:hAnsi="Times New Roman" w:cs="Times New Roman"/>
                <w:b w:val="0"/>
                <w:i w:val="0"/>
                <w:sz w:val="16"/>
              </w:rPr>
              <w:t xml:space="preserve"> charge attributable to Drilling and Evaluation, and a </w:t>
            </w:r>
            <w:r>
              <w:rPr>
                <w:rFonts w:ascii="Times New Roman" w:eastAsia="Times New Roman" w:hAnsi="Times New Roman" w:cs="Times New Roman"/>
                <w:b w:val="0"/>
                <w:i w:val="0"/>
                <w:color w:val="000000"/>
                <w:sz w:val="16"/>
                <w:u w:val="none"/>
              </w:rPr>
              <w:t>$70 million</w:t>
            </w:r>
            <w:r>
              <w:rPr>
                <w:rFonts w:ascii="Times New Roman" w:eastAsia="Times New Roman" w:hAnsi="Times New Roman" w:cs="Times New Roman"/>
                <w:b w:val="0"/>
                <w:i w:val="0"/>
                <w:sz w:val="16"/>
              </w:rPr>
              <w:t xml:space="preserve"> charge</w:t>
            </w:r>
            <w:r>
              <w:rPr>
                <w:rFonts w:ascii="Times New Roman" w:eastAsia="Times New Roman" w:hAnsi="Times New Roman" w:cs="Times New Roman"/>
                <w:b w:val="0"/>
                <w:i w:val="0"/>
                <w:sz w:val="16"/>
              </w:rPr>
              <w:t xml:space="preserve"> attributable to Corporate and other. </w:t>
            </w:r>
            <w:r>
              <w:rPr>
                <w:rFonts w:ascii="Times New Roman" w:eastAsia="Times New Roman" w:hAnsi="Times New Roman" w:cs="Times New Roman"/>
                <w:b w:val="0"/>
                <w:i w:val="0"/>
                <w:sz w:val="16"/>
              </w:rPr>
              <w:t xml:space="preserve">See Note </w:t>
            </w:r>
            <w:r>
              <w:rPr>
                <w:rFonts w:ascii="Times New Roman" w:eastAsia="Times New Roman" w:hAnsi="Times New Roman" w:cs="Times New Roman"/>
                <w:b w:val="0"/>
                <w:i w:val="0"/>
                <w:color w:val="000000"/>
                <w:sz w:val="16"/>
                <w:u w:val="none"/>
              </w:rPr>
              <w:t>2</w:t>
            </w:r>
            <w:r>
              <w:rPr>
                <w:rFonts w:ascii="Times New Roman" w:eastAsia="Times New Roman" w:hAnsi="Times New Roman" w:cs="Times New Roman"/>
                <w:b w:val="0"/>
                <w:i w:val="0"/>
                <w:sz w:val="16"/>
              </w:rPr>
              <w:t xml:space="preserve"> for further discussion on impairments and other charges.</w:t>
            </w:r>
          </w:p>
        </w:tc>
      </w:tr>
      <w:tr>
        <w:tblPrEx>
          <w:tblW w:w="8685" w:type="dxa"/>
          <w:jc w:val="center"/>
          <w:tblLayout w:type="fixed"/>
          <w:tblCellMar>
            <w:left w:w="108" w:type="dxa"/>
            <w:right w:w="108" w:type="dxa"/>
          </w:tblCellMar>
        </w:tblPrEx>
        <w:trPr>
          <w:cantSplit/>
          <w:trHeight w:hRule="exact" w:val="420"/>
          <w:jc w:val="center"/>
        </w:trPr>
        <w:tc>
          <w:tcPr>
            <w:tcW w:w="360"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75" w:after="30" w:line="240" w:lineRule="auto"/>
              <w:ind w:left="0" w:right="0" w:firstLine="0"/>
              <w:jc w:val="both"/>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w:t>
            </w:r>
            <w:r>
              <w:rPr>
                <w:rFonts w:ascii="Times New Roman" w:eastAsia="Times New Roman" w:hAnsi="Times New Roman" w:cs="Times New Roman"/>
                <w:b w:val="0"/>
                <w:i w:val="0"/>
                <w:sz w:val="16"/>
              </w:rPr>
              <w:t>c</w:t>
            </w:r>
            <w:r>
              <w:rPr>
                <w:rFonts w:ascii="Times New Roman" w:eastAsia="Times New Roman" w:hAnsi="Times New Roman" w:cs="Times New Roman"/>
                <w:b w:val="0"/>
                <w:i w:val="0"/>
                <w:sz w:val="16"/>
              </w:rPr>
              <w:t>)</w:t>
            </w:r>
          </w:p>
        </w:tc>
        <w:tc>
          <w:tcPr>
            <w:tcW w:w="8325"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75" w:after="30" w:line="240" w:lineRule="auto"/>
              <w:ind w:left="0" w:right="0" w:firstLine="0"/>
              <w:jc w:val="both"/>
              <w:outlineLvl w:val="9"/>
              <w:rPr>
                <w:rFonts w:ascii="Times New Roman" w:eastAsia="Times New Roman" w:hAnsi="Times New Roman" w:cs="Times New Roman"/>
                <w:b w:val="0"/>
                <w:i/>
                <w:sz w:val="22"/>
              </w:rPr>
            </w:pPr>
            <w:r>
              <w:rPr>
                <w:rFonts w:ascii="Times New Roman" w:eastAsia="Times New Roman" w:hAnsi="Times New Roman" w:cs="Times New Roman"/>
                <w:b w:val="0"/>
                <w:i w:val="0"/>
                <w:sz w:val="16"/>
              </w:rPr>
              <w:t xml:space="preserve">During the </w:t>
            </w:r>
            <w:r>
              <w:rPr>
                <w:rFonts w:ascii="Times New Roman" w:eastAsia="Times New Roman" w:hAnsi="Times New Roman" w:cs="Times New Roman"/>
                <w:b w:val="0"/>
                <w:i w:val="0"/>
                <w:color w:val="000000"/>
                <w:sz w:val="16"/>
                <w:u w:val="none"/>
              </w:rPr>
              <w:t>three months ended</w:t>
            </w:r>
            <w:r>
              <w:rPr>
                <w:rFonts w:ascii="Times New Roman" w:eastAsia="Times New Roman" w:hAnsi="Times New Roman" w:cs="Times New Roman"/>
                <w:b w:val="0"/>
                <w:i w:val="0"/>
                <w:sz w:val="16"/>
              </w:rPr>
              <w:t xml:space="preserve"> </w:t>
            </w:r>
            <w:r>
              <w:rPr>
                <w:rFonts w:ascii="Times New Roman" w:eastAsia="Times New Roman" w:hAnsi="Times New Roman" w:cs="Times New Roman"/>
                <w:b w:val="0"/>
                <w:i w:val="0"/>
                <w:sz w:val="16"/>
              </w:rPr>
              <w:t>March 31, 2024</w:t>
            </w:r>
            <w:r>
              <w:rPr>
                <w:rFonts w:ascii="Times New Roman" w:eastAsia="Times New Roman" w:hAnsi="Times New Roman" w:cs="Times New Roman"/>
                <w:b w:val="0"/>
                <w:i w:val="0"/>
                <w:sz w:val="16"/>
              </w:rPr>
              <w:t xml:space="preserve">, Halliburton </w:t>
            </w:r>
            <w:r>
              <w:rPr>
                <w:rFonts w:ascii="Times New Roman" w:eastAsia="Times New Roman" w:hAnsi="Times New Roman" w:cs="Times New Roman"/>
                <w:b w:val="0"/>
                <w:i w:val="0"/>
                <w:sz w:val="16"/>
              </w:rPr>
              <w:t xml:space="preserve">incurred a charge of </w:t>
            </w:r>
            <w:r>
              <w:rPr>
                <w:rFonts w:ascii="Times New Roman" w:eastAsia="Times New Roman" w:hAnsi="Times New Roman" w:cs="Times New Roman"/>
                <w:b w:val="0"/>
                <w:i w:val="0"/>
                <w:color w:val="000000"/>
                <w:sz w:val="16"/>
                <w:u w:val="none"/>
              </w:rPr>
              <w:t>$82 million</w:t>
            </w:r>
            <w:r>
              <w:rPr>
                <w:rFonts w:ascii="Times New Roman" w:eastAsia="Times New Roman" w:hAnsi="Times New Roman" w:cs="Times New Roman"/>
                <w:b w:val="0"/>
                <w:i w:val="0"/>
                <w:sz w:val="16"/>
              </w:rPr>
              <w:t xml:space="preserve"> primarily due to the impairment of an investment in Argentina and currency devaluation in Egypt. </w:t>
            </w:r>
          </w:p>
        </w:tc>
      </w:tr>
    </w:tbl>
    <w:p>
      <w:pPr>
        <w:keepNext/>
        <w:keepLines/>
        <w:pageBreakBefore w:val="0"/>
        <w:widowControl w:val="0"/>
        <w:numPr>
          <w:ilvl w:val="0"/>
          <w:numId w:val="0"/>
        </w:numPr>
        <w:spacing w:before="160" w:after="16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 following table</w:t>
      </w:r>
      <w:r>
        <w:rPr>
          <w:rFonts w:ascii="Times New Roman" w:eastAsia="Times New Roman" w:hAnsi="Times New Roman" w:cs="Times New Roman"/>
          <w:b w:val="0"/>
          <w:i w:val="0"/>
          <w:color w:val="000000"/>
          <w:sz w:val="20"/>
          <w:u w:val="none"/>
        </w:rPr>
        <w:t xml:space="preserve"> present</w:t>
      </w:r>
      <w:r>
        <w:rPr>
          <w:rFonts w:ascii="Times New Roman" w:eastAsia="Times New Roman" w:hAnsi="Times New Roman" w:cs="Times New Roman"/>
          <w:b w:val="0"/>
          <w:i w:val="0"/>
          <w:color w:val="000000"/>
          <w:sz w:val="20"/>
          <w:u w:val="none"/>
        </w:rPr>
        <w:t>s</w:t>
      </w:r>
      <w:r>
        <w:rPr>
          <w:rFonts w:ascii="Times New Roman" w:eastAsia="Times New Roman" w:hAnsi="Times New Roman" w:cs="Times New Roman"/>
          <w:b w:val="0"/>
          <w:i w:val="0"/>
          <w:color w:val="000000"/>
          <w:sz w:val="20"/>
          <w:u w:val="none"/>
        </w:rPr>
        <w:t xml:space="preserve"> significant segment expenses, which represent the difference between segment revenue and segment operating income and are regularly reviewed by our CODM.</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880"/>
        <w:gridCol w:w="1500"/>
        <w:gridCol w:w="1500"/>
      </w:tblGrid>
      <w:tr>
        <w:tblPrEx>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00"/>
          <w:jc w:val="center"/>
        </w:trPr>
        <w:tc>
          <w:tcPr>
            <w:tcW w:w="5880"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p>
        </w:tc>
        <w:tc>
          <w:tcPr>
            <w:tcW w:w="3000" w:type="dxa"/>
            <w:gridSpan w:val="2"/>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Three Months Ended</w:t>
            </w:r>
          </w:p>
        </w:tc>
      </w:tr>
      <w:tr>
        <w:tblPrEx>
          <w:tblW w:w="8880" w:type="dxa"/>
          <w:jc w:val="center"/>
          <w:tblLayout w:type="fixed"/>
          <w:tblCellMar>
            <w:left w:w="108" w:type="dxa"/>
            <w:right w:w="108" w:type="dxa"/>
          </w:tblCellMar>
        </w:tblPrEx>
        <w:trPr>
          <w:cantSplit/>
          <w:trHeight w:hRule="exact" w:val="300"/>
          <w:jc w:val="center"/>
        </w:trPr>
        <w:tc>
          <w:tcPr>
            <w:tcW w:w="5880"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p>
        </w:tc>
        <w:tc>
          <w:tcPr>
            <w:tcW w:w="3000" w:type="dxa"/>
            <w:gridSpan w:val="2"/>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 xml:space="preserve">March 31, </w:t>
            </w:r>
          </w:p>
        </w:tc>
      </w:tr>
      <w:tr>
        <w:tblPrEx>
          <w:tblW w:w="8880" w:type="dxa"/>
          <w:jc w:val="center"/>
          <w:tblLayout w:type="fixed"/>
          <w:tblCellMar>
            <w:left w:w="108" w:type="dxa"/>
            <w:right w:w="108" w:type="dxa"/>
          </w:tblCellMar>
        </w:tblPrEx>
        <w:trPr>
          <w:cantSplit/>
          <w:trHeight w:hRule="exact" w:val="300"/>
          <w:jc w:val="center"/>
        </w:trPr>
        <w:tc>
          <w:tcPr>
            <w:tcW w:w="5880"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p>
        </w:tc>
        <w:tc>
          <w:tcPr>
            <w:tcW w:w="3000" w:type="dxa"/>
            <w:gridSpan w:val="2"/>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2025</w:t>
            </w:r>
          </w:p>
        </w:tc>
      </w:tr>
      <w:tr>
        <w:tblPrEx>
          <w:tblW w:w="8880" w:type="dxa"/>
          <w:jc w:val="center"/>
          <w:tblLayout w:type="fixed"/>
          <w:tblCellMar>
            <w:left w:w="108" w:type="dxa"/>
            <w:right w:w="108" w:type="dxa"/>
          </w:tblCellMar>
        </w:tblPrEx>
        <w:trPr>
          <w:cantSplit/>
          <w:trHeight w:hRule="exact" w:val="495"/>
          <w:jc w:val="center"/>
        </w:trPr>
        <w:tc>
          <w:tcPr>
            <w:tcW w:w="588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color w:val="000000"/>
                <w:sz w:val="20"/>
                <w:u w:val="none"/>
              </w:rPr>
              <w:t>Millions of dollars</w:t>
            </w:r>
          </w:p>
        </w:tc>
        <w:tc>
          <w:tcPr>
            <w:tcW w:w="150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Completion and Production</w:t>
            </w:r>
          </w:p>
        </w:tc>
        <w:tc>
          <w:tcPr>
            <w:tcW w:w="150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Drilling and Evaluation</w:t>
            </w:r>
          </w:p>
        </w:tc>
      </w:tr>
      <w:tr>
        <w:tblPrEx>
          <w:tblW w:w="8880" w:type="dxa"/>
          <w:jc w:val="center"/>
          <w:tblLayout w:type="fixed"/>
          <w:tblCellMar>
            <w:left w:w="108" w:type="dxa"/>
            <w:right w:w="108" w:type="dxa"/>
          </w:tblCellMar>
        </w:tblPrEx>
        <w:trPr>
          <w:cantSplit/>
          <w:trHeight w:hRule="exact" w:val="300"/>
          <w:jc w:val="center"/>
        </w:trPr>
        <w:tc>
          <w:tcPr>
            <w:tcW w:w="588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20"/>
                <w:u w:val="none"/>
              </w:rPr>
              <w:t>Segment operating expenses:</w:t>
            </w:r>
          </w:p>
        </w:tc>
        <w:tc>
          <w:tcPr>
            <w:tcW w:w="150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p>
        </w:tc>
        <w:tc>
          <w:tcPr>
            <w:tcW w:w="1500" w:type="dxa"/>
            <w:tcBorders>
              <w:top w:val="single" w:sz="8" w:space="0" w:color="000000"/>
              <w:left w:val="nil"/>
              <w:bottom w:val="nil"/>
              <w:right w:val="nil"/>
            </w:tcBorders>
            <w:shd w:val="clear" w:color="auto" w:fill="CCEEFF"/>
            <w:tcMar>
              <w:top w:w="0" w:type="dxa"/>
              <w:left w:w="0" w:type="dxa"/>
              <w:bottom w:w="0" w:type="dxa"/>
              <w:right w:w="53" w:type="dxa"/>
            </w:tcMar>
            <w:vAlign w:val="bottom"/>
          </w:tcPr>
          <w:p>
            <w:pPr>
              <w:keepNext/>
              <w:pageBreakBefore w:val="0"/>
              <w:spacing w:before="55" w:after="30" w:line="240" w:lineRule="auto"/>
              <w:jc w:val="right"/>
            </w:pPr>
          </w:p>
        </w:tc>
      </w:tr>
      <w:tr>
        <w:tblPrEx>
          <w:tblW w:w="8880" w:type="dxa"/>
          <w:jc w:val="center"/>
          <w:tblLayout w:type="fixed"/>
          <w:tblCellMar>
            <w:left w:w="108" w:type="dxa"/>
            <w:right w:w="108" w:type="dxa"/>
          </w:tblCellMar>
        </w:tblPrEx>
        <w:trPr>
          <w:cantSplit/>
          <w:trHeight w:hRule="exact" w:val="300"/>
          <w:jc w:val="center"/>
        </w:trPr>
        <w:tc>
          <w:tcPr>
            <w:tcW w:w="588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Cost of products, materials, and supplies</w:t>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17"/>
                <w:tab w:val="left" w:pos="1432"/>
              </w:tabs>
              <w:spacing w:before="75" w:after="30" w:line="240" w:lineRule="auto"/>
              <w:jc w:val="right"/>
            </w:pPr>
            <w:r>
              <w:rPr>
                <w:rFonts w:ascii="Times New Roman" w:eastAsia="Times New Roman" w:hAnsi="Times New Roman" w:cs="Times New Roman"/>
                <w:b w:val="0"/>
                <w:i w:val="0"/>
                <w:color w:val="000000"/>
                <w:sz w:val="20"/>
                <w:u w:val="none"/>
              </w:rPr>
              <w:t>$</w:t>
              <w:tab/>
              <w:t>1,300</w:t>
              <w:tab/>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67"/>
                <w:tab w:val="left" w:pos="1432"/>
              </w:tabs>
              <w:spacing w:before="75" w:after="30" w:line="240" w:lineRule="auto"/>
              <w:jc w:val="right"/>
            </w:pPr>
            <w:r>
              <w:rPr>
                <w:rFonts w:ascii="Times New Roman" w:eastAsia="Times New Roman" w:hAnsi="Times New Roman" w:cs="Times New Roman"/>
                <w:b w:val="0"/>
                <w:i w:val="0"/>
                <w:color w:val="000000"/>
                <w:sz w:val="20"/>
                <w:u w:val="none"/>
              </w:rPr>
              <w:t>$</w:t>
              <w:tab/>
              <w:t>882</w:t>
              <w:tab/>
            </w:r>
          </w:p>
        </w:tc>
      </w:tr>
      <w:tr>
        <w:tblPrEx>
          <w:tblW w:w="8880" w:type="dxa"/>
          <w:jc w:val="center"/>
          <w:tblLayout w:type="fixed"/>
          <w:tblCellMar>
            <w:left w:w="108" w:type="dxa"/>
            <w:right w:w="108" w:type="dxa"/>
          </w:tblCellMar>
        </w:tblPrEx>
        <w:trPr>
          <w:cantSplit/>
          <w:trHeight w:hRule="exact" w:val="300"/>
          <w:jc w:val="center"/>
        </w:trPr>
        <w:tc>
          <w:tcPr>
            <w:tcW w:w="588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Compensation</w:t>
            </w:r>
          </w:p>
        </w:tc>
        <w:tc>
          <w:tcPr>
            <w:tcW w:w="15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67"/>
                <w:tab w:val="left" w:pos="1432"/>
              </w:tabs>
              <w:spacing w:before="75" w:after="30" w:line="240" w:lineRule="auto"/>
              <w:jc w:val="right"/>
            </w:pPr>
            <w:r>
              <w:rPr>
                <w:rFonts w:ascii="Times New Roman" w:eastAsia="Times New Roman" w:hAnsi="Times New Roman" w:cs="Times New Roman"/>
                <w:b w:val="0"/>
                <w:i w:val="0"/>
                <w:color w:val="000000"/>
                <w:sz w:val="20"/>
                <w:u w:val="none"/>
              </w:rPr>
              <w:tab/>
              <w:t>474</w:t>
              <w:tab/>
            </w:r>
          </w:p>
        </w:tc>
        <w:tc>
          <w:tcPr>
            <w:tcW w:w="15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67"/>
                <w:tab w:val="left" w:pos="1432"/>
              </w:tabs>
              <w:spacing w:before="75" w:after="30" w:line="240" w:lineRule="auto"/>
              <w:jc w:val="right"/>
            </w:pPr>
            <w:r>
              <w:rPr>
                <w:rFonts w:ascii="Times New Roman" w:eastAsia="Times New Roman" w:hAnsi="Times New Roman" w:cs="Times New Roman"/>
                <w:b w:val="0"/>
                <w:i w:val="0"/>
                <w:color w:val="000000"/>
                <w:sz w:val="20"/>
                <w:u w:val="none"/>
              </w:rPr>
              <w:tab/>
              <w:t>467</w:t>
              <w:tab/>
            </w:r>
          </w:p>
        </w:tc>
      </w:tr>
      <w:tr>
        <w:tblPrEx>
          <w:tblW w:w="8880" w:type="dxa"/>
          <w:jc w:val="center"/>
          <w:tblLayout w:type="fixed"/>
          <w:tblCellMar>
            <w:left w:w="108" w:type="dxa"/>
            <w:right w:w="108" w:type="dxa"/>
          </w:tblCellMar>
        </w:tblPrEx>
        <w:trPr>
          <w:cantSplit/>
          <w:trHeight w:hRule="exact" w:val="300"/>
          <w:jc w:val="center"/>
        </w:trPr>
        <w:tc>
          <w:tcPr>
            <w:tcW w:w="588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Depreciation, depletion, and amortization</w:t>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67"/>
                <w:tab w:val="left" w:pos="1432"/>
              </w:tabs>
              <w:spacing w:before="75" w:after="30" w:line="240" w:lineRule="auto"/>
              <w:jc w:val="right"/>
            </w:pPr>
            <w:r>
              <w:rPr>
                <w:rFonts w:ascii="Times New Roman" w:eastAsia="Times New Roman" w:hAnsi="Times New Roman" w:cs="Times New Roman"/>
                <w:b w:val="0"/>
                <w:i w:val="0"/>
                <w:color w:val="000000"/>
                <w:sz w:val="20"/>
                <w:u w:val="none"/>
              </w:rPr>
              <w:tab/>
              <w:t>152</w:t>
              <w:tab/>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67"/>
                <w:tab w:val="left" w:pos="1432"/>
              </w:tabs>
              <w:spacing w:before="75" w:after="30" w:line="240" w:lineRule="auto"/>
              <w:jc w:val="right"/>
            </w:pPr>
            <w:r>
              <w:rPr>
                <w:rFonts w:ascii="Times New Roman" w:eastAsia="Times New Roman" w:hAnsi="Times New Roman" w:cs="Times New Roman"/>
                <w:b w:val="0"/>
                <w:i w:val="0"/>
                <w:color w:val="000000"/>
                <w:sz w:val="20"/>
                <w:u w:val="none"/>
              </w:rPr>
              <w:tab/>
              <w:t>121</w:t>
              <w:tab/>
            </w:r>
          </w:p>
        </w:tc>
      </w:tr>
      <w:tr>
        <w:tblPrEx>
          <w:tblW w:w="8880" w:type="dxa"/>
          <w:jc w:val="center"/>
          <w:tblLayout w:type="fixed"/>
          <w:tblCellMar>
            <w:left w:w="108" w:type="dxa"/>
            <w:right w:w="108" w:type="dxa"/>
          </w:tblCellMar>
        </w:tblPrEx>
        <w:trPr>
          <w:cantSplit/>
          <w:trHeight w:hRule="exact" w:val="300"/>
          <w:jc w:val="center"/>
        </w:trPr>
        <w:tc>
          <w:tcPr>
            <w:tcW w:w="5880"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Other</w:t>
            </w:r>
          </w:p>
        </w:tc>
        <w:tc>
          <w:tcPr>
            <w:tcW w:w="15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067"/>
                <w:tab w:val="left" w:pos="1432"/>
              </w:tabs>
              <w:spacing w:before="75" w:after="30" w:line="240" w:lineRule="auto"/>
              <w:jc w:val="right"/>
            </w:pPr>
            <w:r>
              <w:rPr>
                <w:rFonts w:ascii="Times New Roman" w:eastAsia="Times New Roman" w:hAnsi="Times New Roman" w:cs="Times New Roman"/>
                <w:b w:val="0"/>
                <w:i w:val="0"/>
                <w:color w:val="000000"/>
                <w:sz w:val="20"/>
                <w:u w:val="none"/>
              </w:rPr>
              <w:tab/>
              <w:t>663</w:t>
              <w:tab/>
            </w:r>
          </w:p>
        </w:tc>
        <w:tc>
          <w:tcPr>
            <w:tcW w:w="15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067"/>
                <w:tab w:val="left" w:pos="1432"/>
              </w:tabs>
              <w:spacing w:before="75" w:after="30" w:line="240" w:lineRule="auto"/>
              <w:jc w:val="right"/>
            </w:pPr>
            <w:r>
              <w:rPr>
                <w:rFonts w:ascii="Times New Roman" w:eastAsia="Times New Roman" w:hAnsi="Times New Roman" w:cs="Times New Roman"/>
                <w:b w:val="0"/>
                <w:i w:val="0"/>
                <w:color w:val="000000"/>
                <w:sz w:val="20"/>
                <w:u w:val="none"/>
              </w:rPr>
              <w:tab/>
              <w:t>475</w:t>
              <w:tab/>
            </w:r>
          </w:p>
        </w:tc>
      </w:tr>
      <w:tr>
        <w:tblPrEx>
          <w:tblW w:w="8880" w:type="dxa"/>
          <w:jc w:val="center"/>
          <w:tblLayout w:type="fixed"/>
          <w:tblCellMar>
            <w:left w:w="108" w:type="dxa"/>
            <w:right w:w="108" w:type="dxa"/>
          </w:tblCellMar>
        </w:tblPrEx>
        <w:trPr>
          <w:cantSplit/>
          <w:trHeight w:hRule="exact" w:val="300"/>
          <w:jc w:val="center"/>
        </w:trPr>
        <w:tc>
          <w:tcPr>
            <w:tcW w:w="5880" w:type="dxa"/>
            <w:tcBorders>
              <w:top w:val="single" w:sz="8" w:space="0" w:color="000000"/>
              <w:left w:val="nil"/>
              <w:bottom w:val="double" w:sz="8" w:space="0" w:color="000000"/>
              <w:right w:val="nil"/>
            </w:tcBorders>
            <w:shd w:val="clear" w:color="auto" w:fill="FFFFFF"/>
            <w:tcMar>
              <w:top w:w="0" w:type="dxa"/>
              <w:left w:w="53" w:type="dxa"/>
              <w:bottom w:w="0" w:type="dxa"/>
              <w:right w:w="53" w:type="dxa"/>
            </w:tcMar>
            <w:vAlign w:val="bottom"/>
          </w:tcPr>
          <w:p>
            <w:pPr>
              <w:pageBreakBefore w:val="0"/>
              <w:spacing w:before="55" w:after="30" w:line="240" w:lineRule="auto"/>
              <w:jc w:val="left"/>
            </w:pPr>
            <w:r>
              <w:rPr>
                <w:rFonts w:ascii="Times New Roman" w:eastAsia="Times New Roman" w:hAnsi="Times New Roman" w:cs="Times New Roman"/>
                <w:b w:val="0"/>
                <w:i w:val="0"/>
                <w:color w:val="000000"/>
                <w:sz w:val="20"/>
                <w:u w:val="none"/>
              </w:rPr>
              <w:t>Total segment operating expenses</w:t>
            </w:r>
          </w:p>
        </w:tc>
        <w:tc>
          <w:tcPr>
            <w:tcW w:w="15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917"/>
                <w:tab w:val="left" w:pos="1432"/>
              </w:tabs>
              <w:spacing w:before="55" w:after="30" w:line="240" w:lineRule="auto"/>
              <w:jc w:val="right"/>
            </w:pPr>
            <w:r>
              <w:rPr>
                <w:rFonts w:ascii="Times New Roman" w:eastAsia="Times New Roman" w:hAnsi="Times New Roman" w:cs="Times New Roman"/>
                <w:b w:val="0"/>
                <w:i w:val="0"/>
                <w:color w:val="000000"/>
                <w:sz w:val="20"/>
                <w:u w:val="none"/>
              </w:rPr>
              <w:t>$</w:t>
              <w:tab/>
              <w:t>2,589</w:t>
              <w:tab/>
            </w:r>
          </w:p>
        </w:tc>
        <w:tc>
          <w:tcPr>
            <w:tcW w:w="15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917"/>
                <w:tab w:val="left" w:pos="1432"/>
              </w:tabs>
              <w:spacing w:before="55" w:after="30" w:line="240" w:lineRule="auto"/>
              <w:jc w:val="right"/>
            </w:pPr>
            <w:r>
              <w:rPr>
                <w:rFonts w:ascii="Times New Roman" w:eastAsia="Times New Roman" w:hAnsi="Times New Roman" w:cs="Times New Roman"/>
                <w:b w:val="0"/>
                <w:i w:val="0"/>
                <w:color w:val="000000"/>
                <w:sz w:val="20"/>
                <w:u w:val="none"/>
              </w:rPr>
              <w:t>$</w:t>
              <w:tab/>
              <w:t>1,945</w:t>
              <w:tab/>
            </w:r>
          </w:p>
        </w:tc>
      </w:tr>
    </w:tbl>
    <w:p>
      <w:pPr>
        <w:keepNext/>
        <w:keepLines/>
        <w:pageBreakBefore w:val="0"/>
        <w:widowControl w:val="0"/>
        <w:numPr>
          <w:ilvl w:val="0"/>
          <w:numId w:val="0"/>
        </w:numPr>
        <w:spacing w:before="0" w:after="160" w:line="288" w:lineRule="auto"/>
        <w:ind w:left="0" w:right="0" w:firstLine="0"/>
        <w:jc w:val="center"/>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 </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880"/>
        <w:gridCol w:w="1500"/>
        <w:gridCol w:w="1500"/>
      </w:tblGrid>
      <w:tr>
        <w:tblPrEx>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center"/>
        </w:trPr>
        <w:tc>
          <w:tcPr>
            <w:tcW w:w="5880"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p>
        </w:tc>
        <w:tc>
          <w:tcPr>
            <w:tcW w:w="3000" w:type="dxa"/>
            <w:gridSpan w:val="2"/>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Three Months Ended</w:t>
            </w:r>
          </w:p>
        </w:tc>
      </w:tr>
      <w:tr>
        <w:tblPrEx>
          <w:tblW w:w="8880" w:type="dxa"/>
          <w:jc w:val="center"/>
          <w:tblLayout w:type="fixed"/>
          <w:tblCellMar>
            <w:left w:w="108" w:type="dxa"/>
            <w:right w:w="108" w:type="dxa"/>
          </w:tblCellMar>
        </w:tblPrEx>
        <w:trPr>
          <w:cantSplit/>
          <w:trHeight w:hRule="exact" w:val="315"/>
          <w:jc w:val="center"/>
        </w:trPr>
        <w:tc>
          <w:tcPr>
            <w:tcW w:w="5880"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p>
        </w:tc>
        <w:tc>
          <w:tcPr>
            <w:tcW w:w="3000" w:type="dxa"/>
            <w:gridSpan w:val="2"/>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 xml:space="preserve">March 31, </w:t>
            </w:r>
          </w:p>
        </w:tc>
      </w:tr>
      <w:tr>
        <w:tblPrEx>
          <w:tblW w:w="8880" w:type="dxa"/>
          <w:jc w:val="center"/>
          <w:tblLayout w:type="fixed"/>
          <w:tblCellMar>
            <w:left w:w="108" w:type="dxa"/>
            <w:right w:w="108" w:type="dxa"/>
          </w:tblCellMar>
        </w:tblPrEx>
        <w:trPr>
          <w:cantSplit/>
          <w:trHeight w:hRule="exact" w:val="315"/>
          <w:jc w:val="center"/>
        </w:trPr>
        <w:tc>
          <w:tcPr>
            <w:tcW w:w="5880"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p>
        </w:tc>
        <w:tc>
          <w:tcPr>
            <w:tcW w:w="3000" w:type="dxa"/>
            <w:gridSpan w:val="2"/>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2024</w:t>
            </w:r>
          </w:p>
        </w:tc>
      </w:tr>
      <w:tr>
        <w:tblPrEx>
          <w:tblW w:w="8880" w:type="dxa"/>
          <w:jc w:val="center"/>
          <w:tblLayout w:type="fixed"/>
          <w:tblCellMar>
            <w:left w:w="108" w:type="dxa"/>
            <w:right w:w="108" w:type="dxa"/>
          </w:tblCellMar>
        </w:tblPrEx>
        <w:trPr>
          <w:cantSplit/>
          <w:trHeight w:hRule="exact" w:val="495"/>
          <w:jc w:val="center"/>
        </w:trPr>
        <w:tc>
          <w:tcPr>
            <w:tcW w:w="588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color w:val="000000"/>
                <w:sz w:val="20"/>
                <w:u w:val="none"/>
              </w:rPr>
              <w:t>Millions of dollars</w:t>
            </w:r>
          </w:p>
        </w:tc>
        <w:tc>
          <w:tcPr>
            <w:tcW w:w="150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Completion and Production</w:t>
            </w:r>
          </w:p>
        </w:tc>
        <w:tc>
          <w:tcPr>
            <w:tcW w:w="150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Drilling and Evaluation</w:t>
            </w:r>
          </w:p>
        </w:tc>
      </w:tr>
      <w:tr>
        <w:tblPrEx>
          <w:tblW w:w="8880" w:type="dxa"/>
          <w:jc w:val="center"/>
          <w:tblLayout w:type="fixed"/>
          <w:tblCellMar>
            <w:left w:w="108" w:type="dxa"/>
            <w:right w:w="108" w:type="dxa"/>
          </w:tblCellMar>
        </w:tblPrEx>
        <w:trPr>
          <w:cantSplit/>
          <w:trHeight w:hRule="exact" w:val="315"/>
          <w:jc w:val="center"/>
        </w:trPr>
        <w:tc>
          <w:tcPr>
            <w:tcW w:w="588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20"/>
                <w:u w:val="none"/>
              </w:rPr>
              <w:t>Segment operating expenses:</w:t>
            </w:r>
          </w:p>
        </w:tc>
        <w:tc>
          <w:tcPr>
            <w:tcW w:w="150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p>
        </w:tc>
        <w:tc>
          <w:tcPr>
            <w:tcW w:w="150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p>
        </w:tc>
      </w:tr>
      <w:tr>
        <w:tblPrEx>
          <w:tblW w:w="8880" w:type="dxa"/>
          <w:jc w:val="center"/>
          <w:tblLayout w:type="fixed"/>
          <w:tblCellMar>
            <w:left w:w="108" w:type="dxa"/>
            <w:right w:w="108" w:type="dxa"/>
          </w:tblCellMar>
        </w:tblPrEx>
        <w:trPr>
          <w:cantSplit/>
          <w:trHeight w:hRule="exact" w:val="315"/>
          <w:jc w:val="center"/>
        </w:trPr>
        <w:tc>
          <w:tcPr>
            <w:tcW w:w="588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Cost of products, materials, and supplies</w:t>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17"/>
                <w:tab w:val="left" w:pos="1432"/>
              </w:tabs>
              <w:spacing w:before="75" w:after="30" w:line="240" w:lineRule="auto"/>
              <w:jc w:val="right"/>
            </w:pPr>
            <w:r>
              <w:rPr>
                <w:rFonts w:ascii="Times New Roman" w:eastAsia="Times New Roman" w:hAnsi="Times New Roman" w:cs="Times New Roman"/>
                <w:b w:val="0"/>
                <w:i w:val="0"/>
                <w:color w:val="000000"/>
                <w:sz w:val="20"/>
                <w:u w:val="none"/>
              </w:rPr>
              <w:t>$</w:t>
              <w:tab/>
              <w:t>1,392</w:t>
              <w:tab/>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67"/>
                <w:tab w:val="left" w:pos="1432"/>
              </w:tabs>
              <w:spacing w:before="75" w:after="30" w:line="240" w:lineRule="auto"/>
              <w:jc w:val="right"/>
            </w:pPr>
            <w:r>
              <w:rPr>
                <w:rFonts w:ascii="Times New Roman" w:eastAsia="Times New Roman" w:hAnsi="Times New Roman" w:cs="Times New Roman"/>
                <w:b w:val="0"/>
                <w:i w:val="0"/>
                <w:color w:val="000000"/>
                <w:sz w:val="20"/>
                <w:u w:val="none"/>
              </w:rPr>
              <w:t>$</w:t>
              <w:tab/>
              <w:t>977</w:t>
              <w:tab/>
            </w:r>
          </w:p>
        </w:tc>
      </w:tr>
      <w:tr>
        <w:tblPrEx>
          <w:tblW w:w="8880" w:type="dxa"/>
          <w:jc w:val="center"/>
          <w:tblLayout w:type="fixed"/>
          <w:tblCellMar>
            <w:left w:w="108" w:type="dxa"/>
            <w:right w:w="108" w:type="dxa"/>
          </w:tblCellMar>
        </w:tblPrEx>
        <w:trPr>
          <w:cantSplit/>
          <w:trHeight w:hRule="exact" w:val="315"/>
          <w:jc w:val="center"/>
        </w:trPr>
        <w:tc>
          <w:tcPr>
            <w:tcW w:w="588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Compensation</w:t>
            </w:r>
          </w:p>
        </w:tc>
        <w:tc>
          <w:tcPr>
            <w:tcW w:w="15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67"/>
                <w:tab w:val="left" w:pos="1432"/>
              </w:tabs>
              <w:spacing w:before="75" w:after="30" w:line="240" w:lineRule="auto"/>
              <w:jc w:val="right"/>
            </w:pPr>
            <w:r>
              <w:rPr>
                <w:rFonts w:ascii="Times New Roman" w:eastAsia="Times New Roman" w:hAnsi="Times New Roman" w:cs="Times New Roman"/>
                <w:b w:val="0"/>
                <w:i w:val="0"/>
                <w:color w:val="000000"/>
                <w:sz w:val="20"/>
                <w:u w:val="none"/>
              </w:rPr>
              <w:tab/>
              <w:t>484</w:t>
              <w:tab/>
            </w:r>
          </w:p>
        </w:tc>
        <w:tc>
          <w:tcPr>
            <w:tcW w:w="15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67"/>
                <w:tab w:val="left" w:pos="1432"/>
              </w:tabs>
              <w:spacing w:before="75" w:after="30" w:line="240" w:lineRule="auto"/>
              <w:jc w:val="right"/>
            </w:pPr>
            <w:r>
              <w:rPr>
                <w:rFonts w:ascii="Times New Roman" w:eastAsia="Times New Roman" w:hAnsi="Times New Roman" w:cs="Times New Roman"/>
                <w:b w:val="0"/>
                <w:i w:val="0"/>
                <w:color w:val="000000"/>
                <w:sz w:val="20"/>
                <w:u w:val="none"/>
              </w:rPr>
              <w:tab/>
              <w:t>465</w:t>
              <w:tab/>
            </w:r>
          </w:p>
        </w:tc>
      </w:tr>
      <w:tr>
        <w:tblPrEx>
          <w:tblW w:w="8880" w:type="dxa"/>
          <w:jc w:val="center"/>
          <w:tblLayout w:type="fixed"/>
          <w:tblCellMar>
            <w:left w:w="108" w:type="dxa"/>
            <w:right w:w="108" w:type="dxa"/>
          </w:tblCellMar>
        </w:tblPrEx>
        <w:trPr>
          <w:cantSplit/>
          <w:trHeight w:hRule="exact" w:val="315"/>
          <w:jc w:val="center"/>
        </w:trPr>
        <w:tc>
          <w:tcPr>
            <w:tcW w:w="588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Depreciation, depletion, and amortization</w:t>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67"/>
                <w:tab w:val="left" w:pos="1432"/>
              </w:tabs>
              <w:spacing w:before="75" w:after="30" w:line="240" w:lineRule="auto"/>
              <w:jc w:val="right"/>
            </w:pPr>
            <w:r>
              <w:rPr>
                <w:rFonts w:ascii="Times New Roman" w:eastAsia="Times New Roman" w:hAnsi="Times New Roman" w:cs="Times New Roman"/>
                <w:b w:val="0"/>
                <w:i w:val="0"/>
                <w:color w:val="000000"/>
                <w:sz w:val="20"/>
                <w:u w:val="none"/>
              </w:rPr>
              <w:tab/>
              <w:t>144</w:t>
              <w:tab/>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67"/>
                <w:tab w:val="left" w:pos="1432"/>
              </w:tabs>
              <w:spacing w:before="75" w:after="30" w:line="240" w:lineRule="auto"/>
              <w:jc w:val="right"/>
            </w:pPr>
            <w:r>
              <w:rPr>
                <w:rFonts w:ascii="Times New Roman" w:eastAsia="Times New Roman" w:hAnsi="Times New Roman" w:cs="Times New Roman"/>
                <w:b w:val="0"/>
                <w:i w:val="0"/>
                <w:color w:val="000000"/>
                <w:sz w:val="20"/>
                <w:u w:val="none"/>
              </w:rPr>
              <w:tab/>
              <w:t>115</w:t>
              <w:tab/>
            </w:r>
          </w:p>
        </w:tc>
      </w:tr>
      <w:tr>
        <w:tblPrEx>
          <w:tblW w:w="8880" w:type="dxa"/>
          <w:jc w:val="center"/>
          <w:tblLayout w:type="fixed"/>
          <w:tblCellMar>
            <w:left w:w="108" w:type="dxa"/>
            <w:right w:w="108" w:type="dxa"/>
          </w:tblCellMar>
        </w:tblPrEx>
        <w:trPr>
          <w:cantSplit/>
          <w:trHeight w:hRule="exact" w:val="315"/>
          <w:jc w:val="center"/>
        </w:trPr>
        <w:tc>
          <w:tcPr>
            <w:tcW w:w="5880"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Other</w:t>
            </w:r>
          </w:p>
        </w:tc>
        <w:tc>
          <w:tcPr>
            <w:tcW w:w="15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067"/>
                <w:tab w:val="left" w:pos="1432"/>
              </w:tabs>
              <w:spacing w:before="75" w:after="30" w:line="240" w:lineRule="auto"/>
              <w:jc w:val="right"/>
            </w:pPr>
            <w:r>
              <w:rPr>
                <w:rFonts w:ascii="Times New Roman" w:eastAsia="Times New Roman" w:hAnsi="Times New Roman" w:cs="Times New Roman"/>
                <w:b w:val="0"/>
                <w:i w:val="0"/>
                <w:color w:val="000000"/>
                <w:sz w:val="20"/>
                <w:u w:val="none"/>
              </w:rPr>
              <w:tab/>
              <w:t>665</w:t>
              <w:tab/>
            </w:r>
          </w:p>
        </w:tc>
        <w:tc>
          <w:tcPr>
            <w:tcW w:w="15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067"/>
                <w:tab w:val="left" w:pos="1432"/>
              </w:tabs>
              <w:spacing w:before="75" w:after="30" w:line="240" w:lineRule="auto"/>
              <w:jc w:val="right"/>
            </w:pPr>
            <w:r>
              <w:rPr>
                <w:rFonts w:ascii="Times New Roman" w:eastAsia="Times New Roman" w:hAnsi="Times New Roman" w:cs="Times New Roman"/>
                <w:b w:val="0"/>
                <w:i w:val="0"/>
                <w:color w:val="000000"/>
                <w:sz w:val="20"/>
                <w:u w:val="none"/>
              </w:rPr>
              <w:tab/>
              <w:t>476</w:t>
              <w:tab/>
            </w:r>
          </w:p>
        </w:tc>
      </w:tr>
      <w:tr>
        <w:tblPrEx>
          <w:tblW w:w="8880" w:type="dxa"/>
          <w:jc w:val="center"/>
          <w:tblLayout w:type="fixed"/>
          <w:tblCellMar>
            <w:left w:w="108" w:type="dxa"/>
            <w:right w:w="108" w:type="dxa"/>
          </w:tblCellMar>
        </w:tblPrEx>
        <w:trPr>
          <w:cantSplit/>
          <w:trHeight w:hRule="exact" w:val="315"/>
          <w:jc w:val="center"/>
        </w:trPr>
        <w:tc>
          <w:tcPr>
            <w:tcW w:w="5880" w:type="dxa"/>
            <w:tcBorders>
              <w:top w:val="single" w:sz="8" w:space="0" w:color="000000"/>
              <w:left w:val="nil"/>
              <w:bottom w:val="double" w:sz="8" w:space="0" w:color="000000"/>
              <w:right w:val="nil"/>
            </w:tcBorders>
            <w:shd w:val="clear" w:color="auto" w:fill="FFFFFF"/>
            <w:tcMar>
              <w:top w:w="0" w:type="dxa"/>
              <w:left w:w="53" w:type="dxa"/>
              <w:bottom w:w="0" w:type="dxa"/>
              <w:right w:w="53" w:type="dxa"/>
            </w:tcMar>
            <w:vAlign w:val="bottom"/>
          </w:tcPr>
          <w:p>
            <w:pPr>
              <w:pageBreakBefore w:val="0"/>
              <w:spacing w:before="55" w:after="30" w:line="240" w:lineRule="auto"/>
              <w:jc w:val="left"/>
            </w:pPr>
            <w:r>
              <w:rPr>
                <w:rFonts w:ascii="Times New Roman" w:eastAsia="Times New Roman" w:hAnsi="Times New Roman" w:cs="Times New Roman"/>
                <w:b w:val="0"/>
                <w:i w:val="0"/>
                <w:color w:val="000000"/>
                <w:sz w:val="20"/>
                <w:u w:val="none"/>
              </w:rPr>
              <w:t>Total segment operating expenses</w:t>
            </w:r>
          </w:p>
        </w:tc>
        <w:tc>
          <w:tcPr>
            <w:tcW w:w="15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917"/>
                <w:tab w:val="left" w:pos="1432"/>
              </w:tabs>
              <w:spacing w:before="55" w:after="30" w:line="240" w:lineRule="auto"/>
              <w:jc w:val="right"/>
            </w:pPr>
            <w:r>
              <w:rPr>
                <w:rFonts w:ascii="Times New Roman" w:eastAsia="Times New Roman" w:hAnsi="Times New Roman" w:cs="Times New Roman"/>
                <w:b w:val="0"/>
                <w:i w:val="0"/>
                <w:color w:val="000000"/>
                <w:sz w:val="20"/>
                <w:u w:val="none"/>
              </w:rPr>
              <w:t>$</w:t>
              <w:tab/>
              <w:t>2,685</w:t>
              <w:tab/>
            </w:r>
          </w:p>
        </w:tc>
        <w:tc>
          <w:tcPr>
            <w:tcW w:w="15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917"/>
                <w:tab w:val="left" w:pos="1432"/>
              </w:tabs>
              <w:spacing w:before="55" w:after="30" w:line="240" w:lineRule="auto"/>
              <w:jc w:val="right"/>
            </w:pPr>
            <w:r>
              <w:rPr>
                <w:rFonts w:ascii="Times New Roman" w:eastAsia="Times New Roman" w:hAnsi="Times New Roman" w:cs="Times New Roman"/>
                <w:b w:val="0"/>
                <w:i w:val="0"/>
                <w:color w:val="000000"/>
                <w:sz w:val="20"/>
                <w:u w:val="none"/>
              </w:rPr>
              <w:t>$</w:t>
              <w:tab/>
              <w:t>2,033</w:t>
              <w:tab/>
            </w:r>
          </w:p>
        </w:tc>
      </w:tr>
    </w:tbl>
    <w:p>
      <w:pPr>
        <w:keepNext/>
        <w:keepLines/>
        <w:pageBreakBefore w:val="0"/>
        <w:widowControl w:val="0"/>
        <w:numPr>
          <w:ilvl w:val="0"/>
          <w:numId w:val="0"/>
        </w:numPr>
        <w:spacing w:before="0" w:after="160" w:line="288" w:lineRule="auto"/>
        <w:ind w:left="0" w:right="0" w:firstLine="0"/>
        <w:jc w:val="center"/>
        <w:outlineLvl w:val="9"/>
        <w:rPr>
          <w:rFonts w:ascii="Times New Roman" w:eastAsia="Times New Roman" w:hAnsi="Times New Roman" w:cs="Times New Roman"/>
          <w:b w:val="0"/>
          <w:i w:val="0"/>
          <w:color w:val="000000"/>
          <w:sz w:val="2"/>
          <w:u w:val="none"/>
        </w:rPr>
      </w:pPr>
    </w:p>
    <w:p>
      <w:pPr>
        <w:keepNext/>
        <w:keepLines/>
        <w:pageBreakBefore w:val="0"/>
        <w:widowControl w:val="0"/>
        <w:numPr>
          <w:ilvl w:val="0"/>
          <w:numId w:val="0"/>
        </w:numPr>
        <w:spacing w:before="0" w:after="160" w:line="288" w:lineRule="auto"/>
        <w:ind w:left="0" w:right="0" w:firstLine="0"/>
        <w:jc w:val="center"/>
        <w:outlineLvl w:val="9"/>
        <w:rPr>
          <w:rFonts w:ascii="Times New Roman" w:eastAsia="Times New Roman" w:hAnsi="Times New Roman" w:cs="Times New Roman"/>
          <w:b w:val="0"/>
          <w:i w:val="0"/>
          <w:color w:val="000000"/>
          <w:sz w:val="2"/>
          <w:u w:val="none"/>
        </w:rPr>
        <w:sectPr>
          <w:headerReference w:type="default" r:id="rId27"/>
          <w:footerReference w:type="default" r:id="rId28"/>
          <w:type w:val="continuous"/>
          <w:pgSz w:w="12240" w:h="15840"/>
          <w:pgMar w:top="900" w:right="990" w:bottom="900" w:left="990" w:header="270" w:footer="270"/>
          <w:cols w:space="708"/>
        </w:sectPr>
      </w:pPr>
    </w:p>
    <w:p>
      <w:pPr>
        <w:keepNext w:val="0"/>
        <w:keepLines w:val="0"/>
        <w:pageBreakBefore w:val="0"/>
        <w:widowControl/>
        <w:numPr>
          <w:ilvl w:val="0"/>
          <w:numId w:val="0"/>
        </w:numPr>
        <w:spacing w:before="0" w:after="160" w:line="288" w:lineRule="auto"/>
        <w:ind w:left="0" w:right="0" w:firstLine="720"/>
        <w:jc w:val="both"/>
        <w:outlineLvl w:val="3"/>
        <w:rPr>
          <w:rFonts w:ascii="Times New Roman" w:eastAsia="Times New Roman" w:hAnsi="Times New Roman" w:cs="Times New Roman"/>
          <w:b w:val="0"/>
          <w:i w:val="0"/>
          <w:sz w:val="20"/>
        </w:rPr>
      </w:pPr>
      <w:bookmarkStart w:id="14" w:name="Section15"/>
      <w:bookmarkEnd w:id="14"/>
      <w:r>
        <w:rPr>
          <w:rFonts w:ascii="Times New Roman" w:eastAsia="Times New Roman" w:hAnsi="Times New Roman" w:cs="Times New Roman"/>
          <w:b w:val="0"/>
          <w:i w:val="0"/>
          <w:color w:val="000000"/>
          <w:sz w:val="20"/>
          <w:u w:val="none"/>
        </w:rPr>
        <w:t>Other segment operating expenses primarily consist of maintenance, overhead allocations,</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facilities cost, and other miscellaneous costs.</w:t>
      </w:r>
    </w:p>
    <w:p>
      <w:pPr>
        <w:keepNext/>
        <w:keepLines/>
        <w:pageBreakBefore w:val="0"/>
        <w:widowControl w:val="0"/>
        <w:numPr>
          <w:ilvl w:val="0"/>
          <w:numId w:val="0"/>
        </w:numPr>
        <w:tabs>
          <w:tab w:val="left" w:pos="1340"/>
        </w:tabs>
        <w:spacing w:before="0" w:after="160" w:line="288" w:lineRule="auto"/>
        <w:ind w:left="0" w:right="0" w:firstLine="720"/>
        <w:jc w:val="both"/>
        <w:outlineLvl w:val="9"/>
        <w:rPr>
          <w:rFonts w:ascii="Times New Roman" w:eastAsia="Times New Roman" w:hAnsi="Times New Roman" w:cs="Times New Roman"/>
          <w:b/>
          <w:i/>
          <w:color w:val="000000"/>
          <w:sz w:val="16"/>
          <w:u w:val="none"/>
        </w:rPr>
      </w:pPr>
      <w:r>
        <w:rPr>
          <w:rFonts w:ascii="Times New Roman" w:eastAsia="Times New Roman" w:hAnsi="Times New Roman" w:cs="Times New Roman"/>
          <w:b w:val="0"/>
          <w:i w:val="0"/>
          <w:color w:val="000000"/>
          <w:sz w:val="20"/>
          <w:u w:val="none"/>
        </w:rPr>
        <w:t>The following table presents total assets by segment.</w:t>
      </w:r>
    </w:p>
    <w:tbl>
      <w:tblPr>
        <w:tblW w:w="87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985"/>
        <w:gridCol w:w="1365"/>
        <w:gridCol w:w="1365"/>
      </w:tblGrid>
      <w:tr>
        <w:tblPrEx>
          <w:tblW w:w="87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59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65" w:after="20" w:line="240" w:lineRule="auto"/>
              <w:jc w:val="left"/>
            </w:pPr>
            <w:r>
              <w:rPr>
                <w:rFonts w:ascii="Times New Roman" w:eastAsia="Times New Roman" w:hAnsi="Times New Roman" w:cs="Times New Roman"/>
                <w:b w:val="0"/>
                <w:i/>
                <w:color w:val="000000"/>
                <w:sz w:val="20"/>
                <w:u w:val="none"/>
              </w:rPr>
              <w:t>Millions of dollars</w:t>
            </w:r>
          </w:p>
        </w:tc>
        <w:tc>
          <w:tcPr>
            <w:tcW w:w="136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65" w:after="20" w:line="240" w:lineRule="auto"/>
              <w:jc w:val="center"/>
            </w:pPr>
            <w:r>
              <w:rPr>
                <w:rFonts w:ascii="Times New Roman" w:eastAsia="Times New Roman" w:hAnsi="Times New Roman" w:cs="Times New Roman"/>
                <w:b w:val="0"/>
                <w:i w:val="0"/>
                <w:color w:val="000000"/>
                <w:sz w:val="20"/>
                <w:u w:val="none"/>
              </w:rPr>
              <w:t>March 31, 2025</w:t>
            </w:r>
          </w:p>
        </w:tc>
        <w:tc>
          <w:tcPr>
            <w:tcW w:w="136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65" w:after="20" w:line="240" w:lineRule="auto"/>
              <w:jc w:val="center"/>
            </w:pPr>
            <w:r>
              <w:rPr>
                <w:rFonts w:ascii="Times New Roman" w:eastAsia="Times New Roman" w:hAnsi="Times New Roman" w:cs="Times New Roman"/>
                <w:b w:val="0"/>
                <w:i w:val="0"/>
                <w:color w:val="000000"/>
                <w:sz w:val="20"/>
                <w:u w:val="none"/>
              </w:rPr>
              <w:t>December 31, 2024</w:t>
            </w:r>
          </w:p>
        </w:tc>
      </w:tr>
      <w:tr>
        <w:tblPrEx>
          <w:tblW w:w="8715" w:type="dxa"/>
          <w:tblInd w:w="720" w:type="dxa"/>
          <w:tblLayout w:type="fixed"/>
          <w:tblCellMar>
            <w:left w:w="108" w:type="dxa"/>
            <w:right w:w="108" w:type="dxa"/>
          </w:tblCellMar>
        </w:tblPrEx>
        <w:trPr>
          <w:cantSplit/>
          <w:trHeight w:hRule="auto" w:val="0"/>
        </w:trPr>
        <w:tc>
          <w:tcPr>
            <w:tcW w:w="59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45" w:after="20" w:line="240" w:lineRule="auto"/>
              <w:jc w:val="left"/>
            </w:pPr>
            <w:r>
              <w:rPr>
                <w:rFonts w:ascii="Times New Roman" w:eastAsia="Times New Roman" w:hAnsi="Times New Roman" w:cs="Times New Roman"/>
                <w:b/>
                <w:i w:val="0"/>
                <w:color w:val="000000"/>
                <w:sz w:val="20"/>
                <w:u w:val="none"/>
              </w:rPr>
              <w:t>Total assets:</w:t>
            </w:r>
          </w:p>
        </w:tc>
        <w:tc>
          <w:tcPr>
            <w:tcW w:w="136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45" w:after="20" w:line="240" w:lineRule="auto"/>
              <w:jc w:val="left"/>
            </w:pPr>
          </w:p>
        </w:tc>
        <w:tc>
          <w:tcPr>
            <w:tcW w:w="136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45" w:after="20" w:line="240" w:lineRule="auto"/>
              <w:jc w:val="left"/>
            </w:pPr>
          </w:p>
        </w:tc>
      </w:tr>
      <w:tr>
        <w:tblPrEx>
          <w:tblW w:w="8715" w:type="dxa"/>
          <w:tblInd w:w="720" w:type="dxa"/>
          <w:tblLayout w:type="fixed"/>
          <w:tblCellMar>
            <w:left w:w="108" w:type="dxa"/>
            <w:right w:w="108" w:type="dxa"/>
          </w:tblCellMar>
        </w:tblPrEx>
        <w:trPr>
          <w:cantSplit/>
          <w:trHeight w:hRule="auto" w:val="0"/>
        </w:trPr>
        <w:tc>
          <w:tcPr>
            <w:tcW w:w="59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65" w:after="20" w:line="240" w:lineRule="auto"/>
              <w:jc w:val="left"/>
            </w:pPr>
            <w:r>
              <w:rPr>
                <w:rFonts w:ascii="Times New Roman" w:eastAsia="Times New Roman" w:hAnsi="Times New Roman" w:cs="Times New Roman"/>
                <w:b w:val="0"/>
                <w:i w:val="0"/>
                <w:color w:val="000000"/>
                <w:sz w:val="20"/>
                <w:u w:val="none"/>
              </w:rPr>
              <w:t>Completion and Production (a)</w:t>
            </w:r>
          </w:p>
        </w:tc>
        <w:tc>
          <w:tcPr>
            <w:tcW w:w="136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82"/>
                <w:tab w:val="left" w:pos="1297"/>
              </w:tabs>
              <w:spacing w:before="65" w:after="20" w:line="240" w:lineRule="auto"/>
              <w:jc w:val="right"/>
            </w:pPr>
            <w:r>
              <w:rPr>
                <w:rFonts w:ascii="Times New Roman" w:eastAsia="Times New Roman" w:hAnsi="Times New Roman" w:cs="Times New Roman"/>
                <w:b w:val="0"/>
                <w:i w:val="0"/>
                <w:color w:val="000000"/>
                <w:sz w:val="20"/>
                <w:u w:val="none"/>
              </w:rPr>
              <w:t>$</w:t>
              <w:tab/>
              <w:t>12,169</w:t>
              <w:tab/>
            </w:r>
          </w:p>
        </w:tc>
        <w:tc>
          <w:tcPr>
            <w:tcW w:w="136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82"/>
                <w:tab w:val="left" w:pos="1297"/>
              </w:tabs>
              <w:spacing w:before="65" w:after="20" w:line="240" w:lineRule="auto"/>
              <w:jc w:val="right"/>
            </w:pPr>
            <w:r>
              <w:rPr>
                <w:rFonts w:ascii="Times New Roman" w:eastAsia="Times New Roman" w:hAnsi="Times New Roman" w:cs="Times New Roman"/>
                <w:b w:val="0"/>
                <w:i w:val="0"/>
                <w:color w:val="000000"/>
                <w:sz w:val="20"/>
                <w:u w:val="none"/>
              </w:rPr>
              <w:t>$</w:t>
              <w:tab/>
              <w:t>11,987</w:t>
              <w:tab/>
            </w:r>
          </w:p>
        </w:tc>
      </w:tr>
      <w:tr>
        <w:tblPrEx>
          <w:tblW w:w="8715" w:type="dxa"/>
          <w:tblInd w:w="720" w:type="dxa"/>
          <w:tblLayout w:type="fixed"/>
          <w:tblCellMar>
            <w:left w:w="108" w:type="dxa"/>
            <w:right w:w="108" w:type="dxa"/>
          </w:tblCellMar>
        </w:tblPrEx>
        <w:trPr>
          <w:cantSplit/>
          <w:trHeight w:hRule="auto" w:val="0"/>
        </w:trPr>
        <w:tc>
          <w:tcPr>
            <w:tcW w:w="59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65" w:after="20" w:line="240" w:lineRule="auto"/>
              <w:jc w:val="left"/>
            </w:pPr>
            <w:r>
              <w:rPr>
                <w:rFonts w:ascii="Times New Roman" w:eastAsia="Times New Roman" w:hAnsi="Times New Roman" w:cs="Times New Roman"/>
                <w:b w:val="0"/>
                <w:i w:val="0"/>
                <w:color w:val="000000"/>
                <w:sz w:val="20"/>
                <w:u w:val="none"/>
              </w:rPr>
              <w:t>Drilling and Evaluation (a)</w:t>
            </w:r>
          </w:p>
        </w:tc>
        <w:tc>
          <w:tcPr>
            <w:tcW w:w="136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82"/>
                <w:tab w:val="left" w:pos="1297"/>
              </w:tabs>
              <w:spacing w:before="65" w:after="20" w:line="240" w:lineRule="auto"/>
              <w:jc w:val="right"/>
            </w:pPr>
            <w:r>
              <w:rPr>
                <w:rFonts w:ascii="Times New Roman" w:eastAsia="Times New Roman" w:hAnsi="Times New Roman" w:cs="Times New Roman"/>
                <w:b w:val="0"/>
                <w:i w:val="0"/>
                <w:color w:val="000000"/>
                <w:sz w:val="20"/>
                <w:u w:val="none"/>
              </w:rPr>
              <w:tab/>
              <w:t>7,972</w:t>
              <w:tab/>
            </w:r>
          </w:p>
        </w:tc>
        <w:tc>
          <w:tcPr>
            <w:tcW w:w="136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82"/>
                <w:tab w:val="left" w:pos="1297"/>
              </w:tabs>
              <w:spacing w:before="65" w:after="20" w:line="240" w:lineRule="auto"/>
              <w:jc w:val="right"/>
            </w:pPr>
            <w:r>
              <w:rPr>
                <w:rFonts w:ascii="Times New Roman" w:eastAsia="Times New Roman" w:hAnsi="Times New Roman" w:cs="Times New Roman"/>
                <w:b w:val="0"/>
                <w:i w:val="0"/>
                <w:color w:val="000000"/>
                <w:sz w:val="20"/>
                <w:u w:val="none"/>
              </w:rPr>
              <w:tab/>
              <w:t>7,806</w:t>
              <w:tab/>
            </w:r>
          </w:p>
        </w:tc>
      </w:tr>
      <w:tr>
        <w:tblPrEx>
          <w:tblW w:w="8715" w:type="dxa"/>
          <w:tblInd w:w="720" w:type="dxa"/>
          <w:tblLayout w:type="fixed"/>
          <w:tblCellMar>
            <w:left w:w="108" w:type="dxa"/>
            <w:right w:w="108" w:type="dxa"/>
          </w:tblCellMar>
        </w:tblPrEx>
        <w:trPr>
          <w:cantSplit/>
          <w:trHeight w:hRule="auto" w:val="0"/>
        </w:trPr>
        <w:tc>
          <w:tcPr>
            <w:tcW w:w="598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65" w:after="20" w:line="240" w:lineRule="auto"/>
              <w:jc w:val="left"/>
            </w:pPr>
            <w:r>
              <w:rPr>
                <w:rFonts w:ascii="Times New Roman" w:eastAsia="Times New Roman" w:hAnsi="Times New Roman" w:cs="Times New Roman"/>
                <w:b w:val="0"/>
                <w:i w:val="0"/>
                <w:color w:val="000000"/>
                <w:sz w:val="20"/>
                <w:u w:val="none"/>
              </w:rPr>
              <w:t>Corporate and other (b)</w:t>
            </w:r>
          </w:p>
        </w:tc>
        <w:tc>
          <w:tcPr>
            <w:tcW w:w="136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82"/>
                <w:tab w:val="left" w:pos="1297"/>
              </w:tabs>
              <w:spacing w:before="65" w:after="20" w:line="240" w:lineRule="auto"/>
              <w:jc w:val="right"/>
            </w:pPr>
            <w:r>
              <w:rPr>
                <w:rFonts w:ascii="Times New Roman" w:eastAsia="Times New Roman" w:hAnsi="Times New Roman" w:cs="Times New Roman"/>
                <w:b w:val="0"/>
                <w:i w:val="0"/>
                <w:color w:val="000000"/>
                <w:sz w:val="20"/>
                <w:u w:val="none"/>
              </w:rPr>
              <w:tab/>
              <w:t>5,038</w:t>
              <w:tab/>
            </w:r>
          </w:p>
        </w:tc>
        <w:tc>
          <w:tcPr>
            <w:tcW w:w="136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82"/>
                <w:tab w:val="left" w:pos="1297"/>
              </w:tabs>
              <w:spacing w:before="65" w:after="20" w:line="240" w:lineRule="auto"/>
              <w:jc w:val="right"/>
            </w:pPr>
            <w:r>
              <w:rPr>
                <w:rFonts w:ascii="Times New Roman" w:eastAsia="Times New Roman" w:hAnsi="Times New Roman" w:cs="Times New Roman"/>
                <w:b w:val="0"/>
                <w:i w:val="0"/>
                <w:color w:val="000000"/>
                <w:sz w:val="20"/>
                <w:u w:val="none"/>
              </w:rPr>
              <w:tab/>
              <w:t>5,794</w:t>
              <w:tab/>
            </w:r>
          </w:p>
        </w:tc>
      </w:tr>
      <w:tr>
        <w:tblPrEx>
          <w:tblW w:w="8715" w:type="dxa"/>
          <w:tblInd w:w="720" w:type="dxa"/>
          <w:tblLayout w:type="fixed"/>
          <w:tblCellMar>
            <w:left w:w="108" w:type="dxa"/>
            <w:right w:w="108" w:type="dxa"/>
          </w:tblCellMar>
        </w:tblPrEx>
        <w:trPr>
          <w:cantSplit/>
          <w:trHeight w:hRule="auto" w:val="0"/>
        </w:trPr>
        <w:tc>
          <w:tcPr>
            <w:tcW w:w="5985" w:type="dxa"/>
            <w:tcBorders>
              <w:top w:val="nil"/>
              <w:left w:val="nil"/>
              <w:bottom w:val="double" w:sz="8" w:space="0" w:color="000000"/>
              <w:right w:val="nil"/>
            </w:tcBorders>
            <w:shd w:val="clear" w:color="auto" w:fill="CCEEFF"/>
            <w:tcMar>
              <w:top w:w="0" w:type="dxa"/>
              <w:left w:w="53" w:type="dxa"/>
              <w:bottom w:w="0" w:type="dxa"/>
              <w:right w:w="53" w:type="dxa"/>
            </w:tcMar>
            <w:vAlign w:val="bottom"/>
          </w:tcPr>
          <w:p>
            <w:pPr>
              <w:pageBreakBefore w:val="0"/>
              <w:spacing w:before="45" w:after="20" w:line="240" w:lineRule="auto"/>
              <w:jc w:val="left"/>
            </w:pPr>
            <w:r>
              <w:rPr>
                <w:rFonts w:ascii="Times New Roman" w:eastAsia="Times New Roman" w:hAnsi="Times New Roman" w:cs="Times New Roman"/>
                <w:b w:val="0"/>
                <w:i w:val="0"/>
                <w:color w:val="000000"/>
                <w:sz w:val="20"/>
                <w:u w:val="none"/>
              </w:rPr>
              <w:t>Total assets</w:t>
            </w:r>
          </w:p>
        </w:tc>
        <w:tc>
          <w:tcPr>
            <w:tcW w:w="136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682"/>
                <w:tab w:val="left" w:pos="1297"/>
              </w:tabs>
              <w:spacing w:before="45" w:after="20" w:line="240" w:lineRule="auto"/>
              <w:jc w:val="right"/>
            </w:pPr>
            <w:r>
              <w:rPr>
                <w:rFonts w:ascii="Times New Roman" w:eastAsia="Times New Roman" w:hAnsi="Times New Roman" w:cs="Times New Roman"/>
                <w:b w:val="0"/>
                <w:i w:val="0"/>
                <w:color w:val="000000"/>
                <w:sz w:val="20"/>
                <w:u w:val="none"/>
              </w:rPr>
              <w:t>$</w:t>
              <w:tab/>
              <w:t>25,179</w:t>
              <w:tab/>
            </w:r>
          </w:p>
        </w:tc>
        <w:tc>
          <w:tcPr>
            <w:tcW w:w="136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682"/>
                <w:tab w:val="left" w:pos="1297"/>
              </w:tabs>
              <w:spacing w:before="45" w:after="20" w:line="240" w:lineRule="auto"/>
              <w:jc w:val="right"/>
            </w:pPr>
            <w:r>
              <w:rPr>
                <w:rFonts w:ascii="Times New Roman" w:eastAsia="Times New Roman" w:hAnsi="Times New Roman" w:cs="Times New Roman"/>
                <w:b w:val="0"/>
                <w:i w:val="0"/>
                <w:color w:val="000000"/>
                <w:sz w:val="20"/>
                <w:u w:val="none"/>
              </w:rPr>
              <w:t>$</w:t>
              <w:tab/>
              <w:t>25,587</w:t>
              <w:tab/>
            </w:r>
          </w:p>
        </w:tc>
      </w:tr>
    </w:tbl>
    <w:p>
      <w:pPr>
        <w:keepNext w:val="0"/>
        <w:keepLines w:val="0"/>
        <w:pageBreakBefore w:val="0"/>
        <w:widowControl/>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10"/>
          <w:u w:val="none"/>
        </w:rPr>
      </w:pPr>
    </w:p>
    <w:tbl>
      <w:tblPr>
        <w:tblW w:w="859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00"/>
        <w:gridCol w:w="8295"/>
      </w:tblGrid>
      <w:tr>
        <w:tblPrEx>
          <w:tblW w:w="859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420"/>
        </w:trPr>
        <w:tc>
          <w:tcPr>
            <w:tcW w:w="300"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16"/>
                <w:u w:val="none"/>
              </w:rPr>
              <w:t>(a)</w:t>
            </w:r>
          </w:p>
        </w:tc>
        <w:tc>
          <w:tcPr>
            <w:tcW w:w="829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16"/>
                <w:u w:val="none"/>
              </w:rPr>
              <w:t>Assets associated with specific segments primarily include receivables, inventories, property, plant, and equipment, operating lease right-of-use assets, equity in and advances to related companies, and goodwill.</w:t>
            </w:r>
          </w:p>
        </w:tc>
      </w:tr>
      <w:tr>
        <w:tblPrEx>
          <w:tblW w:w="8595" w:type="dxa"/>
          <w:tblInd w:w="720" w:type="dxa"/>
          <w:tblLayout w:type="fixed"/>
          <w:tblCellMar>
            <w:left w:w="108" w:type="dxa"/>
            <w:right w:w="108" w:type="dxa"/>
          </w:tblCellMar>
        </w:tblPrEx>
        <w:trPr>
          <w:cantSplit/>
          <w:trHeight w:hRule="exact" w:val="255"/>
        </w:trPr>
        <w:tc>
          <w:tcPr>
            <w:tcW w:w="300" w:type="dxa"/>
            <w:tcBorders>
              <w:top w:val="nil"/>
              <w:left w:val="nil"/>
              <w:bottom w:val="nil"/>
              <w:right w:val="nil"/>
            </w:tcBorders>
            <w:tcMar>
              <w:top w:w="0" w:type="dxa"/>
              <w:left w:w="53" w:type="dxa"/>
              <w:bottom w:w="0" w:type="dxa"/>
              <w:right w:w="53" w:type="dxa"/>
            </w:tcMar>
            <w:vAlign w:val="top"/>
          </w:tcPr>
          <w:p>
            <w:pPr>
              <w:pageBreakBefore w:val="0"/>
              <w:spacing w:before="75" w:after="30" w:line="240" w:lineRule="auto"/>
              <w:jc w:val="both"/>
            </w:pPr>
            <w:r>
              <w:rPr>
                <w:rFonts w:ascii="Times New Roman" w:eastAsia="Times New Roman" w:hAnsi="Times New Roman" w:cs="Times New Roman"/>
                <w:b w:val="0"/>
                <w:i w:val="0"/>
                <w:color w:val="000000"/>
                <w:sz w:val="16"/>
                <w:u w:val="none"/>
              </w:rPr>
              <w:t>(b)</w:t>
            </w:r>
          </w:p>
        </w:tc>
        <w:tc>
          <w:tcPr>
            <w:tcW w:w="8295" w:type="dxa"/>
            <w:tcBorders>
              <w:top w:val="nil"/>
              <w:left w:val="nil"/>
              <w:bottom w:val="nil"/>
              <w:right w:val="nil"/>
            </w:tcBorders>
            <w:tcMar>
              <w:top w:w="0" w:type="dxa"/>
              <w:left w:w="53" w:type="dxa"/>
              <w:bottom w:w="0" w:type="dxa"/>
              <w:right w:w="53" w:type="dxa"/>
            </w:tcMar>
            <w:vAlign w:val="top"/>
          </w:tcPr>
          <w:p>
            <w:pPr>
              <w:pageBreakBefore w:val="0"/>
              <w:spacing w:before="75" w:after="30" w:line="240" w:lineRule="auto"/>
              <w:jc w:val="both"/>
            </w:pPr>
            <w:r>
              <w:rPr>
                <w:rFonts w:ascii="Times New Roman" w:eastAsia="Times New Roman" w:hAnsi="Times New Roman" w:cs="Times New Roman"/>
                <w:b w:val="0"/>
                <w:i w:val="0"/>
                <w:color w:val="000000"/>
                <w:sz w:val="16"/>
                <w:u w:val="none"/>
              </w:rPr>
              <w:t>Includes primarily cash and equivalents and deferred tax assets.</w:t>
            </w:r>
          </w:p>
        </w:tc>
      </w:tr>
    </w:tbl>
    <w:p>
      <w:pPr>
        <w:keepNext w:val="0"/>
        <w:keepLines w:val="0"/>
        <w:pageBreakBefore w:val="0"/>
        <w:widowControl/>
        <w:numPr>
          <w:ilvl w:val="0"/>
          <w:numId w:val="0"/>
        </w:numPr>
        <w:spacing w:before="0" w:after="160" w:line="288" w:lineRule="auto"/>
        <w:ind w:left="0" w:right="0" w:firstLine="720"/>
        <w:jc w:val="both"/>
        <w:outlineLvl w:val="9"/>
        <w:rPr>
          <w:rFonts w:ascii="Times New Roman" w:eastAsia="Times New Roman" w:hAnsi="Times New Roman" w:cs="Times New Roman"/>
          <w:b w:val="0"/>
          <w:i w:val="0"/>
          <w:color w:val="000000"/>
          <w:sz w:val="2"/>
          <w:u w:val="none"/>
        </w:rPr>
      </w:pPr>
    </w:p>
    <w:p>
      <w:pPr>
        <w:keepNext w:val="0"/>
        <w:keepLines w:val="0"/>
        <w:pageBreakBefore w:val="0"/>
        <w:widowControl/>
        <w:numPr>
          <w:ilvl w:val="0"/>
          <w:numId w:val="0"/>
        </w:numPr>
        <w:spacing w:before="0" w:after="160" w:line="288" w:lineRule="auto"/>
        <w:ind w:left="0" w:right="0" w:firstLine="720"/>
        <w:jc w:val="both"/>
        <w:outlineLvl w:val="9"/>
        <w:rPr>
          <w:rFonts w:ascii="Times New Roman" w:eastAsia="Times New Roman" w:hAnsi="Times New Roman" w:cs="Times New Roman"/>
          <w:b w:val="0"/>
          <w:i w:val="0"/>
          <w:color w:val="000000"/>
          <w:sz w:val="2"/>
          <w:u w:val="none"/>
        </w:rPr>
        <w:sectPr>
          <w:headerReference w:type="default" r:id="rId29"/>
          <w:footerReference w:type="default" r:id="rId30"/>
          <w:type w:val="continuous"/>
          <w:pgSz w:w="12240" w:h="15840"/>
          <w:pgMar w:top="900" w:right="990" w:bottom="900" w:left="990" w:header="270" w:footer="270"/>
          <w:cols w:space="708"/>
        </w:sectPr>
      </w:pPr>
    </w:p>
    <w:p>
      <w:pPr>
        <w:keepNext/>
        <w:keepLines/>
        <w:pageBreakBefore w:val="0"/>
        <w:widowControl w:val="0"/>
        <w:numPr>
          <w:ilvl w:val="0"/>
          <w:numId w:val="0"/>
        </w:numPr>
        <w:spacing w:before="0" w:after="160" w:line="288" w:lineRule="auto"/>
        <w:ind w:left="0" w:right="0" w:firstLine="0"/>
        <w:jc w:val="left"/>
        <w:outlineLvl w:val="2"/>
        <w:rPr>
          <w:rFonts w:ascii="Times New Roman" w:eastAsia="Times New Roman" w:hAnsi="Times New Roman" w:cs="Times New Roman"/>
          <w:b/>
          <w:i w:val="0"/>
          <w:sz w:val="20"/>
        </w:rPr>
      </w:pPr>
      <w:bookmarkStart w:id="15" w:name="Section16"/>
      <w:bookmarkEnd w:id="15"/>
      <w:r>
        <w:rPr>
          <w:rFonts w:ascii="Times New Roman" w:eastAsia="Times New Roman" w:hAnsi="Times New Roman" w:cs="Times New Roman"/>
          <w:b/>
          <w:i w:val="0"/>
          <w:sz w:val="20"/>
        </w:rPr>
        <w:t xml:space="preserve">Note </w:t>
      </w:r>
      <w:r>
        <w:rPr>
          <w:rFonts w:ascii="Times New Roman" w:eastAsia="Times New Roman" w:hAnsi="Times New Roman" w:cs="Times New Roman"/>
          <w:b/>
          <w:i w:val="0"/>
          <w:color w:val="000000"/>
          <w:sz w:val="20"/>
          <w:u w:val="none"/>
        </w:rPr>
        <w:t>4</w:t>
      </w:r>
      <w:r>
        <w:rPr>
          <w:rFonts w:ascii="Times New Roman" w:eastAsia="Times New Roman" w:hAnsi="Times New Roman" w:cs="Times New Roman"/>
          <w:b/>
          <w:i w:val="0"/>
          <w:sz w:val="20"/>
        </w:rPr>
        <w:t xml:space="preserve">. </w:t>
      </w:r>
      <w:r>
        <w:rPr>
          <w:rFonts w:ascii="Times New Roman" w:eastAsia="Times New Roman" w:hAnsi="Times New Roman" w:cs="Times New Roman"/>
          <w:b/>
          <w:i w:val="0"/>
          <w:color w:val="000000"/>
          <w:sz w:val="20"/>
          <w:u w:val="none"/>
        </w:rPr>
        <w:t>Revenue</w:t>
      </w:r>
    </w:p>
    <w:p>
      <w:pPr>
        <w:keepNext w:val="0"/>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color w:val="000000"/>
          <w:sz w:val="20"/>
          <w:u w:val="none"/>
        </w:rPr>
      </w:pPr>
      <w:r>
        <w:rPr>
          <w:rFonts w:ascii="Times New Roman" w:eastAsia="Times New Roman" w:hAnsi="Times New Roman" w:cs="Times New Roman"/>
          <w:b w:val="0"/>
          <w:i w:val="0"/>
          <w:color w:val="000000"/>
          <w:sz w:val="20"/>
          <w:u w:val="none"/>
        </w:rPr>
        <w:t xml:space="preserve">Revenue is recognized based on the transfer of control or our customers’ ability to benefit from our services and products in an amount that reflects the consideration we expect to receive in exchange for those services and products. Most </w:t>
      </w:r>
      <w:r>
        <w:rPr>
          <w:rFonts w:ascii="Times New Roman" w:eastAsia="Times New Roman" w:hAnsi="Times New Roman" w:cs="Times New Roman"/>
          <w:b w:val="0"/>
          <w:i w:val="0"/>
          <w:color w:val="000000"/>
          <w:sz w:val="20"/>
          <w:u w:val="none"/>
        </w:rPr>
        <w:t xml:space="preserve">of our service and product contracts are short-term in nature. In recognizing revenue for our services and products, we determine the transaction price of purchase orders or contracts with our customers, which may consist of fixed and variable consideration. We also assess our customers’ ability and intention to pay, which is based on a variety of </w:t>
      </w:r>
      <w:r>
        <w:rPr>
          <w:rFonts w:ascii="Times New Roman" w:eastAsia="Times New Roman" w:hAnsi="Times New Roman" w:cs="Times New Roman"/>
          <w:b w:val="0"/>
          <w:i w:val="0"/>
          <w:color w:val="000000"/>
          <w:sz w:val="20"/>
          <w:u w:val="none"/>
        </w:rPr>
        <w:t xml:space="preserve">factors, including our historical </w:t>
      </w:r>
      <w:r>
        <w:rPr>
          <w:rFonts w:ascii="Times New Roman" w:eastAsia="Times New Roman" w:hAnsi="Times New Roman" w:cs="Times New Roman"/>
          <w:b w:val="0"/>
          <w:i w:val="0"/>
          <w:color w:val="000000"/>
          <w:sz w:val="20"/>
          <w:u w:val="none"/>
        </w:rPr>
        <w:t xml:space="preserve">payment experience with, and the financial condition of, our customers. Payment terms and conditions vary by contract type, although terms generally include a requirement of payment </w:t>
      </w:r>
      <w:r>
        <w:rPr>
          <w:rFonts w:ascii="Times New Roman" w:eastAsia="Times New Roman" w:hAnsi="Times New Roman" w:cs="Times New Roman"/>
          <w:b w:val="0"/>
          <w:i w:val="0"/>
          <w:color w:val="000000"/>
          <w:sz w:val="20"/>
          <w:u w:val="none"/>
        </w:rPr>
        <w:t xml:space="preserve">within </w:t>
      </w:r>
      <w:r>
        <w:rPr>
          <w:rFonts w:ascii="Times New Roman" w:eastAsia="Times New Roman" w:hAnsi="Times New Roman" w:cs="Times New Roman"/>
          <w:b w:val="0"/>
          <w:i w:val="0"/>
          <w:color w:val="000000"/>
          <w:sz w:val="20"/>
          <w:u w:val="none"/>
        </w:rPr>
        <w:t>20</w:t>
      </w:r>
      <w:r>
        <w:rPr>
          <w:rFonts w:ascii="Times New Roman" w:eastAsia="Times New Roman" w:hAnsi="Times New Roman" w:cs="Times New Roman"/>
          <w:b w:val="0"/>
          <w:i w:val="0"/>
          <w:color w:val="000000"/>
          <w:sz w:val="20"/>
          <w:u w:val="none"/>
        </w:rPr>
        <w:t xml:space="preserve"> to </w:t>
      </w:r>
      <w:r>
        <w:rPr>
          <w:rFonts w:ascii="Times New Roman" w:eastAsia="Times New Roman" w:hAnsi="Times New Roman" w:cs="Times New Roman"/>
          <w:b w:val="0"/>
          <w:i w:val="0"/>
          <w:color w:val="000000"/>
          <w:sz w:val="20"/>
          <w:u w:val="none"/>
        </w:rPr>
        <w:t>60</w:t>
      </w:r>
      <w:r>
        <w:rPr>
          <w:rFonts w:ascii="Times New Roman" w:eastAsia="Times New Roman" w:hAnsi="Times New Roman" w:cs="Times New Roman"/>
          <w:b w:val="0"/>
          <w:i w:val="0"/>
          <w:color w:val="000000"/>
          <w:sz w:val="20"/>
          <w:u w:val="none"/>
        </w:rPr>
        <w:t xml:space="preserve"> days</w:t>
      </w:r>
      <w:r>
        <w:rPr>
          <w:rFonts w:ascii="Times New Roman" w:eastAsia="Times New Roman" w:hAnsi="Times New Roman" w:cs="Times New Roman"/>
          <w:b w:val="0"/>
          <w:i w:val="0"/>
          <w:color w:val="000000"/>
          <w:sz w:val="20"/>
          <w:u w:val="none"/>
        </w:rPr>
        <w:t>. Other judgments involved in recognizing revenue include an assessment of progress towards completion of performance obligations for certain long-term contracts, which involve estimating total costs to determine our progress towards contract completion and calculating the corresponding amount of revenue to recognize.</w:t>
      </w:r>
    </w:p>
    <w:p>
      <w:pPr>
        <w:keepNext w:val="0"/>
        <w:keepLines/>
        <w:pageBreakBefore w:val="0"/>
        <w:widowControl w:val="0"/>
        <w:numPr>
          <w:ilvl w:val="0"/>
          <w:numId w:val="0"/>
        </w:numPr>
        <w:spacing w:before="0" w:after="160" w:line="288" w:lineRule="auto"/>
        <w:ind w:left="0" w:right="0" w:firstLine="720"/>
        <w:jc w:val="both"/>
        <w:outlineLvl w:val="9"/>
        <w:sectPr>
          <w:headerReference w:type="default" r:id="rId31"/>
          <w:footerReference w:type="default" r:id="rId32"/>
          <w:type w:val="continuous"/>
          <w:pgSz w:w="12240" w:h="15840"/>
          <w:pgMar w:top="900" w:right="990" w:bottom="900" w:left="990" w:header="270" w:footer="270"/>
          <w:cols w:space="708"/>
        </w:sectPr>
      </w:pPr>
    </w:p>
    <w:p>
      <w:pPr>
        <w:keepNext/>
        <w:keepLines/>
        <w:pageBreakBefore w:val="0"/>
        <w:widowControl w:val="0"/>
        <w:numPr>
          <w:ilvl w:val="0"/>
          <w:numId w:val="0"/>
        </w:numPr>
        <w:spacing w:before="0" w:after="0" w:line="288" w:lineRule="auto"/>
        <w:ind w:left="0" w:right="0" w:firstLine="720"/>
        <w:jc w:val="both"/>
        <w:outlineLvl w:val="3"/>
        <w:rPr>
          <w:rFonts w:ascii="Times New Roman" w:eastAsia="Times New Roman" w:hAnsi="Times New Roman" w:cs="Times New Roman"/>
          <w:b/>
          <w:i/>
          <w:sz w:val="20"/>
        </w:rPr>
      </w:pPr>
      <w:bookmarkStart w:id="16" w:name="Section17"/>
      <w:bookmarkEnd w:id="16"/>
      <w:r>
        <w:rPr>
          <w:rFonts w:ascii="Times New Roman" w:eastAsia="Times New Roman" w:hAnsi="Times New Roman" w:cs="Times New Roman"/>
          <w:b/>
          <w:i/>
          <w:color w:val="000000"/>
          <w:sz w:val="20"/>
          <w:u w:val="none"/>
        </w:rPr>
        <w:t>Disaggregation of revenue</w:t>
      </w:r>
    </w:p>
    <w:p>
      <w:pPr>
        <w:keepNext w:val="0"/>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i/>
          <w:color w:val="000000"/>
          <w:sz w:val="24"/>
          <w:u w:val="none"/>
          <w:shd w:val="clear" w:color="auto" w:fill="FFF7C3"/>
        </w:rPr>
      </w:pPr>
      <w:r>
        <w:rPr>
          <w:rFonts w:ascii="Times New Roman" w:eastAsia="Times New Roman" w:hAnsi="Times New Roman" w:cs="Times New Roman"/>
          <w:b w:val="0"/>
          <w:i w:val="0"/>
          <w:color w:val="000000"/>
          <w:sz w:val="20"/>
          <w:u w:val="none"/>
        </w:rPr>
        <w:t xml:space="preserve">We disaggregate revenue from contracts with customers into types of services or products, consistent with our </w:t>
      </w:r>
      <w:r>
        <w:rPr>
          <w:rFonts w:ascii="Times New Roman" w:eastAsia="Times New Roman" w:hAnsi="Times New Roman" w:cs="Times New Roman"/>
          <w:b w:val="0"/>
          <w:i w:val="0"/>
          <w:color w:val="000000"/>
          <w:sz w:val="20"/>
          <w:u w:val="none"/>
        </w:rPr>
        <w:t>two</w:t>
      </w:r>
      <w:r>
        <w:rPr>
          <w:rFonts w:ascii="Times New Roman" w:eastAsia="Times New Roman" w:hAnsi="Times New Roman" w:cs="Times New Roman"/>
          <w:b w:val="0"/>
          <w:i w:val="0"/>
          <w:color w:val="000000"/>
          <w:sz w:val="20"/>
          <w:u w:val="none"/>
        </w:rPr>
        <w:t xml:space="preserve"> reportable segments, in addition to geographical area. Based on the location of services provided and products sold,</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39%</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 xml:space="preserve">and </w:t>
      </w:r>
      <w:r>
        <w:rPr>
          <w:rFonts w:ascii="Times New Roman" w:eastAsia="Times New Roman" w:hAnsi="Times New Roman" w:cs="Times New Roman"/>
          <w:b w:val="0"/>
          <w:i w:val="0"/>
          <w:color w:val="000000"/>
          <w:sz w:val="20"/>
          <w:u w:val="none"/>
        </w:rPr>
        <w:t>42%</w:t>
      </w:r>
      <w:r>
        <w:rPr>
          <w:rFonts w:ascii="Times New Roman" w:eastAsia="Times New Roman" w:hAnsi="Times New Roman" w:cs="Times New Roman"/>
          <w:b w:val="0"/>
          <w:i w:val="0"/>
          <w:color w:val="000000"/>
          <w:sz w:val="20"/>
          <w:u w:val="none"/>
        </w:rPr>
        <w:t xml:space="preserve"> of </w:t>
      </w:r>
      <w:r>
        <w:rPr>
          <w:rFonts w:ascii="Times New Roman" w:eastAsia="Times New Roman" w:hAnsi="Times New Roman" w:cs="Times New Roman"/>
          <w:b w:val="0"/>
          <w:i w:val="0"/>
          <w:color w:val="000000"/>
          <w:sz w:val="20"/>
          <w:u w:val="none"/>
        </w:rPr>
        <w:t xml:space="preserve">our consolidated revenue was from the United States for the </w:t>
      </w:r>
      <w:r>
        <w:rPr>
          <w:rFonts w:ascii="Times New Roman" w:eastAsia="Times New Roman" w:hAnsi="Times New Roman" w:cs="Times New Roman"/>
          <w:b w:val="0"/>
          <w:i w:val="0"/>
          <w:color w:val="000000"/>
          <w:sz w:val="20"/>
          <w:u w:val="none"/>
        </w:rPr>
        <w:t>three</w:t>
      </w:r>
      <w:r>
        <w:rPr>
          <w:rFonts w:ascii="Times New Roman" w:eastAsia="Times New Roman" w:hAnsi="Times New Roman" w:cs="Times New Roman"/>
          <w:b w:val="0"/>
          <w:i w:val="0"/>
          <w:color w:val="000000"/>
          <w:sz w:val="20"/>
          <w:u w:val="none"/>
        </w:rPr>
        <w:t xml:space="preserve"> months ended</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color w:val="000000"/>
          <w:sz w:val="20"/>
          <w:u w:val="none"/>
        </w:rPr>
        <w:t xml:space="preserve"> and </w:t>
      </w:r>
      <w:r>
        <w:rPr>
          <w:rFonts w:ascii="Times New Roman" w:eastAsia="Times New Roman" w:hAnsi="Times New Roman" w:cs="Times New Roman"/>
          <w:b w:val="0"/>
          <w:i w:val="0"/>
          <w:color w:val="000000"/>
          <w:sz w:val="20"/>
          <w:u w:val="none"/>
        </w:rPr>
        <w:t>2024</w:t>
      </w:r>
      <w:r>
        <w:rPr>
          <w:rFonts w:ascii="Times New Roman" w:eastAsia="Times New Roman" w:hAnsi="Times New Roman" w:cs="Times New Roman"/>
          <w:b w:val="0"/>
          <w:i w:val="0"/>
          <w:color w:val="000000"/>
          <w:sz w:val="20"/>
          <w:u w:val="none"/>
        </w:rPr>
        <w:t>, respectively.</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No other country accounted for more than 10% of our revenue</w:t>
      </w:r>
      <w:r>
        <w:rPr>
          <w:rFonts w:ascii="Times New Roman" w:eastAsia="Times New Roman" w:hAnsi="Times New Roman" w:cs="Times New Roman"/>
          <w:b w:val="0"/>
          <w:i w:val="0"/>
          <w:color w:val="000000"/>
          <w:sz w:val="20"/>
          <w:u w:val="none"/>
        </w:rPr>
        <w:t xml:space="preserve"> for those periods.</w:t>
      </w:r>
    </w:p>
    <w:p>
      <w:pPr>
        <w:keepNext w:val="0"/>
        <w:keepLines/>
        <w:pageBreakBefore w:val="0"/>
        <w:widowControl w:val="0"/>
        <w:numPr>
          <w:ilvl w:val="0"/>
          <w:numId w:val="0"/>
        </w:numPr>
        <w:spacing w:before="0" w:after="160" w:line="288" w:lineRule="auto"/>
        <w:ind w:left="0" w:right="0" w:firstLine="720"/>
        <w:jc w:val="both"/>
        <w:outlineLvl w:val="9"/>
        <w:sectPr>
          <w:headerReference w:type="default" r:id="rId33"/>
          <w:footerReference w:type="default" r:id="rId34"/>
          <w:type w:val="continuous"/>
          <w:pgSz w:w="12240" w:h="15840"/>
          <w:pgMar w:top="900" w:right="990" w:bottom="900" w:left="990" w:header="270" w:footer="270"/>
          <w:cols w:space="708"/>
        </w:sectPr>
      </w:pPr>
    </w:p>
    <w:p>
      <w:pPr>
        <w:keepNext/>
        <w:keepLines w:val="0"/>
        <w:pageBreakBefore w:val="0"/>
        <w:widowControl/>
        <w:numPr>
          <w:ilvl w:val="0"/>
          <w:numId w:val="0"/>
        </w:numPr>
        <w:spacing w:before="0" w:after="0" w:line="288" w:lineRule="auto"/>
        <w:ind w:left="0" w:right="0" w:firstLine="720"/>
        <w:jc w:val="left"/>
        <w:outlineLvl w:val="3"/>
        <w:rPr>
          <w:rFonts w:ascii="Times New Roman" w:eastAsia="Times New Roman" w:hAnsi="Times New Roman" w:cs="Times New Roman"/>
          <w:b w:val="0"/>
          <w:i w:val="0"/>
          <w:sz w:val="20"/>
        </w:rPr>
      </w:pPr>
      <w:bookmarkStart w:id="17" w:name="Section18"/>
      <w:bookmarkEnd w:id="17"/>
      <w:r>
        <w:rPr>
          <w:rFonts w:ascii="Times New Roman" w:eastAsia="Times New Roman" w:hAnsi="Times New Roman" w:cs="Times New Roman"/>
          <w:b w:val="0"/>
          <w:i w:val="0"/>
          <w:color w:val="000000"/>
          <w:sz w:val="20"/>
          <w:u w:val="none"/>
        </w:rPr>
        <w:t>The following table presents information on our disaggregated revenue.</w:t>
      </w:r>
    </w:p>
    <w:tbl>
      <w:tblPr>
        <w:tblW w:w="8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010"/>
        <w:gridCol w:w="1500"/>
        <w:gridCol w:w="1500"/>
      </w:tblGrid>
      <w:tr>
        <w:tblPrEx>
          <w:tblW w:w="8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00"/>
          <w:jc w:val="center"/>
        </w:trPr>
        <w:tc>
          <w:tcPr>
            <w:tcW w:w="5010"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p>
        </w:tc>
        <w:tc>
          <w:tcPr>
            <w:tcW w:w="3000" w:type="dxa"/>
            <w:gridSpan w:val="2"/>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20"/>
                <w:u w:val="none"/>
              </w:rPr>
              <w:t>Three Months Ended</w:t>
            </w:r>
          </w:p>
        </w:tc>
      </w:tr>
      <w:tr>
        <w:tblPrEx>
          <w:tblW w:w="8010" w:type="dxa"/>
          <w:jc w:val="center"/>
          <w:tblLayout w:type="fixed"/>
          <w:tblCellMar>
            <w:left w:w="108" w:type="dxa"/>
            <w:right w:w="108" w:type="dxa"/>
          </w:tblCellMar>
        </w:tblPrEx>
        <w:trPr>
          <w:cantSplit/>
          <w:trHeight w:hRule="exact" w:val="300"/>
          <w:jc w:val="center"/>
        </w:trPr>
        <w:tc>
          <w:tcPr>
            <w:tcW w:w="5010"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p>
        </w:tc>
        <w:tc>
          <w:tcPr>
            <w:tcW w:w="3000" w:type="dxa"/>
            <w:gridSpan w:val="2"/>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20"/>
                <w:u w:val="none"/>
              </w:rPr>
              <w:t xml:space="preserve">March 31, </w:t>
            </w:r>
          </w:p>
        </w:tc>
      </w:tr>
      <w:tr>
        <w:tblPrEx>
          <w:tblW w:w="8010" w:type="dxa"/>
          <w:jc w:val="center"/>
          <w:tblLayout w:type="fixed"/>
          <w:tblCellMar>
            <w:left w:w="108" w:type="dxa"/>
            <w:right w:w="108" w:type="dxa"/>
          </w:tblCellMar>
        </w:tblPrEx>
        <w:trPr>
          <w:cantSplit/>
          <w:trHeight w:hRule="exact" w:val="300"/>
          <w:jc w:val="center"/>
        </w:trPr>
        <w:tc>
          <w:tcPr>
            <w:tcW w:w="501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color w:val="000000"/>
                <w:sz w:val="20"/>
                <w:u w:val="none"/>
              </w:rPr>
              <w:t>Millions of dollars</w:t>
            </w:r>
          </w:p>
        </w:tc>
        <w:tc>
          <w:tcPr>
            <w:tcW w:w="150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2025</w:t>
            </w:r>
          </w:p>
        </w:tc>
        <w:tc>
          <w:tcPr>
            <w:tcW w:w="150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2024</w:t>
            </w:r>
          </w:p>
        </w:tc>
      </w:tr>
      <w:tr>
        <w:tblPrEx>
          <w:tblW w:w="8010" w:type="dxa"/>
          <w:jc w:val="center"/>
          <w:tblLayout w:type="fixed"/>
          <w:tblCellMar>
            <w:left w:w="108" w:type="dxa"/>
            <w:right w:w="108" w:type="dxa"/>
          </w:tblCellMar>
        </w:tblPrEx>
        <w:trPr>
          <w:cantSplit/>
          <w:trHeight w:hRule="exact" w:val="300"/>
          <w:jc w:val="center"/>
        </w:trPr>
        <w:tc>
          <w:tcPr>
            <w:tcW w:w="501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20"/>
                <w:u w:val="none"/>
              </w:rPr>
              <w:t>Revenue by segment:</w:t>
            </w:r>
          </w:p>
        </w:tc>
        <w:tc>
          <w:tcPr>
            <w:tcW w:w="15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spacing w:before="55" w:after="30" w:line="240" w:lineRule="auto"/>
              <w:jc w:val="right"/>
            </w:pPr>
          </w:p>
        </w:tc>
        <w:tc>
          <w:tcPr>
            <w:tcW w:w="15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spacing w:before="55" w:after="30" w:line="240" w:lineRule="auto"/>
              <w:jc w:val="right"/>
            </w:pPr>
          </w:p>
        </w:tc>
      </w:tr>
      <w:tr>
        <w:tblPrEx>
          <w:tblW w:w="8010" w:type="dxa"/>
          <w:jc w:val="center"/>
          <w:tblLayout w:type="fixed"/>
          <w:tblCellMar>
            <w:left w:w="108" w:type="dxa"/>
            <w:right w:w="108" w:type="dxa"/>
          </w:tblCellMar>
        </w:tblPrEx>
        <w:trPr>
          <w:cantSplit/>
          <w:trHeight w:hRule="exact" w:val="300"/>
          <w:jc w:val="center"/>
        </w:trPr>
        <w:tc>
          <w:tcPr>
            <w:tcW w:w="501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Completion and Production</w:t>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17"/>
                <w:tab w:val="left" w:pos="1432"/>
              </w:tabs>
              <w:spacing w:before="75" w:after="30" w:line="240" w:lineRule="auto"/>
              <w:jc w:val="right"/>
            </w:pPr>
            <w:r>
              <w:rPr>
                <w:rFonts w:ascii="Times New Roman" w:eastAsia="Times New Roman" w:hAnsi="Times New Roman" w:cs="Times New Roman"/>
                <w:b w:val="0"/>
                <w:i w:val="0"/>
                <w:color w:val="000000"/>
                <w:sz w:val="20"/>
                <w:u w:val="none"/>
              </w:rPr>
              <w:t>$</w:t>
              <w:tab/>
              <w:t>3,120</w:t>
              <w:tab/>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17"/>
                <w:tab w:val="left" w:pos="1432"/>
              </w:tabs>
              <w:spacing w:before="75" w:after="30" w:line="240" w:lineRule="auto"/>
              <w:jc w:val="right"/>
            </w:pPr>
            <w:r>
              <w:rPr>
                <w:rFonts w:ascii="Times New Roman" w:eastAsia="Times New Roman" w:hAnsi="Times New Roman" w:cs="Times New Roman"/>
                <w:b w:val="0"/>
                <w:i w:val="0"/>
                <w:color w:val="000000"/>
                <w:sz w:val="20"/>
                <w:u w:val="none"/>
              </w:rPr>
              <w:t>$</w:t>
              <w:tab/>
              <w:t>3,373</w:t>
              <w:tab/>
            </w:r>
          </w:p>
        </w:tc>
      </w:tr>
      <w:tr>
        <w:tblPrEx>
          <w:tblW w:w="8010" w:type="dxa"/>
          <w:jc w:val="center"/>
          <w:tblLayout w:type="fixed"/>
          <w:tblCellMar>
            <w:left w:w="108" w:type="dxa"/>
            <w:right w:w="108" w:type="dxa"/>
          </w:tblCellMar>
        </w:tblPrEx>
        <w:trPr>
          <w:cantSplit/>
          <w:trHeight w:hRule="exact" w:val="300"/>
          <w:jc w:val="center"/>
        </w:trPr>
        <w:tc>
          <w:tcPr>
            <w:tcW w:w="5010"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Drilling and Evaluation</w:t>
            </w:r>
          </w:p>
        </w:tc>
        <w:tc>
          <w:tcPr>
            <w:tcW w:w="15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917"/>
                <w:tab w:val="left" w:pos="1432"/>
              </w:tabs>
              <w:spacing w:before="75" w:after="30" w:line="240" w:lineRule="auto"/>
              <w:jc w:val="right"/>
            </w:pPr>
            <w:r>
              <w:rPr>
                <w:rFonts w:ascii="Times New Roman" w:eastAsia="Times New Roman" w:hAnsi="Times New Roman" w:cs="Times New Roman"/>
                <w:b w:val="0"/>
                <w:i w:val="0"/>
                <w:color w:val="000000"/>
                <w:sz w:val="20"/>
                <w:u w:val="none"/>
              </w:rPr>
              <w:tab/>
              <w:t>2,297</w:t>
              <w:tab/>
            </w:r>
          </w:p>
        </w:tc>
        <w:tc>
          <w:tcPr>
            <w:tcW w:w="15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917"/>
                <w:tab w:val="left" w:pos="1432"/>
              </w:tabs>
              <w:spacing w:before="75" w:after="30" w:line="240" w:lineRule="auto"/>
              <w:jc w:val="right"/>
            </w:pPr>
            <w:r>
              <w:rPr>
                <w:rFonts w:ascii="Times New Roman" w:eastAsia="Times New Roman" w:hAnsi="Times New Roman" w:cs="Times New Roman"/>
                <w:b w:val="0"/>
                <w:i w:val="0"/>
                <w:color w:val="000000"/>
                <w:sz w:val="20"/>
                <w:u w:val="none"/>
              </w:rPr>
              <w:tab/>
              <w:t>2,431</w:t>
              <w:tab/>
            </w:r>
          </w:p>
        </w:tc>
      </w:tr>
      <w:tr>
        <w:tblPrEx>
          <w:tblW w:w="8010" w:type="dxa"/>
          <w:jc w:val="center"/>
          <w:tblLayout w:type="fixed"/>
          <w:tblCellMar>
            <w:left w:w="108" w:type="dxa"/>
            <w:right w:w="108" w:type="dxa"/>
          </w:tblCellMar>
        </w:tblPrEx>
        <w:trPr>
          <w:cantSplit/>
          <w:trHeight w:hRule="exact" w:val="300"/>
          <w:jc w:val="center"/>
        </w:trPr>
        <w:tc>
          <w:tcPr>
            <w:tcW w:w="5010" w:type="dxa"/>
            <w:tcBorders>
              <w:top w:val="single" w:sz="8" w:space="0" w:color="000000"/>
              <w:left w:val="nil"/>
              <w:bottom w:val="double" w:sz="8" w:space="0" w:color="000000"/>
              <w:right w:val="nil"/>
            </w:tcBorders>
            <w:shd w:val="clear" w:color="auto" w:fill="FFFF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20"/>
                <w:u w:val="none"/>
              </w:rPr>
              <w:t>Total revenue</w:t>
            </w:r>
          </w:p>
        </w:tc>
        <w:tc>
          <w:tcPr>
            <w:tcW w:w="15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917"/>
                <w:tab w:val="left" w:pos="1432"/>
              </w:tabs>
              <w:spacing w:before="55" w:after="30" w:line="240" w:lineRule="auto"/>
              <w:jc w:val="right"/>
            </w:pPr>
            <w:r>
              <w:rPr>
                <w:rFonts w:ascii="Times New Roman" w:eastAsia="Times New Roman" w:hAnsi="Times New Roman" w:cs="Times New Roman"/>
                <w:b w:val="0"/>
                <w:i w:val="0"/>
                <w:color w:val="000000"/>
                <w:sz w:val="20"/>
                <w:u w:val="none"/>
              </w:rPr>
              <w:t>$</w:t>
              <w:tab/>
              <w:t>5,417</w:t>
              <w:tab/>
            </w:r>
          </w:p>
        </w:tc>
        <w:tc>
          <w:tcPr>
            <w:tcW w:w="15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917"/>
                <w:tab w:val="left" w:pos="1432"/>
              </w:tabs>
              <w:spacing w:before="55" w:after="30" w:line="240" w:lineRule="auto"/>
              <w:jc w:val="right"/>
            </w:pPr>
            <w:r>
              <w:rPr>
                <w:rFonts w:ascii="Times New Roman" w:eastAsia="Times New Roman" w:hAnsi="Times New Roman" w:cs="Times New Roman"/>
                <w:b w:val="0"/>
                <w:i w:val="0"/>
                <w:color w:val="000000"/>
                <w:sz w:val="20"/>
                <w:u w:val="none"/>
              </w:rPr>
              <w:t>$</w:t>
              <w:tab/>
              <w:t>5,804</w:t>
              <w:tab/>
            </w:r>
          </w:p>
        </w:tc>
      </w:tr>
      <w:tr>
        <w:tblPrEx>
          <w:tblW w:w="8010" w:type="dxa"/>
          <w:jc w:val="center"/>
          <w:tblLayout w:type="fixed"/>
          <w:tblCellMar>
            <w:left w:w="108" w:type="dxa"/>
            <w:right w:w="108" w:type="dxa"/>
          </w:tblCellMar>
        </w:tblPrEx>
        <w:trPr>
          <w:cantSplit/>
          <w:trHeight w:hRule="exact" w:val="300"/>
          <w:jc w:val="center"/>
        </w:trPr>
        <w:tc>
          <w:tcPr>
            <w:tcW w:w="5010" w:type="dxa"/>
            <w:tcBorders>
              <w:top w:val="doub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15" w:after="30" w:line="240" w:lineRule="auto"/>
              <w:jc w:val="left"/>
            </w:pPr>
            <w:r>
              <w:rPr>
                <w:rFonts w:ascii="Times New Roman" w:eastAsia="Times New Roman" w:hAnsi="Times New Roman" w:cs="Times New Roman"/>
                <w:b/>
                <w:i w:val="0"/>
                <w:color w:val="000000"/>
                <w:sz w:val="20"/>
                <w:u w:val="none"/>
              </w:rPr>
              <w:t>Revenue by geographic region:</w:t>
            </w:r>
          </w:p>
        </w:tc>
        <w:tc>
          <w:tcPr>
            <w:tcW w:w="1500" w:type="dxa"/>
            <w:tcBorders>
              <w:top w:val="doub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15" w:after="30" w:line="240" w:lineRule="auto"/>
              <w:jc w:val="left"/>
            </w:pPr>
          </w:p>
        </w:tc>
        <w:tc>
          <w:tcPr>
            <w:tcW w:w="1500" w:type="dxa"/>
            <w:tcBorders>
              <w:top w:val="doub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15" w:after="30" w:line="240" w:lineRule="auto"/>
              <w:jc w:val="left"/>
            </w:pPr>
          </w:p>
        </w:tc>
      </w:tr>
      <w:tr>
        <w:tblPrEx>
          <w:tblW w:w="8010" w:type="dxa"/>
          <w:jc w:val="center"/>
          <w:tblLayout w:type="fixed"/>
          <w:tblCellMar>
            <w:left w:w="108" w:type="dxa"/>
            <w:right w:w="108" w:type="dxa"/>
          </w:tblCellMar>
        </w:tblPrEx>
        <w:trPr>
          <w:cantSplit/>
          <w:trHeight w:hRule="exact" w:val="300"/>
          <w:jc w:val="center"/>
        </w:trPr>
        <w:tc>
          <w:tcPr>
            <w:tcW w:w="501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North America</w:t>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17"/>
                <w:tab w:val="left" w:pos="1432"/>
              </w:tabs>
              <w:spacing w:before="75" w:after="30" w:line="240" w:lineRule="auto"/>
              <w:jc w:val="right"/>
            </w:pPr>
            <w:r>
              <w:rPr>
                <w:rFonts w:ascii="Times New Roman" w:eastAsia="Times New Roman" w:hAnsi="Times New Roman" w:cs="Times New Roman"/>
                <w:b w:val="0"/>
                <w:i w:val="0"/>
                <w:color w:val="000000"/>
                <w:sz w:val="20"/>
                <w:u w:val="none"/>
              </w:rPr>
              <w:t>$</w:t>
              <w:tab/>
              <w:t>2,236</w:t>
              <w:tab/>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17"/>
                <w:tab w:val="left" w:pos="1432"/>
              </w:tabs>
              <w:spacing w:before="75" w:after="30" w:line="240" w:lineRule="auto"/>
              <w:jc w:val="right"/>
            </w:pPr>
            <w:r>
              <w:rPr>
                <w:rFonts w:ascii="Times New Roman" w:eastAsia="Times New Roman" w:hAnsi="Times New Roman" w:cs="Times New Roman"/>
                <w:b w:val="0"/>
                <w:i w:val="0"/>
                <w:color w:val="000000"/>
                <w:sz w:val="20"/>
                <w:u w:val="none"/>
              </w:rPr>
              <w:t>$</w:t>
              <w:tab/>
              <w:t>2,546</w:t>
              <w:tab/>
            </w:r>
          </w:p>
        </w:tc>
      </w:tr>
      <w:tr>
        <w:tblPrEx>
          <w:tblW w:w="8010" w:type="dxa"/>
          <w:jc w:val="center"/>
          <w:tblLayout w:type="fixed"/>
          <w:tblCellMar>
            <w:left w:w="108" w:type="dxa"/>
            <w:right w:w="108" w:type="dxa"/>
          </w:tblCellMar>
        </w:tblPrEx>
        <w:trPr>
          <w:cantSplit/>
          <w:trHeight w:hRule="exact" w:val="300"/>
          <w:jc w:val="center"/>
        </w:trPr>
        <w:tc>
          <w:tcPr>
            <w:tcW w:w="501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Latin America</w:t>
            </w:r>
          </w:p>
        </w:tc>
        <w:tc>
          <w:tcPr>
            <w:tcW w:w="15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67"/>
                <w:tab w:val="left" w:pos="1432"/>
              </w:tabs>
              <w:spacing w:before="75" w:after="30" w:line="240" w:lineRule="auto"/>
              <w:jc w:val="right"/>
            </w:pPr>
            <w:r>
              <w:rPr>
                <w:rFonts w:ascii="Times New Roman" w:eastAsia="Times New Roman" w:hAnsi="Times New Roman" w:cs="Times New Roman"/>
                <w:b w:val="0"/>
                <w:i w:val="0"/>
                <w:color w:val="000000"/>
                <w:sz w:val="20"/>
                <w:u w:val="none"/>
              </w:rPr>
              <w:tab/>
              <w:t>896</w:t>
              <w:tab/>
            </w:r>
          </w:p>
        </w:tc>
        <w:tc>
          <w:tcPr>
            <w:tcW w:w="15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17"/>
                <w:tab w:val="left" w:pos="1432"/>
              </w:tabs>
              <w:spacing w:before="75" w:after="30" w:line="240" w:lineRule="auto"/>
              <w:jc w:val="right"/>
            </w:pPr>
            <w:r>
              <w:rPr>
                <w:rFonts w:ascii="Times New Roman" w:eastAsia="Times New Roman" w:hAnsi="Times New Roman" w:cs="Times New Roman"/>
                <w:b w:val="0"/>
                <w:i w:val="0"/>
                <w:color w:val="000000"/>
                <w:sz w:val="20"/>
                <w:u w:val="none"/>
              </w:rPr>
              <w:tab/>
              <w:t>1,108</w:t>
              <w:tab/>
            </w:r>
          </w:p>
        </w:tc>
      </w:tr>
      <w:tr>
        <w:tblPrEx>
          <w:tblW w:w="8010" w:type="dxa"/>
          <w:jc w:val="center"/>
          <w:tblLayout w:type="fixed"/>
          <w:tblCellMar>
            <w:left w:w="108" w:type="dxa"/>
            <w:right w:w="108" w:type="dxa"/>
          </w:tblCellMar>
        </w:tblPrEx>
        <w:trPr>
          <w:cantSplit/>
          <w:trHeight w:hRule="exact" w:val="315"/>
          <w:jc w:val="center"/>
        </w:trPr>
        <w:tc>
          <w:tcPr>
            <w:tcW w:w="501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Europe/Africa/CIS</w:t>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67"/>
                <w:tab w:val="left" w:pos="1432"/>
              </w:tabs>
              <w:spacing w:before="75" w:after="30" w:line="240" w:lineRule="auto"/>
              <w:jc w:val="right"/>
            </w:pPr>
            <w:r>
              <w:rPr>
                <w:rFonts w:ascii="Times New Roman" w:eastAsia="Times New Roman" w:hAnsi="Times New Roman" w:cs="Times New Roman"/>
                <w:b w:val="0"/>
                <w:i w:val="0"/>
                <w:color w:val="000000"/>
                <w:sz w:val="20"/>
                <w:u w:val="none"/>
              </w:rPr>
              <w:tab/>
              <w:t>775</w:t>
              <w:tab/>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67"/>
                <w:tab w:val="left" w:pos="1432"/>
              </w:tabs>
              <w:spacing w:before="75" w:after="30" w:line="240" w:lineRule="auto"/>
              <w:jc w:val="right"/>
            </w:pPr>
            <w:r>
              <w:rPr>
                <w:rFonts w:ascii="Times New Roman" w:eastAsia="Times New Roman" w:hAnsi="Times New Roman" w:cs="Times New Roman"/>
                <w:b w:val="0"/>
                <w:i w:val="0"/>
                <w:color w:val="000000"/>
                <w:sz w:val="20"/>
                <w:u w:val="none"/>
              </w:rPr>
              <w:tab/>
              <w:t>729</w:t>
              <w:tab/>
            </w:r>
          </w:p>
        </w:tc>
      </w:tr>
      <w:tr>
        <w:tblPrEx>
          <w:tblW w:w="8010" w:type="dxa"/>
          <w:jc w:val="center"/>
          <w:tblLayout w:type="fixed"/>
          <w:tblCellMar>
            <w:left w:w="108" w:type="dxa"/>
            <w:right w:w="108" w:type="dxa"/>
          </w:tblCellMar>
        </w:tblPrEx>
        <w:trPr>
          <w:cantSplit/>
          <w:trHeight w:hRule="exact" w:val="315"/>
          <w:jc w:val="center"/>
        </w:trPr>
        <w:tc>
          <w:tcPr>
            <w:tcW w:w="5010"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Middle East/Asia</w:t>
            </w:r>
          </w:p>
        </w:tc>
        <w:tc>
          <w:tcPr>
            <w:tcW w:w="15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917"/>
                <w:tab w:val="left" w:pos="1432"/>
              </w:tabs>
              <w:spacing w:before="75" w:after="30" w:line="240" w:lineRule="auto"/>
              <w:jc w:val="right"/>
            </w:pPr>
            <w:r>
              <w:rPr>
                <w:rFonts w:ascii="Times New Roman" w:eastAsia="Times New Roman" w:hAnsi="Times New Roman" w:cs="Times New Roman"/>
                <w:b w:val="0"/>
                <w:i w:val="0"/>
                <w:color w:val="000000"/>
                <w:sz w:val="20"/>
                <w:u w:val="none"/>
              </w:rPr>
              <w:tab/>
              <w:t>1,510</w:t>
              <w:tab/>
            </w:r>
          </w:p>
        </w:tc>
        <w:tc>
          <w:tcPr>
            <w:tcW w:w="15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917"/>
                <w:tab w:val="left" w:pos="1432"/>
              </w:tabs>
              <w:spacing w:before="75" w:after="30" w:line="240" w:lineRule="auto"/>
              <w:jc w:val="right"/>
            </w:pPr>
            <w:r>
              <w:rPr>
                <w:rFonts w:ascii="Times New Roman" w:eastAsia="Times New Roman" w:hAnsi="Times New Roman" w:cs="Times New Roman"/>
                <w:b w:val="0"/>
                <w:i w:val="0"/>
                <w:color w:val="000000"/>
                <w:sz w:val="20"/>
                <w:u w:val="none"/>
              </w:rPr>
              <w:tab/>
              <w:t>1,421</w:t>
              <w:tab/>
            </w:r>
          </w:p>
        </w:tc>
      </w:tr>
      <w:tr>
        <w:tblPrEx>
          <w:tblW w:w="8010" w:type="dxa"/>
          <w:jc w:val="center"/>
          <w:tblLayout w:type="fixed"/>
          <w:tblCellMar>
            <w:left w:w="108" w:type="dxa"/>
            <w:right w:w="108" w:type="dxa"/>
          </w:tblCellMar>
        </w:tblPrEx>
        <w:trPr>
          <w:cantSplit/>
          <w:trHeight w:hRule="exact" w:val="315"/>
          <w:jc w:val="center"/>
        </w:trPr>
        <w:tc>
          <w:tcPr>
            <w:tcW w:w="5010" w:type="dxa"/>
            <w:tcBorders>
              <w:top w:val="single" w:sz="8" w:space="0" w:color="000000"/>
              <w:left w:val="nil"/>
              <w:bottom w:val="double" w:sz="8" w:space="0" w:color="000000"/>
              <w:right w:val="nil"/>
            </w:tcBorders>
            <w:shd w:val="clear" w:color="auto" w:fill="FFFFFF"/>
            <w:tcMar>
              <w:top w:w="0" w:type="dxa"/>
              <w:left w:w="53" w:type="dxa"/>
              <w:bottom w:w="0" w:type="dxa"/>
              <w:right w:w="53" w:type="dxa"/>
            </w:tcMar>
            <w:vAlign w:val="bottom"/>
          </w:tcPr>
          <w:p>
            <w:pPr>
              <w:pageBreakBefore w:val="0"/>
              <w:spacing w:before="55" w:after="30" w:line="240" w:lineRule="auto"/>
              <w:jc w:val="left"/>
            </w:pPr>
            <w:r>
              <w:rPr>
                <w:rFonts w:ascii="Times New Roman" w:eastAsia="Times New Roman" w:hAnsi="Times New Roman" w:cs="Times New Roman"/>
                <w:b w:val="0"/>
                <w:i w:val="0"/>
                <w:color w:val="000000"/>
                <w:sz w:val="20"/>
                <w:u w:val="none"/>
              </w:rPr>
              <w:t>Total revenue</w:t>
            </w:r>
          </w:p>
        </w:tc>
        <w:tc>
          <w:tcPr>
            <w:tcW w:w="15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917"/>
                <w:tab w:val="left" w:pos="1432"/>
              </w:tabs>
              <w:spacing w:before="55" w:after="30" w:line="240" w:lineRule="auto"/>
              <w:jc w:val="right"/>
            </w:pPr>
            <w:r>
              <w:rPr>
                <w:rFonts w:ascii="Times New Roman" w:eastAsia="Times New Roman" w:hAnsi="Times New Roman" w:cs="Times New Roman"/>
                <w:b w:val="0"/>
                <w:i w:val="0"/>
                <w:color w:val="000000"/>
                <w:sz w:val="20"/>
                <w:u w:val="none"/>
              </w:rPr>
              <w:t>$</w:t>
              <w:tab/>
              <w:t>5,417</w:t>
              <w:tab/>
            </w:r>
          </w:p>
        </w:tc>
        <w:tc>
          <w:tcPr>
            <w:tcW w:w="15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917"/>
                <w:tab w:val="left" w:pos="1432"/>
              </w:tabs>
              <w:spacing w:before="55" w:after="30" w:line="240" w:lineRule="auto"/>
              <w:jc w:val="right"/>
            </w:pPr>
            <w:r>
              <w:rPr>
                <w:rFonts w:ascii="Times New Roman" w:eastAsia="Times New Roman" w:hAnsi="Times New Roman" w:cs="Times New Roman"/>
                <w:b w:val="0"/>
                <w:i w:val="0"/>
                <w:color w:val="000000"/>
                <w:sz w:val="20"/>
                <w:u w:val="none"/>
              </w:rPr>
              <w:t>$</w:t>
              <w:tab/>
              <w:t>5,804</w:t>
              <w:tab/>
            </w:r>
          </w:p>
        </w:tc>
      </w:tr>
    </w:tbl>
    <w:p>
      <w:pPr>
        <w:keepNext/>
        <w:keepLines w:val="0"/>
        <w:pageBreakBefore w:val="0"/>
        <w:widowControl/>
        <w:numPr>
          <w:ilvl w:val="0"/>
          <w:numId w:val="0"/>
        </w:numPr>
        <w:spacing w:before="160" w:after="0" w:line="288" w:lineRule="auto"/>
        <w:ind w:left="0" w:right="0" w:firstLine="720"/>
        <w:jc w:val="left"/>
        <w:outlineLvl w:val="9"/>
        <w:rPr>
          <w:rFonts w:ascii="Times New Roman" w:eastAsia="Times New Roman" w:hAnsi="Times New Roman" w:cs="Times New Roman"/>
          <w:b w:val="0"/>
          <w:i/>
          <w:color w:val="000000"/>
          <w:sz w:val="20"/>
          <w:u w:val="none"/>
        </w:rPr>
      </w:pPr>
      <w:r>
        <w:rPr>
          <w:rFonts w:ascii="Times New Roman" w:eastAsia="Times New Roman" w:hAnsi="Times New Roman" w:cs="Times New Roman"/>
          <w:b/>
          <w:i/>
          <w:color w:val="000000"/>
          <w:sz w:val="20"/>
          <w:u w:val="none"/>
        </w:rPr>
        <w:t>Contract balances</w:t>
      </w:r>
    </w:p>
    <w:p>
      <w:pPr>
        <w:keepNext/>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We perform our obligations under contracts with our customers by transferring services and products in exchange for consideration. The timing of our performance often differs from the timing of our customers’ payment, which results in the recognition of receivables and deferred revenue. Deferred revenue represents advance consideration received from customers for contracts where revenue is recognized on future performance of service. </w:t>
      </w:r>
      <w:r>
        <w:rPr>
          <w:rFonts w:ascii="Times New Roman" w:eastAsia="Times New Roman" w:hAnsi="Times New Roman" w:cs="Times New Roman"/>
          <w:b w:val="0"/>
          <w:i w:val="0"/>
          <w:color w:val="000000"/>
          <w:sz w:val="20"/>
          <w:u w:val="none"/>
        </w:rPr>
        <w:t xml:space="preserve">Deferred revenue, as well as revenue recognized during the period relating to amounts included as deferred revenue at the beginning of the period, </w:t>
      </w:r>
      <w:r>
        <w:rPr>
          <w:rFonts w:ascii="Times New Roman" w:eastAsia="Times New Roman" w:hAnsi="Times New Roman" w:cs="Times New Roman"/>
          <w:b w:val="0"/>
          <w:i w:val="0"/>
          <w:color w:val="000000"/>
          <w:sz w:val="20"/>
          <w:u w:val="none"/>
        </w:rPr>
        <w:t xml:space="preserve">was not material to our </w:t>
      </w:r>
      <w:r>
        <w:rPr>
          <w:rFonts w:ascii="Times New Roman" w:eastAsia="Times New Roman" w:hAnsi="Times New Roman" w:cs="Times New Roman"/>
          <w:b w:val="0"/>
          <w:i w:val="0"/>
          <w:color w:val="000000"/>
          <w:sz w:val="20"/>
          <w:u w:val="none"/>
        </w:rPr>
        <w:t>condensed consolidated</w:t>
      </w:r>
      <w:r>
        <w:rPr>
          <w:rFonts w:ascii="Times New Roman" w:eastAsia="Times New Roman" w:hAnsi="Times New Roman" w:cs="Times New Roman"/>
          <w:b w:val="0"/>
          <w:i w:val="0"/>
          <w:color w:val="000000"/>
          <w:sz w:val="20"/>
          <w:u w:val="none"/>
        </w:rPr>
        <w:t xml:space="preserve"> financial statements.</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color w:val="000000"/>
          <w:sz w:val="20"/>
          <w:u w:val="none"/>
        </w:rPr>
      </w:pPr>
      <w:r>
        <w:rPr>
          <w:rFonts w:ascii="Times New Roman" w:eastAsia="Times New Roman" w:hAnsi="Times New Roman" w:cs="Times New Roman"/>
          <w:b/>
          <w:i/>
          <w:color w:val="000000"/>
          <w:sz w:val="20"/>
          <w:u w:val="none"/>
        </w:rPr>
        <w:t>Transaction price allocated to remaining performance obligations</w:t>
      </w:r>
    </w:p>
    <w:p>
      <w:pPr>
        <w:keepNext w:val="0"/>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Remaining performance obligations represent firm contracts for which work has not been performed and future revenue recognition is expected. We have elected the practical expedient permitting the exclusion of disclosing remaining performance obligations for contracts that have an original expected duration of </w:t>
      </w:r>
      <w:r>
        <w:rPr>
          <w:rFonts w:ascii="Times New Roman" w:eastAsia="Times New Roman" w:hAnsi="Times New Roman" w:cs="Times New Roman"/>
          <w:b w:val="0"/>
          <w:i w:val="0"/>
          <w:color w:val="000000"/>
          <w:sz w:val="20"/>
          <w:u w:val="none"/>
        </w:rPr>
        <w:t>one year</w:t>
      </w:r>
      <w:r>
        <w:rPr>
          <w:rFonts w:ascii="Times New Roman" w:eastAsia="Times New Roman" w:hAnsi="Times New Roman" w:cs="Times New Roman"/>
          <w:b w:val="0"/>
          <w:i w:val="0"/>
          <w:color w:val="000000"/>
          <w:sz w:val="20"/>
          <w:u w:val="none"/>
        </w:rPr>
        <w:t xml:space="preserve"> or less. We have some long-term contracts related to software and integrated project management services such as lump sum turnkey contracts. For software contracts, revenue is generally recognized over the duration of the contract period when the software is considered to be a right to access our intellectual property. For lump sum turnkey projects, we recognize revenue over time using an input method, which requires us to exercise judgment. </w:t>
      </w:r>
      <w:r>
        <w:rPr>
          <w:rFonts w:ascii="Times New Roman" w:eastAsia="Times New Roman" w:hAnsi="Times New Roman" w:cs="Times New Roman"/>
          <w:b w:val="0"/>
          <w:i w:val="0"/>
          <w:color w:val="000000"/>
          <w:sz w:val="20"/>
          <w:u w:val="none"/>
        </w:rPr>
        <w:t>Revenue allocated to remaining performance obligations for these long-term contracts is not material.</w:t>
      </w:r>
    </w:p>
    <w:p>
      <w:pPr>
        <w:keepNext w:val="0"/>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color w:val="000000"/>
          <w:sz w:val="20"/>
          <w:u w:val="none"/>
        </w:rPr>
        <w:sectPr>
          <w:headerReference w:type="default" r:id="rId35"/>
          <w:footerReference w:type="default" r:id="rId36"/>
          <w:type w:val="continuous"/>
          <w:pgSz w:w="12240" w:h="15840"/>
          <w:pgMar w:top="900" w:right="990" w:bottom="900" w:left="990" w:header="270" w:footer="270"/>
          <w:cols w:space="708"/>
        </w:sectPr>
      </w:pPr>
    </w:p>
    <w:p>
      <w:pPr>
        <w:keepNext/>
        <w:keepLines/>
        <w:pageBreakBefore w:val="0"/>
        <w:widowControl w:val="0"/>
        <w:numPr>
          <w:ilvl w:val="0"/>
          <w:numId w:val="0"/>
        </w:numPr>
        <w:spacing w:before="0" w:after="0" w:line="288" w:lineRule="auto"/>
        <w:ind w:left="0" w:right="0" w:firstLine="720"/>
        <w:jc w:val="both"/>
        <w:outlineLvl w:val="3"/>
        <w:rPr>
          <w:rFonts w:ascii="Times New Roman" w:eastAsia="Times New Roman" w:hAnsi="Times New Roman" w:cs="Times New Roman"/>
          <w:b/>
          <w:i/>
          <w:sz w:val="20"/>
        </w:rPr>
      </w:pPr>
      <w:bookmarkStart w:id="18" w:name="Section19"/>
      <w:bookmarkEnd w:id="18"/>
      <w:r>
        <w:rPr>
          <w:rFonts w:ascii="Times New Roman" w:eastAsia="Times New Roman" w:hAnsi="Times New Roman" w:cs="Times New Roman"/>
          <w:b/>
          <w:i/>
          <w:color w:val="000000"/>
          <w:sz w:val="20"/>
          <w:u w:val="none"/>
        </w:rPr>
        <w:t>Receivables</w:t>
      </w:r>
    </w:p>
    <w:p>
      <w:pPr>
        <w:keepNext w:val="0"/>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As of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33%</w:t>
      </w:r>
      <w:r>
        <w:rPr>
          <w:rFonts w:ascii="Times New Roman" w:eastAsia="Times New Roman" w:hAnsi="Times New Roman" w:cs="Times New Roman"/>
          <w:b w:val="0"/>
          <w:i w:val="0"/>
          <w:color w:val="000000"/>
          <w:sz w:val="20"/>
          <w:u w:val="none"/>
        </w:rPr>
        <w:t xml:space="preserve"> of our net trade receivables w</w:t>
      </w:r>
      <w:r>
        <w:rPr>
          <w:rFonts w:ascii="Times New Roman" w:eastAsia="Times New Roman" w:hAnsi="Times New Roman" w:cs="Times New Roman"/>
          <w:b w:val="0"/>
          <w:i w:val="0"/>
          <w:color w:val="000000"/>
          <w:sz w:val="20"/>
          <w:u w:val="none"/>
        </w:rPr>
        <w:t>ere</w:t>
      </w:r>
      <w:r>
        <w:rPr>
          <w:rFonts w:ascii="Times New Roman" w:eastAsia="Times New Roman" w:hAnsi="Times New Roman" w:cs="Times New Roman"/>
          <w:b w:val="0"/>
          <w:i w:val="0"/>
          <w:color w:val="000000"/>
          <w:sz w:val="20"/>
          <w:u w:val="none"/>
        </w:rPr>
        <w:t xml:space="preserve"> from customers in the United States and </w:t>
      </w:r>
      <w:r>
        <w:rPr>
          <w:rFonts w:ascii="Times New Roman" w:eastAsia="Times New Roman" w:hAnsi="Times New Roman" w:cs="Times New Roman"/>
          <w:b w:val="0"/>
          <w:i w:val="0"/>
          <w:color w:val="000000"/>
          <w:sz w:val="20"/>
          <w:u w:val="none"/>
        </w:rPr>
        <w:t>9%</w:t>
      </w:r>
      <w:r>
        <w:rPr>
          <w:rFonts w:ascii="Times New Roman" w:eastAsia="Times New Roman" w:hAnsi="Times New Roman" w:cs="Times New Roman"/>
          <w:b w:val="0"/>
          <w:i w:val="0"/>
          <w:color w:val="000000"/>
          <w:sz w:val="20"/>
          <w:u w:val="none"/>
        </w:rPr>
        <w:t xml:space="preserve"> was from customers in Mexico. As of </w:t>
      </w:r>
      <w:r>
        <w:rPr>
          <w:rFonts w:ascii="Times New Roman" w:eastAsia="Times New Roman" w:hAnsi="Times New Roman" w:cs="Times New Roman"/>
          <w:b w:val="0"/>
          <w:i w:val="0"/>
          <w:color w:val="000000"/>
          <w:sz w:val="20"/>
          <w:u w:val="none"/>
        </w:rPr>
        <w:t>December 31, 2024</w:t>
      </w:r>
      <w:r>
        <w:rPr>
          <w:rFonts w:ascii="Times New Roman" w:eastAsia="Times New Roman" w:hAnsi="Times New Roman" w:cs="Times New Roman"/>
          <w:b w:val="0"/>
          <w:i w:val="0"/>
          <w:color w:val="000000"/>
          <w:sz w:val="20"/>
          <w:u w:val="none"/>
        </w:rPr>
        <w:t>,</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30%</w:t>
      </w:r>
      <w:r>
        <w:rPr>
          <w:rFonts w:ascii="Times New Roman" w:eastAsia="Times New Roman" w:hAnsi="Times New Roman" w:cs="Times New Roman"/>
          <w:b w:val="0"/>
          <w:i w:val="0"/>
          <w:color w:val="000000"/>
          <w:sz w:val="20"/>
          <w:u w:val="none"/>
        </w:rPr>
        <w:t xml:space="preserve"> of our net trade receivables </w:t>
      </w:r>
      <w:r>
        <w:rPr>
          <w:rFonts w:ascii="Times New Roman" w:eastAsia="Times New Roman" w:hAnsi="Times New Roman" w:cs="Times New Roman"/>
          <w:b w:val="0"/>
          <w:i w:val="0"/>
          <w:color w:val="000000"/>
          <w:sz w:val="20"/>
          <w:u w:val="none"/>
        </w:rPr>
        <w:t>w</w:t>
      </w:r>
      <w:r>
        <w:rPr>
          <w:rFonts w:ascii="Times New Roman" w:eastAsia="Times New Roman" w:hAnsi="Times New Roman" w:cs="Times New Roman"/>
          <w:b w:val="0"/>
          <w:i w:val="0"/>
          <w:color w:val="000000"/>
          <w:sz w:val="20"/>
          <w:u w:val="none"/>
        </w:rPr>
        <w:t>ere</w:t>
      </w:r>
      <w:r>
        <w:rPr>
          <w:rFonts w:ascii="Times New Roman" w:eastAsia="Times New Roman" w:hAnsi="Times New Roman" w:cs="Times New Roman"/>
          <w:b w:val="0"/>
          <w:i w:val="0"/>
          <w:color w:val="000000"/>
          <w:sz w:val="20"/>
          <w:u w:val="none"/>
        </w:rPr>
        <w:t xml:space="preserve"> from customers in the United States and </w:t>
      </w:r>
      <w:r>
        <w:rPr>
          <w:rFonts w:ascii="Times New Roman" w:eastAsia="Times New Roman" w:hAnsi="Times New Roman" w:cs="Times New Roman"/>
          <w:b w:val="0"/>
          <w:i w:val="0"/>
          <w:color w:val="000000"/>
          <w:sz w:val="20"/>
          <w:u w:val="none"/>
        </w:rPr>
        <w:t>11%</w:t>
      </w:r>
      <w:r>
        <w:rPr>
          <w:rFonts w:ascii="Times New Roman" w:eastAsia="Times New Roman" w:hAnsi="Times New Roman" w:cs="Times New Roman"/>
          <w:b w:val="0"/>
          <w:i w:val="0"/>
          <w:color w:val="000000"/>
          <w:sz w:val="20"/>
          <w:u w:val="none"/>
        </w:rPr>
        <w:t xml:space="preserve"> w</w:t>
      </w:r>
      <w:r>
        <w:rPr>
          <w:rFonts w:ascii="Times New Roman" w:eastAsia="Times New Roman" w:hAnsi="Times New Roman" w:cs="Times New Roman"/>
          <w:b w:val="0"/>
          <w:i w:val="0"/>
          <w:color w:val="000000"/>
          <w:sz w:val="20"/>
          <w:u w:val="none"/>
        </w:rPr>
        <w:t>ere</w:t>
      </w:r>
      <w:r>
        <w:rPr>
          <w:rFonts w:ascii="Times New Roman" w:eastAsia="Times New Roman" w:hAnsi="Times New Roman" w:cs="Times New Roman"/>
          <w:b w:val="0"/>
          <w:i w:val="0"/>
          <w:color w:val="000000"/>
          <w:sz w:val="20"/>
          <w:u w:val="none"/>
        </w:rPr>
        <w:t xml:space="preserve"> from customers in Mexico. Receivables from our primary customer in Mexico accounted for approximately </w:t>
      </w:r>
      <w:r>
        <w:rPr>
          <w:rFonts w:ascii="Times New Roman" w:eastAsia="Times New Roman" w:hAnsi="Times New Roman" w:cs="Times New Roman"/>
          <w:b w:val="0"/>
          <w:i w:val="0"/>
          <w:color w:val="000000"/>
          <w:sz w:val="20"/>
          <w:u w:val="none"/>
        </w:rPr>
        <w:t>7%</w:t>
      </w:r>
      <w:r>
        <w:rPr>
          <w:rFonts w:ascii="Times New Roman" w:eastAsia="Times New Roman" w:hAnsi="Times New Roman" w:cs="Times New Roman"/>
          <w:b w:val="0"/>
          <w:i w:val="0"/>
          <w:color w:val="000000"/>
          <w:sz w:val="20"/>
          <w:u w:val="none"/>
        </w:rPr>
        <w:t xml:space="preserve"> and </w:t>
      </w:r>
      <w:r>
        <w:rPr>
          <w:rFonts w:ascii="Times New Roman" w:eastAsia="Times New Roman" w:hAnsi="Times New Roman" w:cs="Times New Roman"/>
          <w:b w:val="0"/>
          <w:i w:val="0"/>
          <w:color w:val="000000"/>
          <w:sz w:val="20"/>
          <w:u w:val="none"/>
        </w:rPr>
        <w:t>8%</w:t>
      </w:r>
      <w:r>
        <w:rPr>
          <w:rFonts w:ascii="Times New Roman" w:eastAsia="Times New Roman" w:hAnsi="Times New Roman" w:cs="Times New Roman"/>
          <w:b w:val="0"/>
          <w:i w:val="0"/>
          <w:color w:val="000000"/>
          <w:sz w:val="20"/>
          <w:u w:val="none"/>
        </w:rPr>
        <w:t xml:space="preserve"> of our total receivables as of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color w:val="000000"/>
          <w:sz w:val="20"/>
          <w:u w:val="none"/>
        </w:rPr>
        <w:t xml:space="preserve"> and </w:t>
      </w:r>
      <w:r>
        <w:rPr>
          <w:rFonts w:ascii="Times New Roman" w:eastAsia="Times New Roman" w:hAnsi="Times New Roman" w:cs="Times New Roman"/>
          <w:b w:val="0"/>
          <w:i w:val="0"/>
          <w:color w:val="000000"/>
          <w:sz w:val="20"/>
          <w:u w:val="none"/>
        </w:rPr>
        <w:t>December 31, 2024</w:t>
      </w:r>
      <w:r>
        <w:rPr>
          <w:rFonts w:ascii="Times New Roman" w:eastAsia="Times New Roman" w:hAnsi="Times New Roman" w:cs="Times New Roman"/>
          <w:b w:val="0"/>
          <w:i w:val="0"/>
          <w:color w:val="000000"/>
          <w:sz w:val="20"/>
          <w:u w:val="none"/>
        </w:rPr>
        <w:t>, respectively</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While we have experienced payment delays from our primary customer in Mexico, the amounts are not in dispute and we have not historically had, and we do not expect any material write-offs due to collectability of receivables from this customer.</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Furthermore, we have entered int</w:t>
      </w:r>
      <w:r>
        <w:rPr>
          <w:rFonts w:ascii="Times New Roman" w:eastAsia="Times New Roman" w:hAnsi="Times New Roman" w:cs="Times New Roman"/>
          <w:b w:val="0"/>
          <w:i w:val="0"/>
          <w:color w:val="000000"/>
          <w:sz w:val="20"/>
          <w:u w:val="none"/>
        </w:rPr>
        <w:t>o</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credit default swaps</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w:t>
      </w:r>
      <w:r>
        <w:rPr>
          <w:rFonts w:ascii="Times New Roman" w:eastAsia="Times New Roman" w:hAnsi="Times New Roman" w:cs="Times New Roman"/>
          <w:b w:val="0"/>
          <w:i w:val="0"/>
          <w:color w:val="000000"/>
          <w:sz w:val="20"/>
          <w:u w:val="none"/>
        </w:rPr>
        <w:t>CDSs</w:t>
      </w:r>
      <w:r>
        <w:rPr>
          <w:rFonts w:ascii="Times New Roman" w:eastAsia="Times New Roman" w:hAnsi="Times New Roman" w:cs="Times New Roman"/>
          <w:b w:val="0"/>
          <w:i w:val="0"/>
          <w:color w:val="000000"/>
          <w:sz w:val="20"/>
          <w:u w:val="none"/>
        </w:rPr>
        <w:t>)</w:t>
      </w:r>
      <w:r>
        <w:rPr>
          <w:rFonts w:ascii="Times New Roman" w:eastAsia="Times New Roman" w:hAnsi="Times New Roman" w:cs="Times New Roman"/>
          <w:b w:val="0"/>
          <w:i w:val="0"/>
          <w:color w:val="000000"/>
          <w:sz w:val="20"/>
          <w:u w:val="none"/>
        </w:rPr>
        <w:t xml:space="preserve"> with third-party financial institutions that have an aggregate notional amount outstanding as of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color w:val="000000"/>
          <w:sz w:val="20"/>
          <w:u w:val="none"/>
        </w:rPr>
        <w:t xml:space="preserve"> of </w:t>
      </w:r>
      <w:r>
        <w:rPr>
          <w:rFonts w:ascii="Times New Roman" w:eastAsia="Times New Roman" w:hAnsi="Times New Roman" w:cs="Times New Roman"/>
          <w:b w:val="0"/>
          <w:i w:val="0"/>
          <w:color w:val="000000"/>
          <w:sz w:val="20"/>
          <w:u w:val="none"/>
        </w:rPr>
        <w:t>$1.0 billion</w:t>
      </w:r>
      <w:r>
        <w:rPr>
          <w:rFonts w:ascii="Times New Roman" w:eastAsia="Times New Roman" w:hAnsi="Times New Roman" w:cs="Times New Roman"/>
          <w:b w:val="0"/>
          <w:i w:val="0"/>
          <w:color w:val="000000"/>
          <w:sz w:val="20"/>
          <w:u w:val="none"/>
        </w:rPr>
        <w:t xml:space="preserve"> related to borrowings provided by the financial institutions to one of our primary customers in Mexico, of which, portions of the proceeds were utilized by this customer to pay certain of our outstanding receivables. See Note 11 for further information on these CDSs.</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No</w:t>
      </w:r>
      <w:r>
        <w:rPr>
          <w:rFonts w:ascii="Times New Roman" w:eastAsia="Times New Roman" w:hAnsi="Times New Roman" w:cs="Times New Roman"/>
          <w:b w:val="0"/>
          <w:i w:val="0"/>
          <w:color w:val="000000"/>
          <w:sz w:val="20"/>
          <w:u w:val="none"/>
        </w:rPr>
        <w:t xml:space="preserve"> country other than the United States </w:t>
      </w:r>
      <w:r>
        <w:rPr>
          <w:rFonts w:ascii="Times New Roman" w:eastAsia="Times New Roman" w:hAnsi="Times New Roman" w:cs="Times New Roman"/>
          <w:b w:val="0"/>
          <w:i w:val="0"/>
          <w:color w:val="000000"/>
          <w:sz w:val="20"/>
          <w:u w:val="none"/>
        </w:rPr>
        <w:t>and no</w:t>
      </w:r>
      <w:r>
        <w:rPr>
          <w:rFonts w:ascii="Times New Roman" w:eastAsia="Times New Roman" w:hAnsi="Times New Roman" w:cs="Times New Roman"/>
          <w:b w:val="0"/>
          <w:i w:val="0"/>
          <w:color w:val="000000"/>
          <w:sz w:val="20"/>
          <w:u w:val="none"/>
        </w:rPr>
        <w:t xml:space="preserve"> single customer accounted for more than </w:t>
      </w:r>
      <w:r>
        <w:rPr>
          <w:rFonts w:ascii="Times New Roman" w:eastAsia="Times New Roman" w:hAnsi="Times New Roman" w:cs="Times New Roman"/>
          <w:b w:val="0"/>
          <w:i w:val="0"/>
          <w:color w:val="000000"/>
          <w:sz w:val="20"/>
          <w:u w:val="none"/>
        </w:rPr>
        <w:t>10%</w:t>
      </w:r>
      <w:r>
        <w:rPr>
          <w:rFonts w:ascii="Times New Roman" w:eastAsia="Times New Roman" w:hAnsi="Times New Roman" w:cs="Times New Roman"/>
          <w:b w:val="0"/>
          <w:i w:val="0"/>
          <w:color w:val="000000"/>
          <w:sz w:val="20"/>
          <w:u w:val="none"/>
        </w:rPr>
        <w:t xml:space="preserve"> of our net trade receivables at those dates.</w:t>
      </w:r>
    </w:p>
    <w:p>
      <w:pPr>
        <w:keepNext w:val="0"/>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We have risk of delayed customer payments and payment defaults associated with customer liquidity issues. We routinely monitor the financial stability of our customers and employ an extensive process to evaluate the collectability of outstanding receivables. This process, which involves judgment and estimates, includes analysis of our customers’ historical time to pay, financial condition and various financial metrics, debt structure, credit ratings, and production profile, as well as political and economic factors in countries of operations and other customer-specific factors.</w:t>
      </w:r>
    </w:p>
    <w:p>
      <w:pPr>
        <w:keepNext w:val="0"/>
        <w:keepLines/>
        <w:pageBreakBefore w:val="0"/>
        <w:widowControl w:val="0"/>
        <w:numPr>
          <w:ilvl w:val="0"/>
          <w:numId w:val="0"/>
        </w:numPr>
        <w:spacing w:before="0" w:after="160" w:line="288" w:lineRule="auto"/>
        <w:ind w:left="0" w:right="0" w:firstLine="720"/>
        <w:jc w:val="both"/>
        <w:outlineLvl w:val="9"/>
        <w:sectPr>
          <w:headerReference w:type="default" r:id="rId37"/>
          <w:footerReference w:type="default" r:id="rId38"/>
          <w:type w:val="continuous"/>
          <w:pgSz w:w="12240" w:h="15840"/>
          <w:pgMar w:top="900" w:right="990" w:bottom="900" w:left="990" w:header="270" w:footer="270"/>
          <w:cols w:space="708"/>
        </w:sectPr>
      </w:pPr>
    </w:p>
    <w:p>
      <w:pPr>
        <w:keepNext/>
        <w:keepLines/>
        <w:pageBreakBefore w:val="0"/>
        <w:widowControl w:val="0"/>
        <w:numPr>
          <w:ilvl w:val="0"/>
          <w:numId w:val="0"/>
        </w:numPr>
        <w:spacing w:before="0" w:after="160" w:line="288" w:lineRule="auto"/>
        <w:ind w:left="0" w:right="0" w:firstLine="0"/>
        <w:jc w:val="left"/>
        <w:outlineLvl w:val="2"/>
        <w:rPr>
          <w:rFonts w:ascii="Times New Roman" w:eastAsia="Times New Roman" w:hAnsi="Times New Roman" w:cs="Times New Roman"/>
          <w:b/>
          <w:i w:val="0"/>
          <w:sz w:val="20"/>
        </w:rPr>
      </w:pPr>
      <w:bookmarkStart w:id="19" w:name="Section20"/>
      <w:bookmarkEnd w:id="19"/>
      <w:r>
        <w:rPr>
          <w:rFonts w:ascii="Times New Roman" w:eastAsia="Times New Roman" w:hAnsi="Times New Roman" w:cs="Times New Roman"/>
          <w:b/>
          <w:i w:val="0"/>
          <w:sz w:val="20"/>
        </w:rPr>
        <w:t xml:space="preserve">Note </w:t>
      </w:r>
      <w:r>
        <w:rPr>
          <w:rFonts w:ascii="Times New Roman" w:eastAsia="Times New Roman" w:hAnsi="Times New Roman" w:cs="Times New Roman"/>
          <w:b/>
          <w:i w:val="0"/>
          <w:color w:val="000000"/>
          <w:sz w:val="20"/>
          <w:u w:val="none"/>
        </w:rPr>
        <w:t>5</w:t>
      </w:r>
      <w:r>
        <w:rPr>
          <w:rFonts w:ascii="Times New Roman" w:eastAsia="Times New Roman" w:hAnsi="Times New Roman" w:cs="Times New Roman"/>
          <w:b/>
          <w:i w:val="0"/>
          <w:sz w:val="20"/>
        </w:rPr>
        <w:t>.</w:t>
      </w:r>
      <w:r>
        <w:rPr>
          <w:rFonts w:ascii="Times New Roman" w:eastAsia="Times New Roman" w:hAnsi="Times New Roman" w:cs="Times New Roman"/>
          <w:b/>
          <w:i w:val="0"/>
          <w:color w:val="000000"/>
          <w:sz w:val="20"/>
          <w:u w:val="none"/>
        </w:rPr>
        <w:t xml:space="preserve"> </w:t>
      </w:r>
      <w:r>
        <w:rPr>
          <w:rFonts w:ascii="Times New Roman" w:eastAsia="Times New Roman" w:hAnsi="Times New Roman" w:cs="Times New Roman"/>
          <w:b/>
          <w:i w:val="0"/>
          <w:color w:val="000000"/>
          <w:sz w:val="20"/>
          <w:u w:val="none"/>
        </w:rPr>
        <w:t>Inventories</w:t>
      </w:r>
    </w:p>
    <w:p>
      <w:pPr>
        <w:keepNext/>
        <w:keepLines/>
        <w:pageBreakBefore w:val="0"/>
        <w:widowControl w:val="0"/>
        <w:numPr>
          <w:ilvl w:val="0"/>
          <w:numId w:val="0"/>
        </w:numPr>
        <w:spacing w:before="0" w:after="0" w:line="288" w:lineRule="auto"/>
        <w:ind w:left="0" w:right="0" w:firstLine="720"/>
        <w:jc w:val="left"/>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Inventories consisted of the following:</w:t>
      </w:r>
    </w:p>
    <w:tbl>
      <w:tblPr>
        <w:tblW w:w="6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05"/>
        <w:gridCol w:w="1305"/>
        <w:gridCol w:w="1305"/>
      </w:tblGrid>
      <w:tr>
        <w:tblPrEx>
          <w:tblW w:w="6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495"/>
          <w:jc w:val="center"/>
        </w:trPr>
        <w:tc>
          <w:tcPr>
            <w:tcW w:w="34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color w:val="000000"/>
                <w:sz w:val="20"/>
                <w:u w:val="none"/>
              </w:rPr>
              <w:t>Millions of dollars</w:t>
            </w:r>
          </w:p>
        </w:tc>
        <w:tc>
          <w:tcPr>
            <w:tcW w:w="13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20"/>
                <w:u w:val="none"/>
              </w:rPr>
              <w:t>March 31, 2025</w:t>
            </w:r>
          </w:p>
        </w:tc>
        <w:tc>
          <w:tcPr>
            <w:tcW w:w="13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20"/>
                <w:u w:val="none"/>
              </w:rPr>
              <w:t>December 31, 2024</w:t>
            </w:r>
          </w:p>
        </w:tc>
      </w:tr>
      <w:tr>
        <w:tblPrEx>
          <w:tblW w:w="6015" w:type="dxa"/>
          <w:jc w:val="center"/>
          <w:tblLayout w:type="fixed"/>
          <w:tblCellMar>
            <w:left w:w="108" w:type="dxa"/>
            <w:right w:w="108" w:type="dxa"/>
          </w:tblCellMar>
        </w:tblPrEx>
        <w:trPr>
          <w:cantSplit/>
          <w:trHeight w:hRule="exact" w:val="300"/>
          <w:jc w:val="center"/>
        </w:trPr>
        <w:tc>
          <w:tcPr>
            <w:tcW w:w="340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20"/>
                <w:u w:val="none"/>
              </w:rPr>
              <w:t>Finished products and parts</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722"/>
                <w:tab w:val="left" w:pos="1237"/>
              </w:tabs>
              <w:spacing w:before="55" w:after="30" w:line="240" w:lineRule="auto"/>
              <w:jc w:val="right"/>
            </w:pPr>
            <w:r>
              <w:rPr>
                <w:rFonts w:ascii="Times New Roman" w:eastAsia="Times New Roman" w:hAnsi="Times New Roman" w:cs="Times New Roman"/>
                <w:b w:val="0"/>
                <w:i w:val="0"/>
                <w:color w:val="000000"/>
                <w:sz w:val="20"/>
                <w:u w:val="none"/>
              </w:rPr>
              <w:t>$</w:t>
              <w:tab/>
              <w:t>1,965</w:t>
              <w:tab/>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722"/>
                <w:tab w:val="left" w:pos="1237"/>
              </w:tabs>
              <w:spacing w:before="55" w:after="30" w:line="240" w:lineRule="auto"/>
              <w:jc w:val="right"/>
            </w:pPr>
            <w:r>
              <w:rPr>
                <w:rFonts w:ascii="Times New Roman" w:eastAsia="Times New Roman" w:hAnsi="Times New Roman" w:cs="Times New Roman"/>
                <w:b w:val="0"/>
                <w:i w:val="0"/>
                <w:color w:val="000000"/>
                <w:sz w:val="20"/>
                <w:u w:val="none"/>
              </w:rPr>
              <w:t>$</w:t>
              <w:tab/>
              <w:t>1,956</w:t>
              <w:tab/>
            </w:r>
          </w:p>
        </w:tc>
      </w:tr>
      <w:tr>
        <w:tblPrEx>
          <w:tblW w:w="6015" w:type="dxa"/>
          <w:jc w:val="center"/>
          <w:tblLayout w:type="fixed"/>
          <w:tblCellMar>
            <w:left w:w="108" w:type="dxa"/>
            <w:right w:w="108" w:type="dxa"/>
          </w:tblCellMar>
        </w:tblPrEx>
        <w:trPr>
          <w:cantSplit/>
          <w:trHeight w:hRule="exact" w:val="300"/>
          <w:jc w:val="center"/>
        </w:trPr>
        <w:tc>
          <w:tcPr>
            <w:tcW w:w="3405"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Raw materials and supplies</w:t>
            </w:r>
          </w:p>
        </w:tc>
        <w:tc>
          <w:tcPr>
            <w:tcW w:w="1305" w:type="dxa"/>
            <w:tcBorders>
              <w:top w:val="nil"/>
              <w:left w:val="nil"/>
              <w:bottom w:val="nil"/>
              <w:right w:val="nil"/>
            </w:tcBorders>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ab/>
              <w:t>939</w:t>
              <w:tab/>
            </w:r>
          </w:p>
        </w:tc>
        <w:tc>
          <w:tcPr>
            <w:tcW w:w="1305" w:type="dxa"/>
            <w:tcBorders>
              <w:top w:val="nil"/>
              <w:left w:val="nil"/>
              <w:bottom w:val="nil"/>
              <w:right w:val="nil"/>
            </w:tcBorders>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ab/>
              <w:t>952</w:t>
              <w:tab/>
            </w:r>
          </w:p>
        </w:tc>
      </w:tr>
      <w:tr>
        <w:tblPrEx>
          <w:tblW w:w="6015" w:type="dxa"/>
          <w:jc w:val="center"/>
          <w:tblLayout w:type="fixed"/>
          <w:tblCellMar>
            <w:left w:w="108" w:type="dxa"/>
            <w:right w:w="108" w:type="dxa"/>
          </w:tblCellMar>
        </w:tblPrEx>
        <w:trPr>
          <w:cantSplit/>
          <w:trHeight w:hRule="exact" w:val="300"/>
          <w:jc w:val="center"/>
        </w:trPr>
        <w:tc>
          <w:tcPr>
            <w:tcW w:w="3405"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Work in process</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ab/>
              <w:t>140</w:t>
              <w:tab/>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ab/>
              <w:t>132</w:t>
              <w:tab/>
            </w:r>
          </w:p>
        </w:tc>
      </w:tr>
      <w:tr>
        <w:tblPrEx>
          <w:tblW w:w="6015" w:type="dxa"/>
          <w:jc w:val="center"/>
          <w:tblLayout w:type="fixed"/>
          <w:tblCellMar>
            <w:left w:w="108" w:type="dxa"/>
            <w:right w:w="108" w:type="dxa"/>
          </w:tblCellMar>
        </w:tblPrEx>
        <w:trPr>
          <w:cantSplit/>
          <w:trHeight w:hRule="exact" w:val="300"/>
          <w:jc w:val="center"/>
        </w:trPr>
        <w:tc>
          <w:tcPr>
            <w:tcW w:w="3405" w:type="dxa"/>
            <w:tcBorders>
              <w:top w:val="single" w:sz="8" w:space="0" w:color="000000"/>
              <w:left w:val="nil"/>
              <w:bottom w:val="double" w:sz="8" w:space="0" w:color="000000"/>
              <w:right w:val="nil"/>
            </w:tcBorders>
            <w:tcMar>
              <w:top w:w="0" w:type="dxa"/>
              <w:left w:w="53" w:type="dxa"/>
              <w:bottom w:w="0" w:type="dxa"/>
              <w:right w:w="53" w:type="dxa"/>
            </w:tcMar>
            <w:vAlign w:val="bottom"/>
          </w:tcPr>
          <w:p>
            <w:pPr>
              <w:pageBreakBefore w:val="0"/>
              <w:spacing w:before="55" w:after="30" w:line="240" w:lineRule="auto"/>
              <w:jc w:val="left"/>
            </w:pPr>
            <w:r>
              <w:rPr>
                <w:rFonts w:ascii="Times New Roman" w:eastAsia="Times New Roman" w:hAnsi="Times New Roman" w:cs="Times New Roman"/>
                <w:b w:val="0"/>
                <w:i w:val="0"/>
                <w:color w:val="000000"/>
                <w:sz w:val="20"/>
                <w:u w:val="none"/>
              </w:rPr>
              <w:t>Total inventories</w:t>
            </w:r>
          </w:p>
        </w:tc>
        <w:tc>
          <w:tcPr>
            <w:tcW w:w="1305" w:type="dxa"/>
            <w:tcBorders>
              <w:top w:val="single" w:sz="8" w:space="0" w:color="000000"/>
              <w:left w:val="nil"/>
              <w:bottom w:val="double" w:sz="8" w:space="0" w:color="000000"/>
              <w:right w:val="nil"/>
            </w:tcBorders>
            <w:tcMar>
              <w:top w:w="0" w:type="dxa"/>
              <w:left w:w="0" w:type="dxa"/>
              <w:bottom w:w="0" w:type="dxa"/>
              <w:right w:w="15" w:type="dxa"/>
            </w:tcMar>
            <w:vAlign w:val="bottom"/>
          </w:tcPr>
          <w:p>
            <w:pPr>
              <w:pageBreakBefore w:val="0"/>
              <w:tabs>
                <w:tab w:val="left" w:pos="722"/>
                <w:tab w:val="left" w:pos="1237"/>
              </w:tabs>
              <w:spacing w:before="55" w:after="30" w:line="240" w:lineRule="auto"/>
              <w:jc w:val="right"/>
            </w:pPr>
            <w:r>
              <w:rPr>
                <w:rFonts w:ascii="Times New Roman" w:eastAsia="Times New Roman" w:hAnsi="Times New Roman" w:cs="Times New Roman"/>
                <w:b w:val="0"/>
                <w:i w:val="0"/>
                <w:color w:val="000000"/>
                <w:sz w:val="20"/>
                <w:u w:val="none"/>
              </w:rPr>
              <w:t>$</w:t>
              <w:tab/>
              <w:t>3,044</w:t>
              <w:tab/>
            </w:r>
          </w:p>
        </w:tc>
        <w:tc>
          <w:tcPr>
            <w:tcW w:w="1305" w:type="dxa"/>
            <w:tcBorders>
              <w:top w:val="single" w:sz="8" w:space="0" w:color="000000"/>
              <w:left w:val="nil"/>
              <w:bottom w:val="double" w:sz="8" w:space="0" w:color="000000"/>
              <w:right w:val="nil"/>
            </w:tcBorders>
            <w:tcMar>
              <w:top w:w="0" w:type="dxa"/>
              <w:left w:w="0" w:type="dxa"/>
              <w:bottom w:w="0" w:type="dxa"/>
              <w:right w:w="15" w:type="dxa"/>
            </w:tcMar>
            <w:vAlign w:val="bottom"/>
          </w:tcPr>
          <w:p>
            <w:pPr>
              <w:pageBreakBefore w:val="0"/>
              <w:tabs>
                <w:tab w:val="left" w:pos="722"/>
                <w:tab w:val="left" w:pos="1237"/>
              </w:tabs>
              <w:spacing w:before="55" w:after="30" w:line="240" w:lineRule="auto"/>
              <w:jc w:val="right"/>
            </w:pPr>
            <w:r>
              <w:rPr>
                <w:rFonts w:ascii="Times New Roman" w:eastAsia="Times New Roman" w:hAnsi="Times New Roman" w:cs="Times New Roman"/>
                <w:b w:val="0"/>
                <w:i w:val="0"/>
                <w:color w:val="000000"/>
                <w:sz w:val="20"/>
                <w:u w:val="none"/>
              </w:rPr>
              <w:t>$</w:t>
              <w:tab/>
              <w:t>3,040</w:t>
              <w:tab/>
            </w:r>
          </w:p>
        </w:tc>
      </w:tr>
    </w:tbl>
    <w:p>
      <w:pPr>
        <w:keepNext/>
        <w:keepLines/>
        <w:pageBreakBefore w:val="0"/>
        <w:widowControl w:val="0"/>
        <w:numPr>
          <w:ilvl w:val="0"/>
          <w:numId w:val="0"/>
        </w:numPr>
        <w:spacing w:before="0" w:after="160" w:line="288" w:lineRule="auto"/>
        <w:ind w:left="1440" w:right="0" w:firstLine="720"/>
        <w:jc w:val="center"/>
        <w:outlineLvl w:val="9"/>
        <w:rPr>
          <w:rFonts w:ascii="Times New Roman" w:eastAsia="Times New Roman" w:hAnsi="Times New Roman" w:cs="Times New Roman"/>
          <w:b w:val="0"/>
          <w:i w:val="0"/>
          <w:color w:val="000000"/>
          <w:sz w:val="2"/>
          <w:u w:val="none"/>
        </w:rPr>
      </w:pPr>
    </w:p>
    <w:p>
      <w:pPr>
        <w:keepNext/>
        <w:keepLines/>
        <w:pageBreakBefore w:val="0"/>
        <w:widowControl w:val="0"/>
        <w:numPr>
          <w:ilvl w:val="0"/>
          <w:numId w:val="0"/>
        </w:numPr>
        <w:spacing w:before="0" w:after="160" w:line="288" w:lineRule="auto"/>
        <w:ind w:left="1440" w:right="0" w:firstLine="720"/>
        <w:jc w:val="center"/>
        <w:outlineLvl w:val="9"/>
        <w:rPr>
          <w:rFonts w:ascii="Times New Roman" w:eastAsia="Times New Roman" w:hAnsi="Times New Roman" w:cs="Times New Roman"/>
          <w:b w:val="0"/>
          <w:i w:val="0"/>
          <w:color w:val="000000"/>
          <w:sz w:val="2"/>
          <w:u w:val="none"/>
        </w:rPr>
        <w:sectPr>
          <w:headerReference w:type="default" r:id="rId39"/>
          <w:footerReference w:type="default" r:id="rId40"/>
          <w:type w:val="continuous"/>
          <w:pgSz w:w="12240" w:h="15840"/>
          <w:pgMar w:top="900" w:right="990" w:bottom="900" w:left="990" w:header="270" w:footer="270"/>
          <w:cols w:space="708"/>
        </w:sectPr>
      </w:pPr>
    </w:p>
    <w:p>
      <w:pPr>
        <w:keepNext/>
        <w:keepLines/>
        <w:pageBreakBefore w:val="0"/>
        <w:widowControl w:val="0"/>
        <w:numPr>
          <w:ilvl w:val="0"/>
          <w:numId w:val="0"/>
        </w:numPr>
        <w:spacing w:before="0" w:after="160" w:line="288" w:lineRule="auto"/>
        <w:ind w:left="0" w:right="0" w:firstLine="0"/>
        <w:jc w:val="left"/>
        <w:outlineLvl w:val="2"/>
        <w:rPr>
          <w:rFonts w:ascii="Times New Roman" w:eastAsia="Times New Roman" w:hAnsi="Times New Roman" w:cs="Times New Roman"/>
          <w:b/>
          <w:i w:val="0"/>
          <w:sz w:val="20"/>
        </w:rPr>
      </w:pPr>
      <w:bookmarkStart w:id="20" w:name="Section21"/>
      <w:bookmarkEnd w:id="20"/>
      <w:r>
        <w:rPr>
          <w:rFonts w:ascii="Times New Roman" w:eastAsia="Times New Roman" w:hAnsi="Times New Roman" w:cs="Times New Roman"/>
          <w:b/>
          <w:i w:val="0"/>
          <w:sz w:val="20"/>
        </w:rPr>
        <w:t xml:space="preserve">Note </w:t>
      </w:r>
      <w:r>
        <w:rPr>
          <w:rFonts w:ascii="Times New Roman" w:eastAsia="Times New Roman" w:hAnsi="Times New Roman" w:cs="Times New Roman"/>
          <w:b/>
          <w:i w:val="0"/>
          <w:color w:val="000000"/>
          <w:sz w:val="20"/>
          <w:u w:val="none"/>
        </w:rPr>
        <w:t>6</w:t>
      </w:r>
      <w:r>
        <w:rPr>
          <w:rFonts w:ascii="Times New Roman" w:eastAsia="Times New Roman" w:hAnsi="Times New Roman" w:cs="Times New Roman"/>
          <w:b/>
          <w:i w:val="0"/>
          <w:sz w:val="20"/>
        </w:rPr>
        <w:t xml:space="preserve">. </w:t>
      </w:r>
      <w:r>
        <w:rPr>
          <w:rFonts w:ascii="Times New Roman" w:eastAsia="Times New Roman" w:hAnsi="Times New Roman" w:cs="Times New Roman"/>
          <w:b/>
          <w:i w:val="0"/>
          <w:color w:val="000000"/>
          <w:sz w:val="20"/>
          <w:u w:val="none"/>
        </w:rPr>
        <w:t>Accounts Payable</w:t>
      </w:r>
    </w:p>
    <w:p>
      <w:pPr>
        <w:keepNext/>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We have </w:t>
      </w:r>
      <w:r>
        <w:rPr>
          <w:rFonts w:ascii="Times New Roman" w:eastAsia="Times New Roman" w:hAnsi="Times New Roman" w:cs="Times New Roman"/>
          <w:b w:val="0"/>
          <w:i w:val="0"/>
          <w:color w:val="000000"/>
          <w:sz w:val="20"/>
          <w:u w:val="none"/>
        </w:rPr>
        <w:t>an</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agreement</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with</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 xml:space="preserve">a </w:t>
      </w:r>
      <w:r>
        <w:rPr>
          <w:rFonts w:ascii="Times New Roman" w:eastAsia="Times New Roman" w:hAnsi="Times New Roman" w:cs="Times New Roman"/>
          <w:b w:val="0"/>
          <w:i w:val="0"/>
          <w:color w:val="000000"/>
          <w:sz w:val="20"/>
          <w:u w:val="none"/>
        </w:rPr>
        <w:t>third part</w:t>
      </w:r>
      <w:r>
        <w:rPr>
          <w:rFonts w:ascii="Times New Roman" w:eastAsia="Times New Roman" w:hAnsi="Times New Roman" w:cs="Times New Roman"/>
          <w:b w:val="0"/>
          <w:i w:val="0"/>
          <w:color w:val="000000"/>
          <w:sz w:val="20"/>
          <w:u w:val="none"/>
        </w:rPr>
        <w:t>y</w:t>
      </w:r>
      <w:r>
        <w:rPr>
          <w:rFonts w:ascii="Times New Roman" w:eastAsia="Times New Roman" w:hAnsi="Times New Roman" w:cs="Times New Roman"/>
          <w:b w:val="0"/>
          <w:i w:val="0"/>
          <w:color w:val="000000"/>
          <w:sz w:val="20"/>
          <w:u w:val="none"/>
        </w:rPr>
        <w:t xml:space="preserve"> that allow</w:t>
      </w:r>
      <w:r>
        <w:rPr>
          <w:rFonts w:ascii="Times New Roman" w:eastAsia="Times New Roman" w:hAnsi="Times New Roman" w:cs="Times New Roman"/>
          <w:b w:val="0"/>
          <w:i w:val="0"/>
          <w:color w:val="000000"/>
          <w:sz w:val="20"/>
          <w:u w:val="none"/>
        </w:rPr>
        <w:t>s</w:t>
      </w:r>
      <w:r>
        <w:rPr>
          <w:rFonts w:ascii="Times New Roman" w:eastAsia="Times New Roman" w:hAnsi="Times New Roman" w:cs="Times New Roman"/>
          <w:b w:val="0"/>
          <w:i w:val="0"/>
          <w:color w:val="000000"/>
          <w:sz w:val="20"/>
          <w:u w:val="none"/>
        </w:rPr>
        <w:t xml:space="preserve"> our participating suppliers to finance payment obligations from us with designated third-party financial institutions who act as our paying agent.</w:t>
      </w:r>
      <w:r>
        <w:rPr>
          <w:rFonts w:ascii="Times New Roman" w:eastAsia="Times New Roman" w:hAnsi="Times New Roman" w:cs="Times New Roman"/>
          <w:b w:val="0"/>
          <w:i w:val="0"/>
          <w:color w:val="000000"/>
          <w:sz w:val="20"/>
          <w:u w:val="none"/>
        </w:rPr>
        <w:t xml:space="preserve"> We have generally extended our payment terms with suppliers to </w:t>
      </w:r>
      <w:r>
        <w:rPr>
          <w:rFonts w:ascii="Times New Roman" w:eastAsia="Times New Roman" w:hAnsi="Times New Roman" w:cs="Times New Roman"/>
          <w:b w:val="0"/>
          <w:i w:val="0"/>
          <w:color w:val="000000"/>
          <w:sz w:val="20"/>
          <w:u w:val="none"/>
        </w:rPr>
        <w:t>90</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day</w:t>
      </w:r>
      <w:r>
        <w:rPr>
          <w:rFonts w:ascii="Times New Roman" w:eastAsia="Times New Roman" w:hAnsi="Times New Roman" w:cs="Times New Roman"/>
          <w:b w:val="0"/>
          <w:i w:val="0"/>
          <w:color w:val="000000"/>
          <w:sz w:val="20"/>
          <w:u w:val="none"/>
        </w:rPr>
        <w:t>s. A participating supplier may request a participating financial institution to finance one or more of our payment obligations to such supplier prior to the scheduled due date thereof at a discounted price. We are not required to provide collateral to the financial institutions.</w:t>
      </w:r>
    </w:p>
    <w:p>
      <w:pPr>
        <w:keepNext w:val="0"/>
        <w:keepLines w:val="0"/>
        <w:pageBreakBefore w:val="0"/>
        <w:widowControl/>
        <w:numPr>
          <w:ilvl w:val="0"/>
          <w:numId w:val="0"/>
        </w:numPr>
        <w:spacing w:before="0" w:after="160" w:line="288" w:lineRule="auto"/>
        <w:ind w:left="0" w:right="0" w:firstLine="720"/>
        <w:jc w:val="both"/>
        <w:outlineLvl w:val="9"/>
        <w:rPr>
          <w:rFonts w:ascii="Calibri" w:eastAsia="Calibri" w:hAnsi="Calibri" w:cs="Calibri"/>
          <w:b w:val="0"/>
          <w:i w:val="0"/>
          <w:color w:val="000000"/>
          <w:sz w:val="22"/>
          <w:u w:val="none"/>
        </w:rPr>
      </w:pPr>
      <w:r>
        <w:rPr>
          <w:rFonts w:ascii="Times New Roman" w:eastAsia="Times New Roman" w:hAnsi="Times New Roman" w:cs="Times New Roman"/>
          <w:b w:val="0"/>
          <w:i w:val="0"/>
          <w:color w:val="000000"/>
          <w:sz w:val="20"/>
          <w:u w:val="none"/>
        </w:rPr>
        <w:t xml:space="preserve">Our obligations to participating suppliers, including amounts due and scheduled payment dates, are not impacted by the </w:t>
      </w:r>
      <w:r>
        <w:rPr>
          <w:rFonts w:ascii="Times New Roman" w:eastAsia="Times New Roman" w:hAnsi="Times New Roman" w:cs="Times New Roman"/>
          <w:b w:val="0"/>
          <w:i w:val="0"/>
          <w:color w:val="000000"/>
          <w:sz w:val="20"/>
          <w:u w:val="none"/>
        </w:rPr>
        <w:t>suppliers</w:t>
      </w:r>
      <w:r>
        <w:rPr>
          <w:rFonts w:ascii="Times New Roman" w:eastAsia="Times New Roman" w:hAnsi="Times New Roman" w:cs="Times New Roman"/>
          <w:b w:val="0"/>
          <w:i w:val="0"/>
          <w:color w:val="000000"/>
          <w:sz w:val="20"/>
          <w:u w:val="none"/>
        </w:rPr>
        <w:t xml:space="preserve">’ decisions to finance amounts due under these financing arrangements. </w:t>
      </w:r>
      <w:r>
        <w:rPr>
          <w:rFonts w:ascii="Times New Roman" w:eastAsia="Times New Roman" w:hAnsi="Times New Roman" w:cs="Times New Roman"/>
          <w:b w:val="0"/>
          <w:i w:val="0"/>
          <w:color w:val="000000"/>
          <w:sz w:val="20"/>
          <w:u w:val="none"/>
        </w:rPr>
        <w:t xml:space="preserve">Our </w:t>
      </w:r>
      <w:r>
        <w:rPr>
          <w:rFonts w:ascii="Times New Roman" w:eastAsia="Times New Roman" w:hAnsi="Times New Roman" w:cs="Times New Roman"/>
          <w:b w:val="0"/>
          <w:i w:val="0"/>
          <w:color w:val="000000"/>
          <w:sz w:val="20"/>
          <w:u w:val="none"/>
        </w:rPr>
        <w:t>outstanding</w:t>
      </w:r>
      <w:r>
        <w:rPr>
          <w:rFonts w:ascii="Times New Roman" w:eastAsia="Times New Roman" w:hAnsi="Times New Roman" w:cs="Times New Roman"/>
          <w:b w:val="0"/>
          <w:i w:val="0"/>
          <w:color w:val="000000"/>
          <w:sz w:val="20"/>
          <w:u w:val="none"/>
        </w:rPr>
        <w:t xml:space="preserve"> payment obligations under these agreemen</w:t>
      </w:r>
      <w:r>
        <w:rPr>
          <w:rFonts w:ascii="Times New Roman" w:eastAsia="Times New Roman" w:hAnsi="Times New Roman" w:cs="Times New Roman"/>
          <w:b w:val="0"/>
          <w:i w:val="0"/>
          <w:color w:val="000000"/>
          <w:sz w:val="20"/>
          <w:u w:val="none"/>
        </w:rPr>
        <w:t>ts were</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$292 million</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 xml:space="preserve">as of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color w:val="000000"/>
          <w:sz w:val="20"/>
          <w:u w:val="none"/>
        </w:rPr>
        <w:t xml:space="preserve">, and </w:t>
      </w:r>
      <w:r>
        <w:rPr>
          <w:rFonts w:ascii="Times New Roman" w:eastAsia="Times New Roman" w:hAnsi="Times New Roman" w:cs="Times New Roman"/>
          <w:b w:val="0"/>
          <w:i w:val="0"/>
          <w:color w:val="000000"/>
          <w:sz w:val="20"/>
          <w:u w:val="none"/>
        </w:rPr>
        <w:t>$317 million</w:t>
      </w:r>
      <w:r>
        <w:rPr>
          <w:rFonts w:ascii="Times New Roman" w:eastAsia="Times New Roman" w:hAnsi="Times New Roman" w:cs="Times New Roman"/>
          <w:b w:val="0"/>
          <w:i w:val="0"/>
          <w:color w:val="000000"/>
          <w:sz w:val="20"/>
          <w:u w:val="none"/>
        </w:rPr>
        <w:t xml:space="preserve"> as of </w:t>
      </w:r>
      <w:r>
        <w:rPr>
          <w:rFonts w:ascii="Times New Roman" w:eastAsia="Times New Roman" w:hAnsi="Times New Roman" w:cs="Times New Roman"/>
          <w:b w:val="0"/>
          <w:i w:val="0"/>
          <w:color w:val="000000"/>
          <w:sz w:val="20"/>
          <w:u w:val="none"/>
        </w:rPr>
        <w:t>December 31, 2024</w:t>
      </w:r>
      <w:r>
        <w:rPr>
          <w:rFonts w:ascii="Times New Roman" w:eastAsia="Times New Roman" w:hAnsi="Times New Roman" w:cs="Times New Roman"/>
          <w:b w:val="0"/>
          <w:i w:val="0"/>
          <w:color w:val="000000"/>
          <w:sz w:val="20"/>
          <w:u w:val="none"/>
        </w:rPr>
        <w:t xml:space="preserve">, and are included in accounts payable on the </w:t>
      </w:r>
      <w:r>
        <w:rPr>
          <w:rFonts w:ascii="Times New Roman" w:eastAsia="Times New Roman" w:hAnsi="Times New Roman" w:cs="Times New Roman"/>
          <w:b w:val="0"/>
          <w:i w:val="0"/>
          <w:color w:val="000000"/>
          <w:sz w:val="20"/>
          <w:u w:val="none"/>
        </w:rPr>
        <w:t>condensed consolidated</w:t>
      </w:r>
      <w:r>
        <w:rPr>
          <w:rFonts w:ascii="Times New Roman" w:eastAsia="Times New Roman" w:hAnsi="Times New Roman" w:cs="Times New Roman"/>
          <w:b w:val="0"/>
          <w:i w:val="0"/>
          <w:color w:val="000000"/>
          <w:sz w:val="20"/>
          <w:u w:val="none"/>
        </w:rPr>
        <w:t xml:space="preserve"> balance sheets.</w:t>
      </w:r>
    </w:p>
    <w:p>
      <w:pPr>
        <w:keepNext w:val="0"/>
        <w:keepLines w:val="0"/>
        <w:pageBreakBefore w:val="0"/>
        <w:widowControl/>
        <w:numPr>
          <w:ilvl w:val="0"/>
          <w:numId w:val="0"/>
        </w:numPr>
        <w:spacing w:before="0" w:after="160" w:line="288" w:lineRule="auto"/>
        <w:ind w:left="0" w:right="0" w:firstLine="720"/>
        <w:jc w:val="both"/>
        <w:outlineLvl w:val="9"/>
        <w:sectPr>
          <w:headerReference w:type="default" r:id="rId41"/>
          <w:footerReference w:type="default" r:id="rId42"/>
          <w:type w:val="continuous"/>
          <w:pgSz w:w="12240" w:h="15840"/>
          <w:pgMar w:top="900" w:right="990" w:bottom="900" w:left="990" w:header="270" w:footer="270"/>
          <w:cols w:space="708"/>
        </w:sectPr>
      </w:pPr>
    </w:p>
    <w:p>
      <w:pPr>
        <w:keepNext/>
        <w:keepLines/>
        <w:pageBreakBefore w:val="0"/>
        <w:widowControl w:val="0"/>
        <w:numPr>
          <w:ilvl w:val="0"/>
          <w:numId w:val="0"/>
        </w:numPr>
        <w:spacing w:before="0" w:after="160" w:line="288" w:lineRule="auto"/>
        <w:ind w:left="0" w:right="0" w:firstLine="0"/>
        <w:jc w:val="left"/>
        <w:outlineLvl w:val="2"/>
        <w:rPr>
          <w:rFonts w:ascii="Times New Roman" w:eastAsia="Times New Roman" w:hAnsi="Times New Roman" w:cs="Times New Roman"/>
          <w:b/>
          <w:i w:val="0"/>
          <w:sz w:val="20"/>
        </w:rPr>
      </w:pPr>
      <w:bookmarkStart w:id="21" w:name="Section22"/>
      <w:bookmarkEnd w:id="21"/>
      <w:r>
        <w:rPr>
          <w:rFonts w:ascii="Times New Roman" w:eastAsia="Times New Roman" w:hAnsi="Times New Roman" w:cs="Times New Roman"/>
          <w:b/>
          <w:i w:val="0"/>
          <w:sz w:val="20"/>
        </w:rPr>
        <w:t xml:space="preserve">Note </w:t>
      </w:r>
      <w:r>
        <w:rPr>
          <w:rFonts w:ascii="Times New Roman" w:eastAsia="Times New Roman" w:hAnsi="Times New Roman" w:cs="Times New Roman"/>
          <w:b/>
          <w:i w:val="0"/>
          <w:color w:val="000000"/>
          <w:sz w:val="20"/>
          <w:u w:val="none"/>
        </w:rPr>
        <w:t>7</w:t>
      </w:r>
      <w:r>
        <w:rPr>
          <w:rFonts w:ascii="Times New Roman" w:eastAsia="Times New Roman" w:hAnsi="Times New Roman" w:cs="Times New Roman"/>
          <w:b/>
          <w:i w:val="0"/>
          <w:sz w:val="20"/>
        </w:rPr>
        <w:t xml:space="preserve">. </w:t>
      </w:r>
      <w:r>
        <w:rPr>
          <w:rFonts w:ascii="Times New Roman" w:eastAsia="Times New Roman" w:hAnsi="Times New Roman" w:cs="Times New Roman"/>
          <w:b/>
          <w:i w:val="0"/>
          <w:color w:val="000000"/>
          <w:sz w:val="20"/>
          <w:u w:val="none"/>
        </w:rPr>
        <w:t>Income Taxes</w:t>
      </w:r>
    </w:p>
    <w:p>
      <w:pPr>
        <w:keepNext/>
        <w:keepLines/>
        <w:pageBreakBefore w:val="0"/>
        <w:widowControl w:val="0"/>
        <w:numPr>
          <w:ilvl w:val="0"/>
          <w:numId w:val="0"/>
        </w:numPr>
        <w:spacing w:before="0" w:after="160" w:line="288" w:lineRule="auto"/>
        <w:ind w:left="0" w:right="0" w:firstLine="0"/>
        <w:jc w:val="left"/>
        <w:outlineLvl w:val="2"/>
        <w:sectPr>
          <w:headerReference w:type="default" r:id="rId43"/>
          <w:footerReference w:type="default" r:id="rId44"/>
          <w:pgSz w:w="12240" w:h="15840"/>
          <w:pgMar w:top="900" w:right="990" w:bottom="900" w:left="990" w:header="270" w:footer="270"/>
          <w:cols w:space="708"/>
        </w:sectPr>
      </w:pPr>
    </w:p>
    <w:p>
      <w:pPr>
        <w:keepNext/>
        <w:keepLines/>
        <w:pageBreakBefore w:val="0"/>
        <w:widowControl w:val="0"/>
        <w:numPr>
          <w:ilvl w:val="0"/>
          <w:numId w:val="0"/>
        </w:numPr>
        <w:spacing w:before="0" w:after="160" w:line="288" w:lineRule="auto"/>
        <w:ind w:left="0" w:right="0" w:firstLine="720"/>
        <w:jc w:val="both"/>
        <w:outlineLvl w:val="3"/>
        <w:rPr>
          <w:rFonts w:ascii="Times New Roman" w:eastAsia="Times New Roman" w:hAnsi="Times New Roman" w:cs="Times New Roman"/>
          <w:b w:val="0"/>
          <w:i w:val="0"/>
          <w:sz w:val="20"/>
        </w:rPr>
      </w:pPr>
      <w:bookmarkStart w:id="22" w:name="Section23"/>
      <w:bookmarkEnd w:id="22"/>
      <w:r>
        <w:rPr>
          <w:rFonts w:ascii="Times New Roman" w:eastAsia="Times New Roman" w:hAnsi="Times New Roman" w:cs="Times New Roman"/>
          <w:b w:val="0"/>
          <w:i w:val="0"/>
          <w:color w:val="000000"/>
          <w:sz w:val="20"/>
          <w:u w:val="none"/>
        </w:rPr>
        <w:t xml:space="preserve">During the </w:t>
      </w:r>
      <w:r>
        <w:rPr>
          <w:rFonts w:ascii="Times New Roman" w:eastAsia="Times New Roman" w:hAnsi="Times New Roman" w:cs="Times New Roman"/>
          <w:b w:val="0"/>
          <w:i w:val="0"/>
          <w:color w:val="000000"/>
          <w:sz w:val="20"/>
          <w:u w:val="none"/>
        </w:rPr>
        <w:t>three months ended</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color w:val="000000"/>
          <w:sz w:val="20"/>
          <w:u w:val="none"/>
        </w:rPr>
        <w:t xml:space="preserve">, we recorded a total income tax </w:t>
      </w:r>
      <w:r>
        <w:rPr>
          <w:rFonts w:ascii="Times New Roman" w:eastAsia="Times New Roman" w:hAnsi="Times New Roman" w:cs="Times New Roman"/>
          <w:b w:val="0"/>
          <w:i w:val="0"/>
          <w:color w:val="000000"/>
          <w:sz w:val="20"/>
          <w:u w:val="none"/>
        </w:rPr>
        <w:t>provision</w:t>
      </w:r>
      <w:r>
        <w:rPr>
          <w:rFonts w:ascii="Times New Roman" w:eastAsia="Times New Roman" w:hAnsi="Times New Roman" w:cs="Times New Roman"/>
          <w:b w:val="0"/>
          <w:i w:val="0"/>
          <w:color w:val="000000"/>
          <w:sz w:val="20"/>
          <w:u w:val="none"/>
        </w:rPr>
        <w:t xml:space="preserve"> of</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$103 million</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on a pre-tax income of</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$306 million</w:t>
      </w:r>
      <w:r>
        <w:rPr>
          <w:rFonts w:ascii="Times New Roman" w:eastAsia="Times New Roman" w:hAnsi="Times New Roman" w:cs="Times New Roman"/>
          <w:b w:val="0"/>
          <w:i w:val="0"/>
          <w:color w:val="000000"/>
          <w:sz w:val="20"/>
          <w:u w:val="none"/>
        </w:rPr>
        <w:t>,</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 xml:space="preserve">resulting in an effective tax rate of </w:t>
      </w:r>
      <w:r>
        <w:rPr>
          <w:rFonts w:ascii="Times New Roman" w:eastAsia="Times New Roman" w:hAnsi="Times New Roman" w:cs="Times New Roman"/>
          <w:b w:val="0"/>
          <w:i w:val="0"/>
          <w:color w:val="000000"/>
          <w:sz w:val="20"/>
          <w:u w:val="none"/>
        </w:rPr>
        <w:t>33.7%</w:t>
      </w:r>
      <w:r>
        <w:rPr>
          <w:rFonts w:ascii="Times New Roman" w:eastAsia="Times New Roman" w:hAnsi="Times New Roman" w:cs="Times New Roman"/>
          <w:b w:val="0"/>
          <w:i w:val="0"/>
          <w:color w:val="000000"/>
          <w:sz w:val="20"/>
          <w:u w:val="none"/>
        </w:rPr>
        <w:t xml:space="preserve"> for the </w:t>
      </w:r>
      <w:r>
        <w:rPr>
          <w:rFonts w:ascii="Times New Roman" w:eastAsia="Times New Roman" w:hAnsi="Times New Roman" w:cs="Times New Roman"/>
          <w:b w:val="0"/>
          <w:i w:val="0"/>
          <w:color w:val="000000"/>
          <w:sz w:val="20"/>
          <w:u w:val="none"/>
        </w:rPr>
        <w:t>quarter</w:t>
      </w:r>
      <w:r>
        <w:rPr>
          <w:rFonts w:ascii="Times New Roman" w:eastAsia="Times New Roman" w:hAnsi="Times New Roman" w:cs="Times New Roman"/>
          <w:b w:val="0"/>
          <w:i w:val="0"/>
          <w:color w:val="000000"/>
          <w:sz w:val="20"/>
          <w:u w:val="none"/>
        </w:rPr>
        <w:t>.</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 xml:space="preserve">The effective tax rate for this period was primarily impacted by the additional valuation allowance recognized on our deferred tax assets, which resulted from the pre-tax </w:t>
      </w:r>
      <w:r>
        <w:rPr>
          <w:rFonts w:ascii="Times New Roman" w:eastAsia="Times New Roman" w:hAnsi="Times New Roman" w:cs="Times New Roman"/>
          <w:b w:val="0"/>
          <w:i w:val="0"/>
          <w:color w:val="000000"/>
          <w:sz w:val="20"/>
          <w:u w:val="none"/>
          <w:shd w:val="clear" w:color="auto" w:fill="FFFFFF"/>
        </w:rPr>
        <w:t xml:space="preserve"> </w:t>
      </w:r>
      <w:r>
        <w:rPr>
          <w:rFonts w:ascii="Times New Roman" w:eastAsia="Times New Roman" w:hAnsi="Times New Roman" w:cs="Times New Roman"/>
          <w:b w:val="0"/>
          <w:i w:val="0"/>
          <w:color w:val="000000"/>
          <w:sz w:val="20"/>
          <w:u w:val="none"/>
        </w:rPr>
        <w:t>$356 million</w:t>
      </w:r>
      <w:r>
        <w:rPr>
          <w:rFonts w:ascii="Times New Roman" w:eastAsia="Times New Roman" w:hAnsi="Times New Roman" w:cs="Times New Roman"/>
          <w:b w:val="0"/>
          <w:i w:val="0"/>
          <w:color w:val="000000"/>
          <w:sz w:val="20"/>
          <w:u w:val="none"/>
        </w:rPr>
        <w:t xml:space="preserve"> of impairments and other charges.</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During</w:t>
      </w:r>
      <w:r>
        <w:rPr>
          <w:rFonts w:ascii="Times New Roman" w:eastAsia="Times New Roman" w:hAnsi="Times New Roman" w:cs="Times New Roman"/>
          <w:b w:val="0"/>
          <w:i w:val="0"/>
          <w:color w:val="000000"/>
          <w:sz w:val="20"/>
          <w:u w:val="none"/>
        </w:rPr>
        <w:t xml:space="preserve"> the </w:t>
      </w:r>
      <w:r>
        <w:rPr>
          <w:rFonts w:ascii="Times New Roman" w:eastAsia="Times New Roman" w:hAnsi="Times New Roman" w:cs="Times New Roman"/>
          <w:b w:val="0"/>
          <w:i w:val="0"/>
          <w:color w:val="000000"/>
          <w:sz w:val="20"/>
          <w:u w:val="none"/>
        </w:rPr>
        <w:t>three months ended</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March 31, 2024</w:t>
      </w:r>
      <w:r>
        <w:rPr>
          <w:rFonts w:ascii="Times New Roman" w:eastAsia="Times New Roman" w:hAnsi="Times New Roman" w:cs="Times New Roman"/>
          <w:b w:val="0"/>
          <w:i w:val="0"/>
          <w:color w:val="000000"/>
          <w:sz w:val="20"/>
          <w:u w:val="none"/>
        </w:rPr>
        <w:t xml:space="preserve">, we recorded a total income tax </w:t>
      </w:r>
      <w:r>
        <w:rPr>
          <w:rFonts w:ascii="Times New Roman" w:eastAsia="Times New Roman" w:hAnsi="Times New Roman" w:cs="Times New Roman"/>
          <w:b w:val="0"/>
          <w:i w:val="0"/>
          <w:color w:val="000000"/>
          <w:sz w:val="20"/>
          <w:u w:val="none"/>
        </w:rPr>
        <w:t>provision</w:t>
      </w:r>
      <w:r>
        <w:rPr>
          <w:rFonts w:ascii="Times New Roman" w:eastAsia="Times New Roman" w:hAnsi="Times New Roman" w:cs="Times New Roman"/>
          <w:b w:val="0"/>
          <w:i w:val="0"/>
          <w:color w:val="000000"/>
          <w:sz w:val="20"/>
          <w:u w:val="none"/>
        </w:rPr>
        <w:t xml:space="preserve"> of </w:t>
      </w:r>
      <w:r>
        <w:rPr>
          <w:rFonts w:ascii="Times New Roman" w:eastAsia="Times New Roman" w:hAnsi="Times New Roman" w:cs="Times New Roman"/>
          <w:b w:val="0"/>
          <w:i w:val="0"/>
          <w:color w:val="000000"/>
          <w:sz w:val="20"/>
          <w:u w:val="none"/>
        </w:rPr>
        <w:t>$178 million</w:t>
      </w:r>
      <w:r>
        <w:rPr>
          <w:rFonts w:ascii="Times New Roman" w:eastAsia="Times New Roman" w:hAnsi="Times New Roman" w:cs="Times New Roman"/>
          <w:b w:val="0"/>
          <w:i w:val="0"/>
          <w:color w:val="000000"/>
          <w:sz w:val="20"/>
          <w:u w:val="none"/>
        </w:rPr>
        <w:t xml:space="preserve"> on a pre-tax income of </w:t>
      </w:r>
      <w:r>
        <w:rPr>
          <w:rFonts w:ascii="Times New Roman" w:eastAsia="Times New Roman" w:hAnsi="Times New Roman" w:cs="Times New Roman"/>
          <w:b w:val="0"/>
          <w:i w:val="0"/>
          <w:color w:val="000000"/>
          <w:sz w:val="20"/>
          <w:u w:val="none"/>
        </w:rPr>
        <w:t>$787 million</w:t>
      </w:r>
      <w:r>
        <w:rPr>
          <w:rFonts w:ascii="Times New Roman" w:eastAsia="Times New Roman" w:hAnsi="Times New Roman" w:cs="Times New Roman"/>
          <w:b w:val="0"/>
          <w:i w:val="0"/>
          <w:color w:val="000000"/>
          <w:sz w:val="20"/>
          <w:u w:val="none"/>
        </w:rPr>
        <w:t xml:space="preserve">, resulting in an effective tax rate of </w:t>
      </w:r>
      <w:r>
        <w:rPr>
          <w:rFonts w:ascii="Times New Roman" w:eastAsia="Times New Roman" w:hAnsi="Times New Roman" w:cs="Times New Roman"/>
          <w:b w:val="0"/>
          <w:i w:val="0"/>
          <w:color w:val="000000"/>
          <w:sz w:val="20"/>
          <w:u w:val="none"/>
        </w:rPr>
        <w:t>22.6%</w:t>
      </w:r>
      <w:r>
        <w:rPr>
          <w:rFonts w:ascii="Times New Roman" w:eastAsia="Times New Roman" w:hAnsi="Times New Roman" w:cs="Times New Roman"/>
          <w:b w:val="0"/>
          <w:i w:val="0"/>
          <w:color w:val="000000"/>
          <w:sz w:val="20"/>
          <w:u w:val="none"/>
        </w:rPr>
        <w:t xml:space="preserve"> for the</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quarter</w:t>
      </w:r>
      <w:r>
        <w:rPr>
          <w:rFonts w:ascii="Times New Roman" w:eastAsia="Times New Roman" w:hAnsi="Times New Roman" w:cs="Times New Roman"/>
          <w:b w:val="0"/>
          <w:i w:val="0"/>
          <w:color w:val="000000"/>
          <w:sz w:val="20"/>
          <w:u w:val="none"/>
        </w:rPr>
        <w:t>.</w:t>
      </w:r>
    </w:p>
    <w:p>
      <w:pPr>
        <w:keepNext/>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i/>
          <w:color w:val="000000"/>
          <w:sz w:val="20"/>
          <w:u w:val="none"/>
        </w:rPr>
      </w:pPr>
      <w:r>
        <w:rPr>
          <w:rFonts w:ascii="Times New Roman" w:eastAsia="Times New Roman" w:hAnsi="Times New Roman" w:cs="Times New Roman"/>
          <w:b w:val="0"/>
          <w:i w:val="0"/>
          <w:color w:val="000000"/>
          <w:sz w:val="20"/>
          <w:u w:val="none"/>
        </w:rPr>
        <w:t xml:space="preserve">Our tax returns are subject to review by the taxing authorities in the jurisdictions where we file tax returns. In most cases we are no longer subject to examination by tax authorities for years </w:t>
      </w:r>
      <w:r>
        <w:rPr>
          <w:rFonts w:ascii="Times New Roman" w:eastAsia="Times New Roman" w:hAnsi="Times New Roman" w:cs="Times New Roman"/>
          <w:b w:val="0"/>
          <w:i w:val="0"/>
          <w:color w:val="000000"/>
          <w:sz w:val="20"/>
          <w:u w:val="none"/>
        </w:rPr>
        <w:t>before 201</w:t>
      </w:r>
      <w:r>
        <w:rPr>
          <w:rFonts w:ascii="Times New Roman" w:eastAsia="Times New Roman" w:hAnsi="Times New Roman" w:cs="Times New Roman"/>
          <w:b w:val="0"/>
          <w:i w:val="0"/>
          <w:color w:val="000000"/>
          <w:sz w:val="20"/>
          <w:u w:val="none"/>
        </w:rPr>
        <w:t>3</w:t>
      </w:r>
      <w:r>
        <w:rPr>
          <w:rFonts w:ascii="Times New Roman" w:eastAsia="Times New Roman" w:hAnsi="Times New Roman" w:cs="Times New Roman"/>
          <w:b w:val="0"/>
          <w:i w:val="0"/>
          <w:color w:val="000000"/>
          <w:sz w:val="20"/>
          <w:u w:val="none"/>
        </w:rPr>
        <w:t>.</w:t>
      </w:r>
      <w:r>
        <w:rPr>
          <w:rFonts w:ascii="Times New Roman" w:eastAsia="Times New Roman" w:hAnsi="Times New Roman" w:cs="Times New Roman"/>
          <w:b w:val="0"/>
          <w:i w:val="0"/>
          <w:color w:val="000000"/>
          <w:sz w:val="20"/>
          <w:u w:val="none"/>
        </w:rPr>
        <w:t xml:space="preserve"> The only significant operating jurisdiction that has tax filings under review or subject to examination by the tax authorities is the United States. The United States federal income tax filings for </w:t>
      </w:r>
      <w:r>
        <w:rPr>
          <w:rFonts w:ascii="Times New Roman" w:eastAsia="Times New Roman" w:hAnsi="Times New Roman" w:cs="Times New Roman"/>
          <w:b w:val="0"/>
          <w:i w:val="0"/>
          <w:color w:val="000000"/>
          <w:sz w:val="20"/>
          <w:u w:val="none"/>
        </w:rPr>
        <w:t>tax years 2016 through 2023</w:t>
      </w:r>
      <w:r>
        <w:rPr>
          <w:rFonts w:ascii="Times New Roman" w:eastAsia="Times New Roman" w:hAnsi="Times New Roman" w:cs="Times New Roman"/>
          <w:b w:val="0"/>
          <w:i w:val="0"/>
          <w:color w:val="000000"/>
          <w:sz w:val="20"/>
          <w:u w:val="none"/>
        </w:rPr>
        <w:t xml:space="preserve"> are currently under review or remain open for review by the Internal Revenue Service (the IRS).</w:t>
      </w:r>
    </w:p>
    <w:p>
      <w:pPr>
        <w:keepNext/>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As of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color w:val="000000"/>
          <w:sz w:val="20"/>
          <w:u w:val="none"/>
        </w:rPr>
        <w:t xml:space="preserve">, the primary unresolved issue for the </w:t>
      </w:r>
      <w:r>
        <w:rPr>
          <w:rFonts w:ascii="Times New Roman" w:eastAsia="Times New Roman" w:hAnsi="Times New Roman" w:cs="Times New Roman"/>
          <w:b w:val="0"/>
          <w:i w:val="0"/>
          <w:color w:val="000000"/>
          <w:sz w:val="20"/>
          <w:u w:val="none"/>
        </w:rPr>
        <w:t xml:space="preserve">IRS audit for 2016 </w:t>
      </w:r>
      <w:r>
        <w:rPr>
          <w:rFonts w:ascii="Times New Roman" w:eastAsia="Times New Roman" w:hAnsi="Times New Roman" w:cs="Times New Roman"/>
          <w:b w:val="0"/>
          <w:i w:val="0"/>
          <w:color w:val="000000"/>
          <w:sz w:val="20"/>
          <w:u w:val="none"/>
        </w:rPr>
        <w:t xml:space="preserve">relates to the classification of the </w:t>
      </w:r>
      <w:r>
        <w:rPr>
          <w:rFonts w:ascii="Times New Roman" w:eastAsia="Times New Roman" w:hAnsi="Times New Roman" w:cs="Times New Roman"/>
          <w:b w:val="0"/>
          <w:i w:val="0"/>
          <w:color w:val="000000"/>
          <w:sz w:val="20"/>
          <w:u w:val="none"/>
        </w:rPr>
        <w:t>$3.5 billion</w:t>
      </w:r>
      <w:r>
        <w:rPr>
          <w:rFonts w:ascii="Times New Roman" w:eastAsia="Times New Roman" w:hAnsi="Times New Roman" w:cs="Times New Roman"/>
          <w:b w:val="0"/>
          <w:i w:val="0"/>
          <w:color w:val="000000"/>
          <w:sz w:val="20"/>
          <w:u w:val="none"/>
        </w:rPr>
        <w:t xml:space="preserve"> ordinary deduction that we claimed for the termination fee we paid to Baker Hughes in the second quarter of 2016 for which we received a Notice of Proposed Adjustment (NOPA) from the IRS on September 28, </w:t>
      </w:r>
      <w:r>
        <w:rPr>
          <w:rFonts w:ascii="Times New Roman" w:eastAsia="Times New Roman" w:hAnsi="Times New Roman" w:cs="Times New Roman"/>
          <w:b w:val="0"/>
          <w:i w:val="0"/>
          <w:color w:val="000000"/>
          <w:sz w:val="20"/>
          <w:u w:val="none"/>
        </w:rPr>
        <w:t>2023</w:t>
      </w:r>
      <w:r>
        <w:rPr>
          <w:rFonts w:ascii="Times New Roman" w:eastAsia="Times New Roman" w:hAnsi="Times New Roman" w:cs="Times New Roman"/>
          <w:b w:val="0"/>
          <w:i w:val="0"/>
          <w:color w:val="000000"/>
          <w:sz w:val="20"/>
          <w:u w:val="none"/>
        </w:rPr>
        <w:t>. We regularly assess the likelihood of adverse outcomes resulting from tax examinations to determine the adequacy of our tax reserves, and we believe our income tax reserves are appropriately provided for all open tax years. We do not expect a final resolution of this issue in the next twelve months.</w:t>
      </w:r>
    </w:p>
    <w:p>
      <w:pPr>
        <w:keepNext/>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Based on the information currently available, we do not anticipate a significant increase or decrease to our tax contingencies within the next twelve months.</w:t>
      </w:r>
    </w:p>
    <w:p>
      <w:pPr>
        <w:keepNext/>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I</w:t>
      </w:r>
      <w:r>
        <w:rPr>
          <w:rFonts w:ascii="Times New Roman" w:eastAsia="Times New Roman" w:hAnsi="Times New Roman" w:cs="Times New Roman"/>
          <w:b w:val="0"/>
          <w:i w:val="0"/>
          <w:color w:val="000000"/>
          <w:sz w:val="20"/>
          <w:u w:val="none"/>
        </w:rPr>
        <w:t xml:space="preserve">n December 2023, the Financial Accounting Standards Board (FASB) issued Accounting Standards Update (ASU) 2023-09, </w:t>
      </w:r>
      <w:r>
        <w:rPr>
          <w:rFonts w:ascii="Times New Roman" w:eastAsia="Times New Roman" w:hAnsi="Times New Roman" w:cs="Times New Roman"/>
          <w:b w:val="0"/>
          <w:i/>
          <w:color w:val="000000"/>
          <w:sz w:val="20"/>
          <w:u w:val="none"/>
        </w:rPr>
        <w:t>Income Taxes (Topic 740): Improvements to Income Tax Disclosures</w:t>
      </w:r>
      <w:r>
        <w:rPr>
          <w:rFonts w:ascii="Times New Roman" w:eastAsia="Times New Roman" w:hAnsi="Times New Roman" w:cs="Times New Roman"/>
          <w:b w:val="0"/>
          <w:i w:val="0"/>
          <w:color w:val="000000"/>
          <w:sz w:val="20"/>
          <w:u w:val="none"/>
        </w:rPr>
        <w:t>, which requires greater disaggregation of income tax disclosures. The new standard requires additional information to be disclosed with respect to the income tax rate reconciliation and income taxes paid disaggregated by jurisdiction. This ASU should be applied prospectively for fiscal years beginning after December 15, 2024, with retrospective application permitted. The Company will adopt this standard for the Form 10-K for the year ending December 31, 2025, on a prospective basis. The Company is currently evaluating these new disclosure requirements and does not expect the adoption to have a material impact.</w:t>
      </w:r>
      <w:r>
        <w:rPr>
          <w:rFonts w:ascii="Times New Roman" w:eastAsia="Times New Roman" w:hAnsi="Times New Roman" w:cs="Times New Roman"/>
          <w:b w:val="0"/>
          <w:i w:val="0"/>
          <w:sz w:val="20"/>
        </w:rPr>
        <w:t xml:space="preserve"> </w:t>
      </w:r>
    </w:p>
    <w:p>
      <w:pPr>
        <w:keepNext/>
        <w:keepLines/>
        <w:pageBreakBefore w:val="0"/>
        <w:widowControl w:val="0"/>
        <w:numPr>
          <w:ilvl w:val="0"/>
          <w:numId w:val="0"/>
        </w:numPr>
        <w:spacing w:before="0" w:after="160" w:line="288" w:lineRule="auto"/>
        <w:ind w:left="0" w:right="0" w:firstLine="720"/>
        <w:jc w:val="both"/>
        <w:outlineLvl w:val="9"/>
        <w:sectPr>
          <w:headerReference w:type="default" r:id="rId45"/>
          <w:footerReference w:type="default" r:id="rId46"/>
          <w:type w:val="continuous"/>
          <w:pgSz w:w="12240" w:h="15840"/>
          <w:pgMar w:top="900" w:right="990" w:bottom="900" w:left="990" w:header="270" w:footer="270"/>
          <w:cols w:space="708"/>
        </w:sectPr>
      </w:pPr>
    </w:p>
    <w:p>
      <w:pPr>
        <w:keepNext w:val="0"/>
        <w:keepLines w:val="0"/>
        <w:pageBreakBefore w:val="0"/>
        <w:widowControl/>
        <w:numPr>
          <w:ilvl w:val="0"/>
          <w:numId w:val="0"/>
        </w:numPr>
        <w:spacing w:before="0" w:after="160" w:line="288" w:lineRule="auto"/>
        <w:ind w:left="0" w:right="0" w:firstLine="0"/>
        <w:jc w:val="left"/>
        <w:outlineLvl w:val="2"/>
        <w:rPr>
          <w:rFonts w:ascii="Times New Roman" w:eastAsia="Times New Roman" w:hAnsi="Times New Roman" w:cs="Times New Roman"/>
          <w:b/>
          <w:i w:val="0"/>
          <w:sz w:val="20"/>
        </w:rPr>
      </w:pPr>
      <w:bookmarkStart w:id="23" w:name="Section24"/>
      <w:bookmarkEnd w:id="23"/>
      <w:r>
        <w:rPr>
          <w:rFonts w:ascii="Times New Roman" w:eastAsia="Times New Roman" w:hAnsi="Times New Roman" w:cs="Times New Roman"/>
          <w:b/>
          <w:i w:val="0"/>
          <w:sz w:val="20"/>
        </w:rPr>
        <w:t xml:space="preserve">Note </w:t>
      </w:r>
      <w:r>
        <w:rPr>
          <w:rFonts w:ascii="Times New Roman" w:eastAsia="Times New Roman" w:hAnsi="Times New Roman" w:cs="Times New Roman"/>
          <w:b/>
          <w:i w:val="0"/>
          <w:color w:val="000000"/>
          <w:sz w:val="20"/>
          <w:u w:val="none"/>
        </w:rPr>
        <w:t>8</w:t>
      </w:r>
      <w:r>
        <w:rPr>
          <w:rFonts w:ascii="Times New Roman" w:eastAsia="Times New Roman" w:hAnsi="Times New Roman" w:cs="Times New Roman"/>
          <w:b/>
          <w:i w:val="0"/>
          <w:sz w:val="20"/>
        </w:rPr>
        <w:t xml:space="preserve">. </w:t>
      </w:r>
      <w:r>
        <w:rPr>
          <w:rFonts w:ascii="Times New Roman" w:eastAsia="Times New Roman" w:hAnsi="Times New Roman" w:cs="Times New Roman"/>
          <w:b/>
          <w:i w:val="0"/>
          <w:color w:val="000000"/>
          <w:sz w:val="20"/>
          <w:u w:val="none"/>
        </w:rPr>
        <w:t>Shareholders' Equity</w:t>
      </w:r>
    </w:p>
    <w:p>
      <w:pPr>
        <w:keepNext w:val="0"/>
        <w:keepLines w:val="0"/>
        <w:pageBreakBefore w:val="0"/>
        <w:widowControl/>
        <w:numPr>
          <w:ilvl w:val="0"/>
          <w:numId w:val="0"/>
        </w:numPr>
        <w:spacing w:before="0" w:after="160" w:line="288" w:lineRule="auto"/>
        <w:ind w:left="0" w:right="0" w:firstLine="0"/>
        <w:jc w:val="left"/>
        <w:outlineLvl w:val="2"/>
        <w:sectPr>
          <w:headerReference w:type="default" r:id="rId47"/>
          <w:footerReference w:type="default" r:id="rId48"/>
          <w:pgSz w:w="12240" w:h="15840"/>
          <w:pgMar w:top="900" w:right="990" w:bottom="900" w:left="990" w:header="270" w:footer="270"/>
          <w:cols w:space="708"/>
        </w:sectPr>
      </w:pPr>
    </w:p>
    <w:p>
      <w:pPr>
        <w:keepNext/>
        <w:keepLines/>
        <w:pageBreakBefore w:val="0"/>
        <w:widowControl w:val="0"/>
        <w:numPr>
          <w:ilvl w:val="0"/>
          <w:numId w:val="0"/>
        </w:numPr>
        <w:spacing w:before="0" w:after="0" w:line="288" w:lineRule="auto"/>
        <w:ind w:left="0" w:right="0" w:firstLine="720"/>
        <w:jc w:val="left"/>
        <w:outlineLvl w:val="3"/>
        <w:rPr>
          <w:rFonts w:ascii="Times New Roman" w:eastAsia="Times New Roman" w:hAnsi="Times New Roman" w:cs="Times New Roman"/>
          <w:b w:val="0"/>
          <w:i w:val="0"/>
          <w:sz w:val="20"/>
        </w:rPr>
      </w:pPr>
      <w:bookmarkStart w:id="24" w:name="Section25"/>
      <w:bookmarkEnd w:id="24"/>
      <w:r>
        <w:rPr>
          <w:rFonts w:ascii="Times New Roman" w:eastAsia="Times New Roman" w:hAnsi="Times New Roman" w:cs="Times New Roman"/>
          <w:b w:val="0"/>
          <w:i w:val="0"/>
          <w:color w:val="000000"/>
          <w:sz w:val="20"/>
          <w:u w:val="none"/>
        </w:rPr>
        <w:t xml:space="preserve">The following tables </w:t>
      </w:r>
      <w:r>
        <w:rPr>
          <w:rFonts w:ascii="Times New Roman" w:eastAsia="Times New Roman" w:hAnsi="Times New Roman" w:cs="Times New Roman"/>
          <w:b w:val="0"/>
          <w:i w:val="0"/>
          <w:color w:val="000000"/>
          <w:sz w:val="20"/>
          <w:u w:val="none"/>
        </w:rPr>
        <w:t>summarize</w:t>
      </w:r>
      <w:r>
        <w:rPr>
          <w:rFonts w:ascii="Times New Roman" w:eastAsia="Times New Roman" w:hAnsi="Times New Roman" w:cs="Times New Roman"/>
          <w:b w:val="0"/>
          <w:i w:val="0"/>
          <w:color w:val="000000"/>
          <w:sz w:val="20"/>
          <w:u w:val="none"/>
        </w:rPr>
        <w:t xml:space="preserve"> our shareholders’ equity activity for the </w:t>
      </w:r>
      <w:r>
        <w:rPr>
          <w:rFonts w:ascii="Times New Roman" w:eastAsia="Times New Roman" w:hAnsi="Times New Roman" w:cs="Times New Roman"/>
          <w:b w:val="0"/>
          <w:i w:val="0"/>
          <w:color w:val="000000"/>
          <w:sz w:val="20"/>
          <w:u w:val="none"/>
        </w:rPr>
        <w:t>three months ended</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color w:val="000000"/>
          <w:sz w:val="20"/>
          <w:u w:val="none"/>
        </w:rPr>
        <w:t xml:space="preserve"> and </w:t>
      </w:r>
      <w:r>
        <w:rPr>
          <w:rFonts w:ascii="Times New Roman" w:eastAsia="Times New Roman" w:hAnsi="Times New Roman" w:cs="Times New Roman"/>
          <w:b w:val="0"/>
          <w:i w:val="0"/>
          <w:color w:val="000000"/>
          <w:sz w:val="20"/>
          <w:u w:val="none"/>
        </w:rPr>
        <w:t>March 31, 2024</w:t>
      </w:r>
      <w:r>
        <w:rPr>
          <w:rFonts w:ascii="Times New Roman" w:eastAsia="Times New Roman" w:hAnsi="Times New Roman" w:cs="Times New Roman"/>
          <w:b w:val="0"/>
          <w:i w:val="0"/>
          <w:color w:val="000000"/>
          <w:sz w:val="20"/>
          <w:u w:val="none"/>
        </w:rPr>
        <w:t>, respectively:</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895"/>
        <w:gridCol w:w="735"/>
        <w:gridCol w:w="795"/>
        <w:gridCol w:w="705"/>
        <w:gridCol w:w="675"/>
        <w:gridCol w:w="1095"/>
        <w:gridCol w:w="1080"/>
        <w:gridCol w:w="840"/>
      </w:tblGrid>
      <w:tr>
        <w:tblPrEx>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840"/>
          <w:jc w:val="center"/>
        </w:trPr>
        <w:tc>
          <w:tcPr>
            <w:tcW w:w="2895"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color w:val="000000"/>
                <w:sz w:val="16"/>
                <w:u w:val="none"/>
              </w:rPr>
              <w:t>Millions of dollars</w:t>
            </w:r>
          </w:p>
        </w:tc>
        <w:tc>
          <w:tcPr>
            <w:tcW w:w="735"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5"/>
                <w:u w:val="none"/>
              </w:rPr>
              <w:t>Common Stock</w:t>
            </w:r>
          </w:p>
        </w:tc>
        <w:tc>
          <w:tcPr>
            <w:tcW w:w="795"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5"/>
                <w:u w:val="none"/>
              </w:rPr>
              <w:t>Paid-in Capital in Excess of Par Value</w:t>
            </w:r>
          </w:p>
        </w:tc>
        <w:tc>
          <w:tcPr>
            <w:tcW w:w="705"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5"/>
                <w:u w:val="none"/>
              </w:rPr>
              <w:t>Treasury Stock</w:t>
            </w:r>
          </w:p>
        </w:tc>
        <w:tc>
          <w:tcPr>
            <w:tcW w:w="675"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5"/>
                <w:u w:val="none"/>
              </w:rPr>
              <w:t>Retained Earnings</w:t>
            </w:r>
          </w:p>
        </w:tc>
        <w:tc>
          <w:tcPr>
            <w:tcW w:w="1095"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5"/>
                <w:u w:val="none"/>
              </w:rPr>
              <w:t>Accumulated Other Comprehensive Income (Loss)</w:t>
            </w:r>
          </w:p>
        </w:tc>
        <w:tc>
          <w:tcPr>
            <w:tcW w:w="1080"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5"/>
                <w:u w:val="none"/>
              </w:rPr>
              <w:t>Noncontrolling Interest in Consolidated Subsidiaries</w:t>
            </w:r>
          </w:p>
        </w:tc>
        <w:tc>
          <w:tcPr>
            <w:tcW w:w="840"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5"/>
                <w:u w:val="none"/>
              </w:rPr>
              <w:t>Total</w:t>
            </w:r>
          </w:p>
        </w:tc>
      </w:tr>
      <w:tr>
        <w:tblPrEx>
          <w:tblW w:w="8820" w:type="dxa"/>
          <w:jc w:val="center"/>
          <w:tblLayout w:type="fixed"/>
          <w:tblCellMar>
            <w:left w:w="108" w:type="dxa"/>
            <w:right w:w="108" w:type="dxa"/>
          </w:tblCellMar>
        </w:tblPrEx>
        <w:trPr>
          <w:cantSplit/>
          <w:trHeight w:hRule="exact" w:val="300"/>
          <w:jc w:val="center"/>
        </w:trPr>
        <w:tc>
          <w:tcPr>
            <w:tcW w:w="2895" w:type="dxa"/>
            <w:tcBorders>
              <w:top w:val="single" w:sz="8" w:space="0" w:color="000000"/>
              <w:left w:val="nil"/>
              <w:bottom w:val="double" w:sz="8" w:space="0" w:color="000000"/>
              <w:right w:val="nil"/>
            </w:tcBorders>
            <w:shd w:val="clear" w:color="auto" w:fill="CCEEFF"/>
            <w:tcMar>
              <w:top w:w="0" w:type="dxa"/>
              <w:left w:w="53" w:type="dxa"/>
              <w:bottom w:w="0" w:type="dxa"/>
              <w:right w:w="15"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6"/>
                <w:u w:val="none"/>
              </w:rPr>
              <w:t>Balance at December 31, 2024</w:t>
            </w:r>
          </w:p>
        </w:tc>
        <w:tc>
          <w:tcPr>
            <w:tcW w:w="73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278"/>
                <w:tab w:val="left" w:pos="667"/>
              </w:tabs>
              <w:spacing w:before="55" w:after="30" w:line="240" w:lineRule="auto"/>
              <w:jc w:val="right"/>
            </w:pPr>
            <w:r>
              <w:rPr>
                <w:rFonts w:ascii="Times New Roman" w:eastAsia="Times New Roman" w:hAnsi="Times New Roman" w:cs="Times New Roman"/>
                <w:b/>
                <w:i w:val="0"/>
                <w:color w:val="000000"/>
                <w:sz w:val="15"/>
                <w:u w:val="none"/>
              </w:rPr>
              <w:t>$</w:t>
              <w:tab/>
              <w:t>2,662</w:t>
              <w:tab/>
            </w:r>
          </w:p>
        </w:tc>
        <w:tc>
          <w:tcPr>
            <w:tcW w:w="7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526"/>
                <w:tab w:val="left" w:pos="727"/>
              </w:tabs>
              <w:spacing w:before="55" w:after="30" w:line="240" w:lineRule="auto"/>
              <w:jc w:val="right"/>
            </w:pPr>
            <w:r>
              <w:rPr>
                <w:rFonts w:ascii="Times New Roman" w:eastAsia="Times New Roman" w:hAnsi="Times New Roman" w:cs="Times New Roman"/>
                <w:b/>
                <w:i w:val="0"/>
                <w:color w:val="000000"/>
                <w:sz w:val="15"/>
                <w:u w:val="none"/>
              </w:rPr>
              <w:t>$</w:t>
              <w:tab/>
              <w:t>79</w:t>
              <w:tab/>
            </w:r>
          </w:p>
        </w:tc>
        <w:tc>
          <w:tcPr>
            <w:tcW w:w="7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178"/>
                <w:tab w:val="left" w:pos="637"/>
              </w:tabs>
              <w:spacing w:before="55" w:after="30" w:line="240" w:lineRule="auto"/>
              <w:jc w:val="right"/>
            </w:pPr>
            <w:r>
              <w:rPr>
                <w:rFonts w:ascii="Times New Roman" w:eastAsia="Times New Roman" w:hAnsi="Times New Roman" w:cs="Times New Roman"/>
                <w:b/>
                <w:i w:val="0"/>
                <w:color w:val="000000"/>
                <w:sz w:val="15"/>
                <w:u w:val="none"/>
              </w:rPr>
              <w:t>$</w:t>
              <w:tab/>
              <w:t>(6,214)</w:t>
              <w:tab/>
            </w:r>
          </w:p>
        </w:tc>
        <w:tc>
          <w:tcPr>
            <w:tcW w:w="67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143"/>
                <w:tab w:val="left" w:pos="607"/>
              </w:tabs>
              <w:spacing w:before="55" w:after="30" w:line="240" w:lineRule="auto"/>
              <w:jc w:val="right"/>
            </w:pPr>
            <w:r>
              <w:rPr>
                <w:rFonts w:ascii="Times New Roman" w:eastAsia="Times New Roman" w:hAnsi="Times New Roman" w:cs="Times New Roman"/>
                <w:b/>
                <w:i w:val="0"/>
                <w:color w:val="000000"/>
                <w:sz w:val="15"/>
                <w:u w:val="none"/>
              </w:rPr>
              <w:t>$</w:t>
              <w:tab/>
              <w:t>14,332</w:t>
              <w:tab/>
            </w:r>
          </w:p>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681"/>
                <w:tab w:val="left" w:pos="1027"/>
              </w:tabs>
              <w:spacing w:before="55" w:after="30" w:line="240" w:lineRule="auto"/>
              <w:jc w:val="right"/>
            </w:pPr>
            <w:r>
              <w:rPr>
                <w:rFonts w:ascii="Times New Roman" w:eastAsia="Times New Roman" w:hAnsi="Times New Roman" w:cs="Times New Roman"/>
                <w:b/>
                <w:i w:val="0"/>
                <w:color w:val="000000"/>
                <w:sz w:val="15"/>
                <w:u w:val="none"/>
              </w:rPr>
              <w:t>$</w:t>
              <w:tab/>
              <w:t>(353)</w:t>
              <w:tab/>
            </w:r>
          </w:p>
        </w:tc>
        <w:tc>
          <w:tcPr>
            <w:tcW w:w="108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811"/>
                <w:tab w:val="left" w:pos="1012"/>
              </w:tabs>
              <w:spacing w:before="55" w:after="30" w:line="240" w:lineRule="auto"/>
              <w:jc w:val="right"/>
            </w:pPr>
            <w:r>
              <w:rPr>
                <w:rFonts w:ascii="Times New Roman" w:eastAsia="Times New Roman" w:hAnsi="Times New Roman" w:cs="Times New Roman"/>
                <w:b/>
                <w:i w:val="0"/>
                <w:color w:val="000000"/>
                <w:sz w:val="15"/>
                <w:u w:val="none"/>
              </w:rPr>
              <w:t>$</w:t>
              <w:tab/>
              <w:t>42</w:t>
              <w:tab/>
            </w:r>
          </w:p>
        </w:tc>
        <w:tc>
          <w:tcPr>
            <w:tcW w:w="84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308"/>
                <w:tab w:val="left" w:pos="772"/>
              </w:tabs>
              <w:spacing w:before="55" w:after="30" w:line="240" w:lineRule="auto"/>
              <w:jc w:val="right"/>
            </w:pPr>
            <w:r>
              <w:rPr>
                <w:rFonts w:ascii="Times New Roman" w:eastAsia="Times New Roman" w:hAnsi="Times New Roman" w:cs="Times New Roman"/>
                <w:b/>
                <w:i w:val="0"/>
                <w:color w:val="000000"/>
                <w:sz w:val="15"/>
                <w:u w:val="none"/>
              </w:rPr>
              <w:t>$</w:t>
              <w:tab/>
              <w:t>10,548</w:t>
              <w:tab/>
            </w:r>
          </w:p>
        </w:tc>
      </w:tr>
      <w:tr>
        <w:tblPrEx>
          <w:tblW w:w="8820" w:type="dxa"/>
          <w:jc w:val="center"/>
          <w:tblLayout w:type="fixed"/>
          <w:tblCellMar>
            <w:left w:w="108" w:type="dxa"/>
            <w:right w:w="108" w:type="dxa"/>
          </w:tblCellMar>
        </w:tblPrEx>
        <w:trPr>
          <w:cantSplit/>
          <w:trHeight w:hRule="exact" w:val="300"/>
          <w:jc w:val="center"/>
        </w:trPr>
        <w:tc>
          <w:tcPr>
            <w:tcW w:w="2895" w:type="dxa"/>
            <w:tcBorders>
              <w:top w:val="double" w:sz="8" w:space="0" w:color="000000"/>
              <w:left w:val="nil"/>
              <w:bottom w:val="nil"/>
              <w:right w:val="nil"/>
            </w:tcBorders>
            <w:shd w:val="clear" w:color="auto" w:fill="FFFFFF"/>
            <w:tcMar>
              <w:top w:w="0" w:type="dxa"/>
              <w:left w:w="53" w:type="dxa"/>
              <w:bottom w:w="0" w:type="dxa"/>
              <w:right w:w="15" w:type="dxa"/>
            </w:tcMar>
            <w:vAlign w:val="bottom"/>
          </w:tcPr>
          <w:p>
            <w:pPr>
              <w:keepNext/>
              <w:pageBreakBefore w:val="0"/>
              <w:spacing w:before="15" w:after="30" w:line="240" w:lineRule="auto"/>
              <w:jc w:val="left"/>
            </w:pPr>
            <w:r>
              <w:rPr>
                <w:rFonts w:ascii="Times New Roman" w:eastAsia="Times New Roman" w:hAnsi="Times New Roman" w:cs="Times New Roman"/>
                <w:b/>
                <w:i w:val="0"/>
                <w:color w:val="000000"/>
                <w:sz w:val="16"/>
                <w:u w:val="none"/>
              </w:rPr>
              <w:t>Comprehensive income (loss):</w:t>
            </w:r>
          </w:p>
        </w:tc>
        <w:tc>
          <w:tcPr>
            <w:tcW w:w="73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spacing w:before="15" w:after="30" w:line="240" w:lineRule="auto"/>
              <w:jc w:val="right"/>
            </w:pPr>
          </w:p>
        </w:tc>
        <w:tc>
          <w:tcPr>
            <w:tcW w:w="79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spacing w:before="15" w:after="30" w:line="240" w:lineRule="auto"/>
              <w:jc w:val="right"/>
            </w:pPr>
          </w:p>
        </w:tc>
        <w:tc>
          <w:tcPr>
            <w:tcW w:w="70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spacing w:before="15" w:after="30" w:line="240" w:lineRule="auto"/>
              <w:jc w:val="right"/>
            </w:pPr>
          </w:p>
        </w:tc>
        <w:tc>
          <w:tcPr>
            <w:tcW w:w="67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spacing w:before="15" w:after="30" w:line="240" w:lineRule="auto"/>
              <w:jc w:val="right"/>
            </w:pPr>
          </w:p>
        </w:tc>
        <w:tc>
          <w:tcPr>
            <w:tcW w:w="109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spacing w:before="15" w:after="30" w:line="240" w:lineRule="auto"/>
              <w:jc w:val="right"/>
            </w:pPr>
          </w:p>
        </w:tc>
        <w:tc>
          <w:tcPr>
            <w:tcW w:w="108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spacing w:before="15" w:after="30" w:line="240" w:lineRule="auto"/>
              <w:jc w:val="right"/>
            </w:pPr>
          </w:p>
        </w:tc>
        <w:tc>
          <w:tcPr>
            <w:tcW w:w="84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spacing w:before="15" w:after="30" w:line="240" w:lineRule="auto"/>
              <w:jc w:val="right"/>
            </w:pPr>
          </w:p>
        </w:tc>
      </w:tr>
      <w:tr>
        <w:tblPrEx>
          <w:tblW w:w="8820" w:type="dxa"/>
          <w:jc w:val="center"/>
          <w:tblLayout w:type="fixed"/>
          <w:tblCellMar>
            <w:left w:w="108" w:type="dxa"/>
            <w:right w:w="108" w:type="dxa"/>
          </w:tblCellMar>
        </w:tblPrEx>
        <w:trPr>
          <w:cantSplit/>
          <w:trHeight w:hRule="exact" w:val="300"/>
          <w:jc w:val="center"/>
        </w:trPr>
        <w:tc>
          <w:tcPr>
            <w:tcW w:w="289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75" w:after="30" w:line="240" w:lineRule="auto"/>
              <w:ind w:left="240"/>
              <w:jc w:val="left"/>
            </w:pPr>
            <w:r>
              <w:rPr>
                <w:rFonts w:ascii="Times New Roman" w:eastAsia="Times New Roman" w:hAnsi="Times New Roman" w:cs="Times New Roman"/>
                <w:b w:val="0"/>
                <w:i w:val="0"/>
                <w:color w:val="000000"/>
                <w:sz w:val="16"/>
                <w:u w:val="none"/>
              </w:rPr>
              <w:t>Net income</w:t>
            </w:r>
          </w:p>
        </w:tc>
        <w:tc>
          <w:tcPr>
            <w:tcW w:w="73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66"/>
                <w:tab w:val="left" w:pos="667"/>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7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26"/>
                <w:tab w:val="left" w:pos="727"/>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7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36"/>
                <w:tab w:val="left" w:pos="637"/>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67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331"/>
                <w:tab w:val="left" w:pos="607"/>
              </w:tabs>
              <w:spacing w:before="75" w:after="30" w:line="240" w:lineRule="auto"/>
              <w:jc w:val="right"/>
            </w:pPr>
            <w:r>
              <w:rPr>
                <w:rFonts w:ascii="Times New Roman" w:eastAsia="Times New Roman" w:hAnsi="Times New Roman" w:cs="Times New Roman"/>
                <w:b w:val="0"/>
                <w:i w:val="0"/>
                <w:color w:val="000000"/>
                <w:sz w:val="15"/>
                <w:u w:val="none"/>
              </w:rPr>
              <w:tab/>
              <w:t>204</w:t>
              <w:tab/>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26"/>
                <w:tab w:val="left" w:pos="1027"/>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16"/>
                <w:tab w:val="left" w:pos="1012"/>
              </w:tabs>
              <w:spacing w:before="75" w:after="30" w:line="240" w:lineRule="auto"/>
              <w:jc w:val="right"/>
            </w:pPr>
            <w:r>
              <w:rPr>
                <w:rFonts w:ascii="Times New Roman" w:eastAsia="Times New Roman" w:hAnsi="Times New Roman" w:cs="Times New Roman"/>
                <w:b w:val="0"/>
                <w:i w:val="0"/>
                <w:color w:val="000000"/>
                <w:sz w:val="15"/>
                <w:u w:val="none"/>
              </w:rPr>
              <w:tab/>
              <w:t>(1)</w:t>
              <w:tab/>
            </w:r>
          </w:p>
        </w:tc>
        <w:tc>
          <w:tcPr>
            <w:tcW w:w="8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96"/>
                <w:tab w:val="left" w:pos="772"/>
              </w:tabs>
              <w:spacing w:before="75" w:after="30" w:line="240" w:lineRule="auto"/>
              <w:jc w:val="right"/>
            </w:pPr>
            <w:r>
              <w:rPr>
                <w:rFonts w:ascii="Times New Roman" w:eastAsia="Times New Roman" w:hAnsi="Times New Roman" w:cs="Times New Roman"/>
                <w:b w:val="0"/>
                <w:i w:val="0"/>
                <w:color w:val="000000"/>
                <w:sz w:val="15"/>
                <w:u w:val="none"/>
              </w:rPr>
              <w:tab/>
              <w:t>203</w:t>
              <w:tab/>
            </w:r>
          </w:p>
        </w:tc>
      </w:tr>
      <w:tr>
        <w:tblPrEx>
          <w:tblW w:w="8820" w:type="dxa"/>
          <w:jc w:val="center"/>
          <w:tblLayout w:type="fixed"/>
          <w:tblCellMar>
            <w:left w:w="108" w:type="dxa"/>
            <w:right w:w="108" w:type="dxa"/>
          </w:tblCellMar>
        </w:tblPrEx>
        <w:trPr>
          <w:cantSplit/>
          <w:trHeight w:hRule="exact" w:val="300"/>
          <w:jc w:val="center"/>
        </w:trPr>
        <w:tc>
          <w:tcPr>
            <w:tcW w:w="289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75" w:after="30" w:line="240" w:lineRule="auto"/>
              <w:ind w:left="240"/>
              <w:jc w:val="left"/>
            </w:pPr>
            <w:r>
              <w:rPr>
                <w:rFonts w:ascii="Times New Roman" w:eastAsia="Times New Roman" w:hAnsi="Times New Roman" w:cs="Times New Roman"/>
                <w:b w:val="0"/>
                <w:i w:val="0"/>
                <w:color w:val="000000"/>
                <w:sz w:val="16"/>
                <w:u w:val="none"/>
              </w:rPr>
              <w:t>Other comprehensive income (loss)</w:t>
            </w:r>
          </w:p>
        </w:tc>
        <w:tc>
          <w:tcPr>
            <w:tcW w:w="73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66"/>
                <w:tab w:val="left" w:pos="667"/>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26"/>
                <w:tab w:val="left" w:pos="727"/>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7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36"/>
                <w:tab w:val="left" w:pos="637"/>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67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06"/>
                <w:tab w:val="left" w:pos="607"/>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31"/>
                <w:tab w:val="left" w:pos="1027"/>
              </w:tabs>
              <w:spacing w:before="75" w:after="30" w:line="240" w:lineRule="auto"/>
              <w:jc w:val="right"/>
            </w:pPr>
            <w:r>
              <w:rPr>
                <w:rFonts w:ascii="Times New Roman" w:eastAsia="Times New Roman" w:hAnsi="Times New Roman" w:cs="Times New Roman"/>
                <w:b w:val="0"/>
                <w:i w:val="0"/>
                <w:color w:val="000000"/>
                <w:sz w:val="15"/>
                <w:u w:val="none"/>
              </w:rPr>
              <w:tab/>
              <w:t>(6)</w:t>
              <w:tab/>
            </w: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11"/>
                <w:tab w:val="left" w:pos="1012"/>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76"/>
                <w:tab w:val="left" w:pos="772"/>
              </w:tabs>
              <w:spacing w:before="75" w:after="30" w:line="240" w:lineRule="auto"/>
              <w:jc w:val="right"/>
            </w:pPr>
            <w:r>
              <w:rPr>
                <w:rFonts w:ascii="Times New Roman" w:eastAsia="Times New Roman" w:hAnsi="Times New Roman" w:cs="Times New Roman"/>
                <w:b w:val="0"/>
                <w:i w:val="0"/>
                <w:color w:val="000000"/>
                <w:sz w:val="15"/>
                <w:u w:val="none"/>
              </w:rPr>
              <w:tab/>
              <w:t>(6)</w:t>
              <w:tab/>
            </w:r>
          </w:p>
        </w:tc>
      </w:tr>
      <w:tr>
        <w:tblPrEx>
          <w:tblW w:w="8820" w:type="dxa"/>
          <w:jc w:val="center"/>
          <w:tblLayout w:type="fixed"/>
          <w:tblCellMar>
            <w:left w:w="108" w:type="dxa"/>
            <w:right w:w="108" w:type="dxa"/>
          </w:tblCellMar>
        </w:tblPrEx>
        <w:trPr>
          <w:cantSplit/>
          <w:trHeight w:hRule="exact" w:val="300"/>
          <w:jc w:val="center"/>
        </w:trPr>
        <w:tc>
          <w:tcPr>
            <w:tcW w:w="289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75" w:after="30" w:line="240" w:lineRule="auto"/>
              <w:ind w:left="240"/>
              <w:jc w:val="left"/>
            </w:pPr>
            <w:r>
              <w:rPr>
                <w:rFonts w:ascii="Times New Roman" w:eastAsia="Times New Roman" w:hAnsi="Times New Roman" w:cs="Times New Roman"/>
                <w:b w:val="0"/>
                <w:i w:val="0"/>
                <w:color w:val="000000"/>
                <w:sz w:val="16"/>
                <w:u w:val="none"/>
              </w:rPr>
              <w:t>Cash dividends ($0.17 per share)</w:t>
            </w:r>
          </w:p>
        </w:tc>
        <w:tc>
          <w:tcPr>
            <w:tcW w:w="73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66"/>
                <w:tab w:val="left" w:pos="667"/>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7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26"/>
                <w:tab w:val="left" w:pos="727"/>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7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36"/>
                <w:tab w:val="left" w:pos="637"/>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67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261"/>
                <w:tab w:val="left" w:pos="607"/>
              </w:tabs>
              <w:spacing w:before="75" w:after="30" w:line="240" w:lineRule="auto"/>
              <w:jc w:val="right"/>
            </w:pPr>
            <w:r>
              <w:rPr>
                <w:rFonts w:ascii="Times New Roman" w:eastAsia="Times New Roman" w:hAnsi="Times New Roman" w:cs="Times New Roman"/>
                <w:b w:val="0"/>
                <w:i w:val="0"/>
                <w:color w:val="000000"/>
                <w:sz w:val="15"/>
                <w:u w:val="none"/>
              </w:rPr>
              <w:tab/>
              <w:t>(147)</w:t>
              <w:tab/>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26"/>
                <w:tab w:val="left" w:pos="1027"/>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11"/>
                <w:tab w:val="left" w:pos="1012"/>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8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26"/>
                <w:tab w:val="left" w:pos="772"/>
              </w:tabs>
              <w:spacing w:before="75" w:after="30" w:line="240" w:lineRule="auto"/>
              <w:jc w:val="right"/>
            </w:pPr>
            <w:r>
              <w:rPr>
                <w:rFonts w:ascii="Times New Roman" w:eastAsia="Times New Roman" w:hAnsi="Times New Roman" w:cs="Times New Roman"/>
                <w:b w:val="0"/>
                <w:i w:val="0"/>
                <w:color w:val="000000"/>
                <w:sz w:val="15"/>
                <w:u w:val="none"/>
              </w:rPr>
              <w:tab/>
              <w:t>(147)</w:t>
              <w:tab/>
            </w:r>
          </w:p>
        </w:tc>
      </w:tr>
      <w:tr>
        <w:tblPrEx>
          <w:tblW w:w="8820" w:type="dxa"/>
          <w:jc w:val="center"/>
          <w:tblLayout w:type="fixed"/>
          <w:tblCellMar>
            <w:left w:w="108" w:type="dxa"/>
            <w:right w:w="108" w:type="dxa"/>
          </w:tblCellMar>
        </w:tblPrEx>
        <w:trPr>
          <w:cantSplit/>
          <w:trHeight w:hRule="exact" w:val="300"/>
          <w:jc w:val="center"/>
        </w:trPr>
        <w:tc>
          <w:tcPr>
            <w:tcW w:w="289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75" w:after="30" w:line="240" w:lineRule="auto"/>
              <w:ind w:left="240"/>
              <w:jc w:val="left"/>
            </w:pPr>
            <w:r>
              <w:rPr>
                <w:rFonts w:ascii="Times New Roman" w:eastAsia="Times New Roman" w:hAnsi="Times New Roman" w:cs="Times New Roman"/>
                <w:b w:val="0"/>
                <w:i w:val="0"/>
                <w:color w:val="000000"/>
                <w:sz w:val="16"/>
                <w:u w:val="none"/>
              </w:rPr>
              <w:t>Stock repurchase program</w:t>
            </w:r>
          </w:p>
        </w:tc>
        <w:tc>
          <w:tcPr>
            <w:tcW w:w="73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66"/>
                <w:tab w:val="left" w:pos="667"/>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26"/>
                <w:tab w:val="left" w:pos="727"/>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7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291"/>
                <w:tab w:val="left" w:pos="637"/>
              </w:tabs>
              <w:spacing w:before="75" w:after="30" w:line="240" w:lineRule="auto"/>
              <w:jc w:val="right"/>
            </w:pPr>
            <w:r>
              <w:rPr>
                <w:rFonts w:ascii="Times New Roman" w:eastAsia="Times New Roman" w:hAnsi="Times New Roman" w:cs="Times New Roman"/>
                <w:b w:val="0"/>
                <w:i w:val="0"/>
                <w:color w:val="000000"/>
                <w:sz w:val="15"/>
                <w:u w:val="none"/>
              </w:rPr>
              <w:tab/>
              <w:t>(250)</w:t>
              <w:tab/>
            </w:r>
          </w:p>
        </w:tc>
        <w:tc>
          <w:tcPr>
            <w:tcW w:w="67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06"/>
                <w:tab w:val="left" w:pos="607"/>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26"/>
                <w:tab w:val="left" w:pos="1027"/>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11"/>
                <w:tab w:val="left" w:pos="1012"/>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26"/>
                <w:tab w:val="left" w:pos="772"/>
              </w:tabs>
              <w:spacing w:before="75" w:after="30" w:line="240" w:lineRule="auto"/>
              <w:jc w:val="right"/>
            </w:pPr>
            <w:r>
              <w:rPr>
                <w:rFonts w:ascii="Times New Roman" w:eastAsia="Times New Roman" w:hAnsi="Times New Roman" w:cs="Times New Roman"/>
                <w:b w:val="0"/>
                <w:i w:val="0"/>
                <w:color w:val="000000"/>
                <w:sz w:val="15"/>
                <w:u w:val="none"/>
              </w:rPr>
              <w:tab/>
              <w:t>(250)</w:t>
              <w:tab/>
            </w:r>
          </w:p>
        </w:tc>
      </w:tr>
      <w:tr>
        <w:tblPrEx>
          <w:tblW w:w="8820" w:type="dxa"/>
          <w:jc w:val="center"/>
          <w:tblLayout w:type="fixed"/>
          <w:tblCellMar>
            <w:left w:w="108" w:type="dxa"/>
            <w:right w:w="108" w:type="dxa"/>
          </w:tblCellMar>
        </w:tblPrEx>
        <w:trPr>
          <w:cantSplit/>
          <w:trHeight w:hRule="exact" w:val="300"/>
          <w:jc w:val="center"/>
        </w:trPr>
        <w:tc>
          <w:tcPr>
            <w:tcW w:w="289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75" w:after="30" w:line="240" w:lineRule="auto"/>
              <w:ind w:left="240"/>
              <w:jc w:val="left"/>
            </w:pPr>
            <w:r>
              <w:rPr>
                <w:rFonts w:ascii="Times New Roman" w:eastAsia="Times New Roman" w:hAnsi="Times New Roman" w:cs="Times New Roman"/>
                <w:b w:val="0"/>
                <w:i w:val="0"/>
                <w:color w:val="000000"/>
                <w:sz w:val="16"/>
                <w:u w:val="none"/>
              </w:rPr>
              <w:t>Stock plans (a)</w:t>
            </w:r>
          </w:p>
        </w:tc>
        <w:tc>
          <w:tcPr>
            <w:tcW w:w="73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71"/>
                <w:tab w:val="left" w:pos="667"/>
              </w:tabs>
              <w:spacing w:before="75" w:after="30" w:line="240" w:lineRule="auto"/>
              <w:jc w:val="right"/>
            </w:pPr>
            <w:r>
              <w:rPr>
                <w:rFonts w:ascii="Times New Roman" w:eastAsia="Times New Roman" w:hAnsi="Times New Roman" w:cs="Times New Roman"/>
                <w:b w:val="0"/>
                <w:i w:val="0"/>
                <w:color w:val="000000"/>
                <w:sz w:val="15"/>
                <w:u w:val="none"/>
              </w:rPr>
              <w:tab/>
              <w:t>(1)</w:t>
              <w:tab/>
            </w:r>
          </w:p>
        </w:tc>
        <w:tc>
          <w:tcPr>
            <w:tcW w:w="7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56"/>
                <w:tab w:val="left" w:pos="727"/>
              </w:tabs>
              <w:spacing w:before="75" w:after="30" w:line="240" w:lineRule="auto"/>
              <w:jc w:val="right"/>
            </w:pPr>
            <w:r>
              <w:rPr>
                <w:rFonts w:ascii="Times New Roman" w:eastAsia="Times New Roman" w:hAnsi="Times New Roman" w:cs="Times New Roman"/>
                <w:b w:val="0"/>
                <w:i w:val="0"/>
                <w:color w:val="000000"/>
                <w:sz w:val="15"/>
                <w:u w:val="none"/>
              </w:rPr>
              <w:tab/>
              <w:t>(20)</w:t>
              <w:tab/>
            </w:r>
          </w:p>
        </w:tc>
        <w:tc>
          <w:tcPr>
            <w:tcW w:w="7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36"/>
                <w:tab w:val="left" w:pos="637"/>
              </w:tabs>
              <w:spacing w:before="75" w:after="30" w:line="240" w:lineRule="auto"/>
              <w:jc w:val="right"/>
            </w:pPr>
            <w:r>
              <w:rPr>
                <w:rFonts w:ascii="Times New Roman" w:eastAsia="Times New Roman" w:hAnsi="Times New Roman" w:cs="Times New Roman"/>
                <w:b w:val="0"/>
                <w:i w:val="0"/>
                <w:color w:val="000000"/>
                <w:sz w:val="15"/>
                <w:u w:val="none"/>
              </w:rPr>
              <w:tab/>
              <w:t>81</w:t>
              <w:tab/>
            </w:r>
          </w:p>
        </w:tc>
        <w:tc>
          <w:tcPr>
            <w:tcW w:w="67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06"/>
                <w:tab w:val="left" w:pos="607"/>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26"/>
                <w:tab w:val="left" w:pos="1027"/>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11"/>
                <w:tab w:val="left" w:pos="1012"/>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8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71"/>
                <w:tab w:val="left" w:pos="772"/>
              </w:tabs>
              <w:spacing w:before="75" w:after="30" w:line="240" w:lineRule="auto"/>
              <w:jc w:val="right"/>
            </w:pPr>
            <w:r>
              <w:rPr>
                <w:rFonts w:ascii="Times New Roman" w:eastAsia="Times New Roman" w:hAnsi="Times New Roman" w:cs="Times New Roman"/>
                <w:b w:val="0"/>
                <w:i w:val="0"/>
                <w:color w:val="000000"/>
                <w:sz w:val="15"/>
                <w:u w:val="none"/>
              </w:rPr>
              <w:tab/>
              <w:t>60</w:t>
              <w:tab/>
            </w:r>
          </w:p>
        </w:tc>
      </w:tr>
      <w:tr>
        <w:tblPrEx>
          <w:tblW w:w="8820" w:type="dxa"/>
          <w:jc w:val="center"/>
          <w:tblLayout w:type="fixed"/>
          <w:tblCellMar>
            <w:left w:w="108" w:type="dxa"/>
            <w:right w:w="108" w:type="dxa"/>
          </w:tblCellMar>
        </w:tblPrEx>
        <w:trPr>
          <w:cantSplit/>
          <w:trHeight w:hRule="exact" w:val="300"/>
          <w:jc w:val="center"/>
        </w:trPr>
        <w:tc>
          <w:tcPr>
            <w:tcW w:w="2895" w:type="dxa"/>
            <w:tcBorders>
              <w:top w:val="nil"/>
              <w:left w:val="nil"/>
              <w:bottom w:val="single" w:sz="8" w:space="0" w:color="000000"/>
              <w:right w:val="nil"/>
            </w:tcBorders>
            <w:shd w:val="clear" w:color="auto" w:fill="FFFFFF"/>
            <w:tcMar>
              <w:top w:w="0" w:type="dxa"/>
              <w:left w:w="53" w:type="dxa"/>
              <w:bottom w:w="0" w:type="dxa"/>
              <w:right w:w="15" w:type="dxa"/>
            </w:tcMar>
            <w:vAlign w:val="bottom"/>
          </w:tcPr>
          <w:p>
            <w:pPr>
              <w:keepNext/>
              <w:pageBreakBefore w:val="0"/>
              <w:spacing w:before="75" w:after="30" w:line="240" w:lineRule="auto"/>
              <w:ind w:left="240"/>
              <w:jc w:val="left"/>
            </w:pPr>
            <w:r>
              <w:rPr>
                <w:rFonts w:ascii="Times New Roman" w:eastAsia="Times New Roman" w:hAnsi="Times New Roman" w:cs="Times New Roman"/>
                <w:b w:val="0"/>
                <w:i w:val="0"/>
                <w:color w:val="000000"/>
                <w:sz w:val="16"/>
                <w:u w:val="none"/>
              </w:rPr>
              <w:t>Other</w:t>
            </w:r>
          </w:p>
        </w:tc>
        <w:tc>
          <w:tcPr>
            <w:tcW w:w="73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466"/>
                <w:tab w:val="left" w:pos="667"/>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7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526"/>
                <w:tab w:val="left" w:pos="727"/>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7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436"/>
                <w:tab w:val="left" w:pos="637"/>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67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406"/>
                <w:tab w:val="left" w:pos="607"/>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26"/>
                <w:tab w:val="left" w:pos="1027"/>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108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86"/>
                <w:tab w:val="left" w:pos="1012"/>
              </w:tabs>
              <w:spacing w:before="75" w:after="30" w:line="240" w:lineRule="auto"/>
              <w:jc w:val="right"/>
            </w:pPr>
            <w:r>
              <w:rPr>
                <w:rFonts w:ascii="Times New Roman" w:eastAsia="Times New Roman" w:hAnsi="Times New Roman" w:cs="Times New Roman"/>
                <w:b w:val="0"/>
                <w:i w:val="0"/>
                <w:color w:val="000000"/>
                <w:sz w:val="15"/>
                <w:u w:val="none"/>
              </w:rPr>
              <w:tab/>
              <w:t>1</w:t>
              <w:tab/>
            </w:r>
          </w:p>
        </w:tc>
        <w:tc>
          <w:tcPr>
            <w:tcW w:w="8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46"/>
                <w:tab w:val="left" w:pos="772"/>
              </w:tabs>
              <w:spacing w:before="75" w:after="30" w:line="240" w:lineRule="auto"/>
              <w:jc w:val="right"/>
            </w:pPr>
            <w:r>
              <w:rPr>
                <w:rFonts w:ascii="Times New Roman" w:eastAsia="Times New Roman" w:hAnsi="Times New Roman" w:cs="Times New Roman"/>
                <w:b w:val="0"/>
                <w:i w:val="0"/>
                <w:color w:val="000000"/>
                <w:sz w:val="15"/>
                <w:u w:val="none"/>
              </w:rPr>
              <w:tab/>
              <w:t>1</w:t>
              <w:tab/>
            </w:r>
          </w:p>
        </w:tc>
      </w:tr>
      <w:tr>
        <w:tblPrEx>
          <w:tblW w:w="8820" w:type="dxa"/>
          <w:jc w:val="center"/>
          <w:tblLayout w:type="fixed"/>
          <w:tblCellMar>
            <w:left w:w="108" w:type="dxa"/>
            <w:right w:w="108" w:type="dxa"/>
          </w:tblCellMar>
        </w:tblPrEx>
        <w:trPr>
          <w:cantSplit/>
          <w:trHeight w:hRule="exact" w:val="300"/>
          <w:jc w:val="center"/>
        </w:trPr>
        <w:tc>
          <w:tcPr>
            <w:tcW w:w="2895" w:type="dxa"/>
            <w:tcBorders>
              <w:top w:val="single" w:sz="8" w:space="0" w:color="000000"/>
              <w:left w:val="nil"/>
              <w:bottom w:val="double" w:sz="8" w:space="0" w:color="000000"/>
              <w:right w:val="nil"/>
            </w:tcBorders>
            <w:shd w:val="clear" w:color="auto" w:fill="CCEEFF"/>
            <w:tcMar>
              <w:top w:w="0" w:type="dxa"/>
              <w:left w:w="53" w:type="dxa"/>
              <w:bottom w:w="0" w:type="dxa"/>
              <w:right w:w="15" w:type="dxa"/>
            </w:tcMar>
            <w:vAlign w:val="bottom"/>
          </w:tcPr>
          <w:p>
            <w:pPr>
              <w:pageBreakBefore w:val="0"/>
              <w:spacing w:before="55" w:after="30" w:line="240" w:lineRule="auto"/>
              <w:jc w:val="left"/>
            </w:pPr>
            <w:r>
              <w:rPr>
                <w:rFonts w:ascii="Times New Roman" w:eastAsia="Times New Roman" w:hAnsi="Times New Roman" w:cs="Times New Roman"/>
                <w:b/>
                <w:i w:val="0"/>
                <w:color w:val="000000"/>
                <w:sz w:val="16"/>
                <w:u w:val="none"/>
              </w:rPr>
              <w:t>Balance at March 31, 2025</w:t>
            </w:r>
          </w:p>
        </w:tc>
        <w:tc>
          <w:tcPr>
            <w:tcW w:w="73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278"/>
                <w:tab w:val="left" w:pos="667"/>
              </w:tabs>
              <w:spacing w:before="55" w:after="30" w:line="240" w:lineRule="auto"/>
              <w:jc w:val="right"/>
            </w:pPr>
            <w:r>
              <w:rPr>
                <w:rFonts w:ascii="Times New Roman" w:eastAsia="Times New Roman" w:hAnsi="Times New Roman" w:cs="Times New Roman"/>
                <w:b/>
                <w:i w:val="0"/>
                <w:color w:val="000000"/>
                <w:sz w:val="15"/>
                <w:u w:val="none"/>
              </w:rPr>
              <w:t>$</w:t>
              <w:tab/>
              <w:t>2,661</w:t>
              <w:tab/>
            </w:r>
          </w:p>
        </w:tc>
        <w:tc>
          <w:tcPr>
            <w:tcW w:w="7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526"/>
                <w:tab w:val="left" w:pos="727"/>
              </w:tabs>
              <w:spacing w:before="55" w:after="30" w:line="240" w:lineRule="auto"/>
              <w:jc w:val="right"/>
            </w:pPr>
            <w:r>
              <w:rPr>
                <w:rFonts w:ascii="Times New Roman" w:eastAsia="Times New Roman" w:hAnsi="Times New Roman" w:cs="Times New Roman"/>
                <w:b/>
                <w:i w:val="0"/>
                <w:color w:val="000000"/>
                <w:sz w:val="15"/>
                <w:u w:val="none"/>
              </w:rPr>
              <w:t>$</w:t>
              <w:tab/>
              <w:t>59</w:t>
              <w:tab/>
            </w:r>
          </w:p>
        </w:tc>
        <w:tc>
          <w:tcPr>
            <w:tcW w:w="7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78"/>
                <w:tab w:val="left" w:pos="637"/>
              </w:tabs>
              <w:spacing w:before="55" w:after="30" w:line="240" w:lineRule="auto"/>
              <w:jc w:val="right"/>
            </w:pPr>
            <w:r>
              <w:rPr>
                <w:rFonts w:ascii="Times New Roman" w:eastAsia="Times New Roman" w:hAnsi="Times New Roman" w:cs="Times New Roman"/>
                <w:b/>
                <w:i w:val="0"/>
                <w:color w:val="000000"/>
                <w:sz w:val="15"/>
                <w:u w:val="none"/>
              </w:rPr>
              <w:t>$</w:t>
              <w:tab/>
              <w:t>(6,383)</w:t>
              <w:tab/>
            </w:r>
          </w:p>
        </w:tc>
        <w:tc>
          <w:tcPr>
            <w:tcW w:w="67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43"/>
                <w:tab w:val="left" w:pos="607"/>
              </w:tabs>
              <w:spacing w:before="55" w:after="30" w:line="240" w:lineRule="auto"/>
              <w:jc w:val="right"/>
            </w:pPr>
            <w:r>
              <w:rPr>
                <w:rFonts w:ascii="Times New Roman" w:eastAsia="Times New Roman" w:hAnsi="Times New Roman" w:cs="Times New Roman"/>
                <w:b/>
                <w:i w:val="0"/>
                <w:color w:val="000000"/>
                <w:sz w:val="15"/>
                <w:u w:val="none"/>
              </w:rPr>
              <w:t>$</w:t>
              <w:tab/>
              <w:t>14,389</w:t>
              <w:tab/>
            </w:r>
          </w:p>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681"/>
                <w:tab w:val="left" w:pos="1027"/>
              </w:tabs>
              <w:spacing w:before="55" w:after="30" w:line="240" w:lineRule="auto"/>
              <w:jc w:val="right"/>
            </w:pPr>
            <w:r>
              <w:rPr>
                <w:rFonts w:ascii="Times New Roman" w:eastAsia="Times New Roman" w:hAnsi="Times New Roman" w:cs="Times New Roman"/>
                <w:b/>
                <w:i w:val="0"/>
                <w:color w:val="000000"/>
                <w:sz w:val="15"/>
                <w:u w:val="none"/>
              </w:rPr>
              <w:t>$</w:t>
              <w:tab/>
              <w:t>(359)</w:t>
              <w:tab/>
            </w:r>
          </w:p>
        </w:tc>
        <w:tc>
          <w:tcPr>
            <w:tcW w:w="108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811"/>
                <w:tab w:val="left" w:pos="1012"/>
              </w:tabs>
              <w:spacing w:before="55" w:after="30" w:line="240" w:lineRule="auto"/>
              <w:jc w:val="right"/>
            </w:pPr>
            <w:r>
              <w:rPr>
                <w:rFonts w:ascii="Times New Roman" w:eastAsia="Times New Roman" w:hAnsi="Times New Roman" w:cs="Times New Roman"/>
                <w:b/>
                <w:i w:val="0"/>
                <w:color w:val="000000"/>
                <w:sz w:val="15"/>
                <w:u w:val="none"/>
              </w:rPr>
              <w:t>$</w:t>
              <w:tab/>
              <w:t>42</w:t>
              <w:tab/>
            </w:r>
          </w:p>
        </w:tc>
        <w:tc>
          <w:tcPr>
            <w:tcW w:w="84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308"/>
                <w:tab w:val="left" w:pos="772"/>
              </w:tabs>
              <w:spacing w:before="55" w:after="30" w:line="240" w:lineRule="auto"/>
              <w:jc w:val="right"/>
            </w:pPr>
            <w:r>
              <w:rPr>
                <w:rFonts w:ascii="Times New Roman" w:eastAsia="Times New Roman" w:hAnsi="Times New Roman" w:cs="Times New Roman"/>
                <w:b/>
                <w:i w:val="0"/>
                <w:color w:val="000000"/>
                <w:sz w:val="15"/>
                <w:u w:val="none"/>
              </w:rPr>
              <w:t>$</w:t>
              <w:tab/>
              <w:t>10,409</w:t>
              <w:tab/>
            </w:r>
          </w:p>
        </w:tc>
      </w:tr>
    </w:tbl>
    <w:p>
      <w:pPr>
        <w:keepNext/>
        <w:keepLines/>
        <w:pageBreakBefore w:val="0"/>
        <w:widowControl w:val="0"/>
        <w:numPr>
          <w:ilvl w:val="0"/>
          <w:numId w:val="0"/>
        </w:numPr>
        <w:spacing w:before="0" w:after="0" w:line="288" w:lineRule="auto"/>
        <w:ind w:left="0" w:right="0" w:firstLine="720"/>
        <w:jc w:val="center"/>
        <w:outlineLvl w:val="9"/>
        <w:rPr>
          <w:rFonts w:ascii="Times New Roman" w:eastAsia="Times New Roman" w:hAnsi="Times New Roman" w:cs="Times New Roman"/>
          <w:b w:val="0"/>
          <w:i w:val="0"/>
          <w:color w:val="000000"/>
          <w:sz w:val="10"/>
          <w:u w:val="none"/>
        </w:rPr>
      </w:pP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85"/>
        <w:gridCol w:w="8505"/>
      </w:tblGrid>
      <w:tr>
        <w:tblPrEx>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435"/>
          <w:jc w:val="center"/>
        </w:trPr>
        <w:tc>
          <w:tcPr>
            <w:tcW w:w="285" w:type="dxa"/>
            <w:tcBorders>
              <w:top w:val="nil"/>
              <w:left w:val="nil"/>
              <w:bottom w:val="nil"/>
              <w:right w:val="nil"/>
            </w:tcBorders>
            <w:tcMar>
              <w:top w:w="0" w:type="dxa"/>
              <w:left w:w="53" w:type="dxa"/>
              <w:bottom w:w="0" w:type="dxa"/>
              <w:right w:w="53" w:type="dxa"/>
            </w:tcMar>
            <w:vAlign w:val="top"/>
          </w:tcPr>
          <w:p>
            <w:pPr>
              <w:pageBreakBefore w:val="0"/>
              <w:spacing w:before="75" w:after="30" w:line="240" w:lineRule="auto"/>
              <w:jc w:val="center"/>
            </w:pPr>
            <w:r>
              <w:rPr>
                <w:rFonts w:ascii="Times New Roman" w:eastAsia="Times New Roman" w:hAnsi="Times New Roman" w:cs="Times New Roman"/>
                <w:b w:val="0"/>
                <w:i w:val="0"/>
                <w:color w:val="000000"/>
                <w:sz w:val="16"/>
                <w:u w:val="none"/>
              </w:rPr>
              <w:t>(a)</w:t>
            </w:r>
          </w:p>
        </w:tc>
        <w:tc>
          <w:tcPr>
            <w:tcW w:w="8505"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75" w:after="30" w:line="240" w:lineRule="auto"/>
              <w:ind w:left="0" w:right="0" w:firstLine="0"/>
              <w:jc w:val="both"/>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 xml:space="preserve">In the first quarter of </w:t>
            </w:r>
            <w:r>
              <w:rPr>
                <w:rFonts w:ascii="Times New Roman" w:eastAsia="Times New Roman" w:hAnsi="Times New Roman" w:cs="Times New Roman"/>
                <w:b w:val="0"/>
                <w:i w:val="0"/>
                <w:color w:val="000000"/>
                <w:sz w:val="16"/>
                <w:u w:val="none"/>
              </w:rPr>
              <w:t>2025</w:t>
            </w:r>
            <w:r>
              <w:rPr>
                <w:rFonts w:ascii="Times New Roman" w:eastAsia="Times New Roman" w:hAnsi="Times New Roman" w:cs="Times New Roman"/>
                <w:b w:val="0"/>
                <w:i w:val="0"/>
                <w:sz w:val="16"/>
              </w:rPr>
              <w:t>, we issued common stock from treasury shares for stock options exercised, restricted stock grants, performance shares under our performance unit program, and purchases under our employee stock purchase plan.</w:t>
            </w:r>
          </w:p>
        </w:tc>
      </w:tr>
    </w:tbl>
    <w:p>
      <w:pPr>
        <w:keepNext/>
        <w:keepLines/>
        <w:pageBreakBefore w:val="0"/>
        <w:widowControl w:val="0"/>
        <w:numPr>
          <w:ilvl w:val="0"/>
          <w:numId w:val="0"/>
        </w:numPr>
        <w:spacing w:before="40" w:after="0" w:line="288" w:lineRule="auto"/>
        <w:ind w:left="0" w:right="0" w:firstLine="720"/>
        <w:jc w:val="center"/>
        <w:outlineLvl w:val="9"/>
        <w:rPr>
          <w:rFonts w:ascii="Times New Roman" w:eastAsia="Times New Roman" w:hAnsi="Times New Roman" w:cs="Times New Roman"/>
          <w:b w:val="0"/>
          <w:i w:val="0"/>
          <w:color w:val="000000"/>
          <w:sz w:val="10"/>
          <w:u w: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895"/>
        <w:gridCol w:w="675"/>
        <w:gridCol w:w="795"/>
        <w:gridCol w:w="705"/>
        <w:gridCol w:w="675"/>
        <w:gridCol w:w="1095"/>
        <w:gridCol w:w="1080"/>
        <w:gridCol w:w="840"/>
      </w:tblGrid>
      <w:tr>
        <w:tblPrEx>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840"/>
          <w:jc w:val="center"/>
        </w:trPr>
        <w:tc>
          <w:tcPr>
            <w:tcW w:w="289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color w:val="000000"/>
                <w:sz w:val="16"/>
                <w:u w:val="none"/>
              </w:rPr>
              <w:t>Millions of dollars</w:t>
            </w:r>
          </w:p>
        </w:tc>
        <w:tc>
          <w:tcPr>
            <w:tcW w:w="67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5"/>
                <w:u w:val="none"/>
              </w:rPr>
              <w:t>Common Stock</w:t>
            </w:r>
          </w:p>
        </w:tc>
        <w:tc>
          <w:tcPr>
            <w:tcW w:w="79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5"/>
                <w:u w:val="none"/>
              </w:rPr>
              <w:t>Paid-in Capital in Excess of Par Value</w:t>
            </w:r>
          </w:p>
        </w:tc>
        <w:tc>
          <w:tcPr>
            <w:tcW w:w="7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5"/>
                <w:u w:val="none"/>
              </w:rPr>
              <w:t>Treasury Stock</w:t>
            </w:r>
          </w:p>
        </w:tc>
        <w:tc>
          <w:tcPr>
            <w:tcW w:w="67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5"/>
                <w:u w:val="none"/>
              </w:rPr>
              <w:t>Retained Earnings</w:t>
            </w:r>
          </w:p>
        </w:tc>
        <w:tc>
          <w:tcPr>
            <w:tcW w:w="109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5"/>
                <w:u w:val="none"/>
              </w:rPr>
              <w:t>Accumulated Other Comprehensive Income (Loss)</w:t>
            </w:r>
          </w:p>
        </w:tc>
        <w:tc>
          <w:tcPr>
            <w:tcW w:w="108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5"/>
                <w:u w:val="none"/>
              </w:rPr>
              <w:t>Noncontrolling Interest in Consolidated Subsidiaries</w:t>
            </w:r>
          </w:p>
        </w:tc>
        <w:tc>
          <w:tcPr>
            <w:tcW w:w="84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5"/>
                <w:u w:val="none"/>
              </w:rPr>
              <w:t>Total</w:t>
            </w:r>
          </w:p>
        </w:tc>
      </w:tr>
      <w:tr>
        <w:tblPrEx>
          <w:tblW w:w="8760" w:type="dxa"/>
          <w:jc w:val="center"/>
          <w:tblLayout w:type="fixed"/>
          <w:tblCellMar>
            <w:left w:w="108" w:type="dxa"/>
            <w:right w:w="108" w:type="dxa"/>
          </w:tblCellMar>
        </w:tblPrEx>
        <w:trPr>
          <w:cantSplit/>
          <w:trHeight w:hRule="exact" w:val="300"/>
          <w:jc w:val="center"/>
        </w:trPr>
        <w:tc>
          <w:tcPr>
            <w:tcW w:w="2895" w:type="dxa"/>
            <w:tcBorders>
              <w:top w:val="single" w:sz="8" w:space="0" w:color="000000"/>
              <w:left w:val="nil"/>
              <w:bottom w:val="double" w:sz="8" w:space="0" w:color="000000"/>
              <w:right w:val="nil"/>
            </w:tcBorders>
            <w:shd w:val="clear" w:color="auto" w:fill="CCEEFF"/>
            <w:tcMar>
              <w:top w:w="0" w:type="dxa"/>
              <w:left w:w="53" w:type="dxa"/>
              <w:bottom w:w="0" w:type="dxa"/>
              <w:right w:w="15"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6"/>
                <w:u w:val="none"/>
              </w:rPr>
              <w:t>Balance at December 31, 2023</w:t>
            </w:r>
          </w:p>
        </w:tc>
        <w:tc>
          <w:tcPr>
            <w:tcW w:w="67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196"/>
                <w:tab w:val="left" w:pos="607"/>
              </w:tabs>
              <w:spacing w:before="55" w:after="30" w:line="240" w:lineRule="auto"/>
              <w:jc w:val="right"/>
            </w:pPr>
            <w:r>
              <w:rPr>
                <w:rFonts w:ascii="Times New Roman" w:eastAsia="Times New Roman" w:hAnsi="Times New Roman" w:cs="Times New Roman"/>
                <w:b/>
                <w:i w:val="0"/>
                <w:color w:val="000000"/>
                <w:sz w:val="16"/>
                <w:u w:val="none"/>
              </w:rPr>
              <w:t>$</w:t>
              <w:tab/>
              <w:t>2,663</w:t>
              <w:tab/>
            </w:r>
          </w:p>
        </w:tc>
        <w:tc>
          <w:tcPr>
            <w:tcW w:w="7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529"/>
                <w:tab w:val="left" w:pos="727"/>
              </w:tabs>
              <w:spacing w:before="55" w:after="30" w:line="240" w:lineRule="auto"/>
              <w:jc w:val="right"/>
            </w:pPr>
            <w:r>
              <w:rPr>
                <w:rFonts w:ascii="Times New Roman" w:eastAsia="Times New Roman" w:hAnsi="Times New Roman" w:cs="Times New Roman"/>
                <w:b/>
                <w:i w:val="0"/>
                <w:color w:val="000000"/>
                <w:sz w:val="15"/>
                <w:u w:val="none"/>
              </w:rPr>
              <w:t>$</w:t>
              <w:tab/>
              <w:t>63</w:t>
              <w:tab/>
            </w:r>
          </w:p>
        </w:tc>
        <w:tc>
          <w:tcPr>
            <w:tcW w:w="7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182"/>
              </w:tabs>
              <w:spacing w:before="55" w:after="30" w:line="240" w:lineRule="auto"/>
              <w:jc w:val="right"/>
            </w:pPr>
            <w:r>
              <w:rPr>
                <w:rFonts w:ascii="Times New Roman" w:eastAsia="Times New Roman" w:hAnsi="Times New Roman" w:cs="Times New Roman"/>
                <w:b/>
                <w:i w:val="0"/>
                <w:color w:val="000000"/>
                <w:sz w:val="15"/>
                <w:u w:val="none"/>
              </w:rPr>
              <w:t>$</w:t>
              <w:tab/>
              <w:t>(5,540)</w:t>
            </w:r>
          </w:p>
        </w:tc>
        <w:tc>
          <w:tcPr>
            <w:tcW w:w="67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147"/>
                <w:tab w:val="left" w:pos="607"/>
              </w:tabs>
              <w:spacing w:before="55" w:after="30" w:line="240" w:lineRule="auto"/>
              <w:jc w:val="right"/>
            </w:pPr>
            <w:r>
              <w:rPr>
                <w:rFonts w:ascii="Times New Roman" w:eastAsia="Times New Roman" w:hAnsi="Times New Roman" w:cs="Times New Roman"/>
                <w:b/>
                <w:i w:val="0"/>
                <w:color w:val="000000"/>
                <w:sz w:val="15"/>
                <w:u w:val="none"/>
              </w:rPr>
              <w:t>$</w:t>
              <w:tab/>
              <w:t>12,536</w:t>
              <w:tab/>
            </w:r>
          </w:p>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684"/>
              </w:tabs>
              <w:spacing w:before="55" w:after="30" w:line="240" w:lineRule="auto"/>
              <w:jc w:val="right"/>
            </w:pPr>
            <w:r>
              <w:rPr>
                <w:rFonts w:ascii="Times New Roman" w:eastAsia="Times New Roman" w:hAnsi="Times New Roman" w:cs="Times New Roman"/>
                <w:b/>
                <w:i w:val="0"/>
                <w:color w:val="000000"/>
                <w:sz w:val="15"/>
                <w:u w:val="none"/>
              </w:rPr>
              <w:t>$</w:t>
              <w:tab/>
              <w:t>(331)</w:t>
            </w:r>
          </w:p>
        </w:tc>
        <w:tc>
          <w:tcPr>
            <w:tcW w:w="108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814"/>
                <w:tab w:val="left" w:pos="1012"/>
              </w:tabs>
              <w:spacing w:before="55" w:after="30" w:line="240" w:lineRule="auto"/>
              <w:jc w:val="right"/>
            </w:pPr>
            <w:r>
              <w:rPr>
                <w:rFonts w:ascii="Times New Roman" w:eastAsia="Times New Roman" w:hAnsi="Times New Roman" w:cs="Times New Roman"/>
                <w:b/>
                <w:i w:val="0"/>
                <w:color w:val="000000"/>
                <w:sz w:val="15"/>
                <w:u w:val="none"/>
              </w:rPr>
              <w:t>$</w:t>
              <w:tab/>
              <w:t>42</w:t>
              <w:tab/>
            </w:r>
          </w:p>
        </w:tc>
        <w:tc>
          <w:tcPr>
            <w:tcW w:w="84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387"/>
                <w:tab w:val="left" w:pos="772"/>
              </w:tabs>
              <w:spacing w:before="55" w:after="30" w:line="240" w:lineRule="auto"/>
              <w:jc w:val="right"/>
            </w:pPr>
            <w:r>
              <w:rPr>
                <w:rFonts w:ascii="Times New Roman" w:eastAsia="Times New Roman" w:hAnsi="Times New Roman" w:cs="Times New Roman"/>
                <w:b/>
                <w:i w:val="0"/>
                <w:color w:val="000000"/>
                <w:sz w:val="15"/>
                <w:u w:val="none"/>
              </w:rPr>
              <w:t>$</w:t>
              <w:tab/>
              <w:t>9,433</w:t>
              <w:tab/>
            </w:r>
          </w:p>
        </w:tc>
      </w:tr>
      <w:tr>
        <w:tblPrEx>
          <w:tblW w:w="8760" w:type="dxa"/>
          <w:jc w:val="center"/>
          <w:tblLayout w:type="fixed"/>
          <w:tblCellMar>
            <w:left w:w="108" w:type="dxa"/>
            <w:right w:w="108" w:type="dxa"/>
          </w:tblCellMar>
        </w:tblPrEx>
        <w:trPr>
          <w:cantSplit/>
          <w:trHeight w:hRule="exact" w:val="300"/>
          <w:jc w:val="center"/>
        </w:trPr>
        <w:tc>
          <w:tcPr>
            <w:tcW w:w="2895" w:type="dxa"/>
            <w:tcBorders>
              <w:top w:val="double" w:sz="8" w:space="0" w:color="000000"/>
              <w:left w:val="nil"/>
              <w:bottom w:val="nil"/>
              <w:right w:val="nil"/>
            </w:tcBorders>
            <w:shd w:val="clear" w:color="auto" w:fill="FFFFFF"/>
            <w:tcMar>
              <w:top w:w="0" w:type="dxa"/>
              <w:left w:w="53" w:type="dxa"/>
              <w:bottom w:w="0" w:type="dxa"/>
              <w:right w:w="15" w:type="dxa"/>
            </w:tcMar>
            <w:vAlign w:val="bottom"/>
          </w:tcPr>
          <w:p>
            <w:pPr>
              <w:keepNext/>
              <w:pageBreakBefore w:val="0"/>
              <w:spacing w:before="15" w:after="30" w:line="240" w:lineRule="auto"/>
              <w:jc w:val="left"/>
            </w:pPr>
            <w:r>
              <w:rPr>
                <w:rFonts w:ascii="Times New Roman" w:eastAsia="Times New Roman" w:hAnsi="Times New Roman" w:cs="Times New Roman"/>
                <w:b/>
                <w:i w:val="0"/>
                <w:color w:val="000000"/>
                <w:sz w:val="16"/>
                <w:u w:val="none"/>
              </w:rPr>
              <w:t>Comprehensive income (loss):</w:t>
            </w:r>
          </w:p>
        </w:tc>
        <w:tc>
          <w:tcPr>
            <w:tcW w:w="67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spacing w:before="15" w:after="30" w:line="240" w:lineRule="auto"/>
              <w:jc w:val="right"/>
            </w:pPr>
          </w:p>
        </w:tc>
        <w:tc>
          <w:tcPr>
            <w:tcW w:w="79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spacing w:before="15" w:after="30" w:line="240" w:lineRule="auto"/>
              <w:jc w:val="right"/>
            </w:pPr>
          </w:p>
        </w:tc>
        <w:tc>
          <w:tcPr>
            <w:tcW w:w="70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spacing w:before="15" w:after="30" w:line="240" w:lineRule="auto"/>
              <w:jc w:val="right"/>
            </w:pPr>
          </w:p>
        </w:tc>
        <w:tc>
          <w:tcPr>
            <w:tcW w:w="67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spacing w:before="15" w:after="30" w:line="240" w:lineRule="auto"/>
              <w:jc w:val="right"/>
            </w:pPr>
          </w:p>
        </w:tc>
        <w:tc>
          <w:tcPr>
            <w:tcW w:w="109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spacing w:before="15" w:after="30" w:line="240" w:lineRule="auto"/>
              <w:jc w:val="right"/>
            </w:pPr>
          </w:p>
        </w:tc>
        <w:tc>
          <w:tcPr>
            <w:tcW w:w="108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spacing w:before="15" w:after="30" w:line="240" w:lineRule="auto"/>
              <w:jc w:val="right"/>
            </w:pPr>
          </w:p>
        </w:tc>
        <w:tc>
          <w:tcPr>
            <w:tcW w:w="84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spacing w:before="15" w:after="30" w:line="240" w:lineRule="auto"/>
              <w:jc w:val="right"/>
            </w:pPr>
          </w:p>
        </w:tc>
      </w:tr>
      <w:tr>
        <w:tblPrEx>
          <w:tblW w:w="8760" w:type="dxa"/>
          <w:jc w:val="center"/>
          <w:tblLayout w:type="fixed"/>
          <w:tblCellMar>
            <w:left w:w="108" w:type="dxa"/>
            <w:right w:w="108" w:type="dxa"/>
          </w:tblCellMar>
        </w:tblPrEx>
        <w:trPr>
          <w:cantSplit/>
          <w:trHeight w:hRule="exact" w:val="300"/>
          <w:jc w:val="center"/>
        </w:trPr>
        <w:tc>
          <w:tcPr>
            <w:tcW w:w="289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75" w:after="30" w:line="240" w:lineRule="auto"/>
              <w:ind w:left="120"/>
              <w:jc w:val="left"/>
            </w:pPr>
            <w:r>
              <w:rPr>
                <w:rFonts w:ascii="Times New Roman" w:eastAsia="Times New Roman" w:hAnsi="Times New Roman" w:cs="Times New Roman"/>
                <w:b w:val="0"/>
                <w:i w:val="0"/>
                <w:color w:val="000000"/>
                <w:sz w:val="16"/>
                <w:u w:val="none"/>
              </w:rPr>
              <w:t>Net income</w:t>
            </w:r>
          </w:p>
        </w:tc>
        <w:tc>
          <w:tcPr>
            <w:tcW w:w="67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396"/>
                <w:tab w:val="left" w:pos="607"/>
              </w:tabs>
              <w:spacing w:before="75" w:after="30" w:line="240" w:lineRule="auto"/>
              <w:jc w:val="right"/>
            </w:pPr>
            <w:r>
              <w:rPr>
                <w:rFonts w:ascii="Times New Roman" w:eastAsia="Times New Roman" w:hAnsi="Times New Roman" w:cs="Times New Roman"/>
                <w:b w:val="0"/>
                <w:i w:val="0"/>
                <w:color w:val="000000"/>
                <w:sz w:val="16"/>
                <w:u w:val="none"/>
              </w:rPr>
              <w:tab/>
              <w:t>—</w:t>
              <w:tab/>
            </w:r>
          </w:p>
        </w:tc>
        <w:tc>
          <w:tcPr>
            <w:tcW w:w="7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29"/>
                <w:tab w:val="left" w:pos="727"/>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7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39"/>
                <w:tab w:val="left" w:pos="637"/>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67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334"/>
                <w:tab w:val="left" w:pos="607"/>
              </w:tabs>
              <w:spacing w:before="75" w:after="30" w:line="240" w:lineRule="auto"/>
              <w:jc w:val="right"/>
            </w:pPr>
            <w:r>
              <w:rPr>
                <w:rFonts w:ascii="Times New Roman" w:eastAsia="Times New Roman" w:hAnsi="Times New Roman" w:cs="Times New Roman"/>
                <w:b w:val="0"/>
                <w:i w:val="0"/>
                <w:color w:val="000000"/>
                <w:sz w:val="15"/>
                <w:u w:val="none"/>
              </w:rPr>
              <w:tab/>
              <w:t>606</w:t>
              <w:tab/>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29"/>
                <w:tab w:val="left" w:pos="1027"/>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89"/>
                <w:tab w:val="left" w:pos="1012"/>
              </w:tabs>
              <w:spacing w:before="75" w:after="30" w:line="240" w:lineRule="auto"/>
              <w:jc w:val="right"/>
            </w:pPr>
            <w:r>
              <w:rPr>
                <w:rFonts w:ascii="Times New Roman" w:eastAsia="Times New Roman" w:hAnsi="Times New Roman" w:cs="Times New Roman"/>
                <w:b w:val="0"/>
                <w:i w:val="0"/>
                <w:color w:val="000000"/>
                <w:sz w:val="15"/>
                <w:u w:val="none"/>
              </w:rPr>
              <w:tab/>
              <w:t>3</w:t>
              <w:tab/>
            </w:r>
          </w:p>
        </w:tc>
        <w:tc>
          <w:tcPr>
            <w:tcW w:w="8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99"/>
                <w:tab w:val="left" w:pos="772"/>
              </w:tabs>
              <w:spacing w:before="75" w:after="30" w:line="240" w:lineRule="auto"/>
              <w:jc w:val="right"/>
            </w:pPr>
            <w:r>
              <w:rPr>
                <w:rFonts w:ascii="Times New Roman" w:eastAsia="Times New Roman" w:hAnsi="Times New Roman" w:cs="Times New Roman"/>
                <w:b w:val="0"/>
                <w:i w:val="0"/>
                <w:color w:val="000000"/>
                <w:sz w:val="15"/>
                <w:u w:val="none"/>
              </w:rPr>
              <w:tab/>
              <w:t>609</w:t>
              <w:tab/>
            </w:r>
          </w:p>
        </w:tc>
      </w:tr>
      <w:tr>
        <w:tblPrEx>
          <w:tblW w:w="8760" w:type="dxa"/>
          <w:jc w:val="center"/>
          <w:tblLayout w:type="fixed"/>
          <w:tblCellMar>
            <w:left w:w="108" w:type="dxa"/>
            <w:right w:w="108" w:type="dxa"/>
          </w:tblCellMar>
        </w:tblPrEx>
        <w:trPr>
          <w:cantSplit/>
          <w:trHeight w:hRule="exact" w:val="300"/>
          <w:jc w:val="center"/>
        </w:trPr>
        <w:tc>
          <w:tcPr>
            <w:tcW w:w="289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75" w:after="30" w:line="240" w:lineRule="auto"/>
              <w:ind w:left="120"/>
              <w:jc w:val="left"/>
            </w:pPr>
            <w:r>
              <w:rPr>
                <w:rFonts w:ascii="Times New Roman" w:eastAsia="Times New Roman" w:hAnsi="Times New Roman" w:cs="Times New Roman"/>
                <w:b w:val="0"/>
                <w:i w:val="0"/>
                <w:color w:val="000000"/>
                <w:sz w:val="16"/>
                <w:u w:val="none"/>
              </w:rPr>
              <w:t>Other comprehensive income (loss)</w:t>
            </w:r>
          </w:p>
        </w:tc>
        <w:tc>
          <w:tcPr>
            <w:tcW w:w="67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96"/>
                <w:tab w:val="left" w:pos="607"/>
              </w:tabs>
              <w:spacing w:before="75" w:after="30" w:line="240" w:lineRule="auto"/>
              <w:jc w:val="right"/>
            </w:pPr>
            <w:r>
              <w:rPr>
                <w:rFonts w:ascii="Times New Roman" w:eastAsia="Times New Roman" w:hAnsi="Times New Roman" w:cs="Times New Roman"/>
                <w:b w:val="0"/>
                <w:i w:val="0"/>
                <w:color w:val="000000"/>
                <w:sz w:val="16"/>
                <w:u w:val="none"/>
              </w:rPr>
              <w:tab/>
              <w:t>—</w:t>
              <w:tab/>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29"/>
                <w:tab w:val="left" w:pos="727"/>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7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39"/>
                <w:tab w:val="left" w:pos="637"/>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67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09"/>
                <w:tab w:val="left" w:pos="607"/>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34"/>
              </w:tabs>
              <w:spacing w:before="75" w:after="30" w:line="240" w:lineRule="auto"/>
              <w:jc w:val="right"/>
            </w:pPr>
            <w:r>
              <w:rPr>
                <w:rFonts w:ascii="Times New Roman" w:eastAsia="Times New Roman" w:hAnsi="Times New Roman" w:cs="Times New Roman"/>
                <w:b w:val="0"/>
                <w:i w:val="0"/>
                <w:color w:val="000000"/>
                <w:sz w:val="15"/>
                <w:u w:val="none"/>
              </w:rPr>
              <w:tab/>
              <w:t>(1)</w:t>
            </w: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89"/>
                <w:tab w:val="left" w:pos="1012"/>
              </w:tabs>
              <w:spacing w:before="75" w:after="30" w:line="240" w:lineRule="auto"/>
              <w:jc w:val="right"/>
            </w:pPr>
            <w:r>
              <w:rPr>
                <w:rFonts w:ascii="Times New Roman" w:eastAsia="Times New Roman" w:hAnsi="Times New Roman" w:cs="Times New Roman"/>
                <w:b w:val="0"/>
                <w:i w:val="0"/>
                <w:color w:val="000000"/>
                <w:sz w:val="15"/>
                <w:u w:val="none"/>
              </w:rPr>
              <w:tab/>
              <w:t>1</w:t>
              <w:tab/>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74"/>
                <w:tab w:val="left" w:pos="772"/>
              </w:tabs>
              <w:spacing w:before="75" w:after="30" w:line="240" w:lineRule="auto"/>
              <w:jc w:val="right"/>
            </w:pPr>
            <w:r>
              <w:rPr>
                <w:rFonts w:ascii="Times New Roman" w:eastAsia="Times New Roman" w:hAnsi="Times New Roman" w:cs="Times New Roman"/>
                <w:b w:val="0"/>
                <w:i w:val="0"/>
                <w:color w:val="000000"/>
                <w:sz w:val="15"/>
                <w:u w:val="none"/>
              </w:rPr>
              <w:tab/>
              <w:t>—</w:t>
              <w:tab/>
            </w:r>
          </w:p>
        </w:tc>
      </w:tr>
      <w:tr>
        <w:tblPrEx>
          <w:tblW w:w="8760" w:type="dxa"/>
          <w:jc w:val="center"/>
          <w:tblLayout w:type="fixed"/>
          <w:tblCellMar>
            <w:left w:w="108" w:type="dxa"/>
            <w:right w:w="108" w:type="dxa"/>
          </w:tblCellMar>
        </w:tblPrEx>
        <w:trPr>
          <w:cantSplit/>
          <w:trHeight w:hRule="exact" w:val="300"/>
          <w:jc w:val="center"/>
        </w:trPr>
        <w:tc>
          <w:tcPr>
            <w:tcW w:w="289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75" w:after="30" w:line="240" w:lineRule="auto"/>
              <w:ind w:left="120"/>
              <w:jc w:val="left"/>
            </w:pPr>
            <w:r>
              <w:rPr>
                <w:rFonts w:ascii="Times New Roman" w:eastAsia="Times New Roman" w:hAnsi="Times New Roman" w:cs="Times New Roman"/>
                <w:b w:val="0"/>
                <w:i w:val="0"/>
                <w:color w:val="000000"/>
                <w:sz w:val="16"/>
                <w:u w:val="none"/>
              </w:rPr>
              <w:t>Cash dividends ($0.17 per share)</w:t>
            </w:r>
          </w:p>
        </w:tc>
        <w:tc>
          <w:tcPr>
            <w:tcW w:w="67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396"/>
                <w:tab w:val="left" w:pos="607"/>
              </w:tabs>
              <w:spacing w:before="75" w:after="30" w:line="240" w:lineRule="auto"/>
              <w:jc w:val="right"/>
            </w:pPr>
            <w:r>
              <w:rPr>
                <w:rFonts w:ascii="Times New Roman" w:eastAsia="Times New Roman" w:hAnsi="Times New Roman" w:cs="Times New Roman"/>
                <w:b w:val="0"/>
                <w:i w:val="0"/>
                <w:color w:val="000000"/>
                <w:sz w:val="16"/>
                <w:u w:val="none"/>
              </w:rPr>
              <w:tab/>
              <w:t>—</w:t>
              <w:tab/>
            </w:r>
          </w:p>
        </w:tc>
        <w:tc>
          <w:tcPr>
            <w:tcW w:w="7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29"/>
                <w:tab w:val="left" w:pos="727"/>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7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39"/>
                <w:tab w:val="left" w:pos="637"/>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67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264"/>
              </w:tabs>
              <w:spacing w:before="75" w:after="30" w:line="240" w:lineRule="auto"/>
              <w:jc w:val="right"/>
            </w:pPr>
            <w:r>
              <w:rPr>
                <w:rFonts w:ascii="Times New Roman" w:eastAsia="Times New Roman" w:hAnsi="Times New Roman" w:cs="Times New Roman"/>
                <w:b w:val="0"/>
                <w:i w:val="0"/>
                <w:color w:val="000000"/>
                <w:sz w:val="15"/>
                <w:u w:val="none"/>
              </w:rPr>
              <w:tab/>
              <w:t>(151)</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29"/>
                <w:tab w:val="left" w:pos="1027"/>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14"/>
                <w:tab w:val="left" w:pos="1012"/>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8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29"/>
              </w:tabs>
              <w:spacing w:before="75" w:after="30" w:line="240" w:lineRule="auto"/>
              <w:jc w:val="right"/>
            </w:pPr>
            <w:r>
              <w:rPr>
                <w:rFonts w:ascii="Times New Roman" w:eastAsia="Times New Roman" w:hAnsi="Times New Roman" w:cs="Times New Roman"/>
                <w:b w:val="0"/>
                <w:i w:val="0"/>
                <w:color w:val="000000"/>
                <w:sz w:val="15"/>
                <w:u w:val="none"/>
              </w:rPr>
              <w:tab/>
              <w:t>(151)</w:t>
            </w:r>
          </w:p>
        </w:tc>
      </w:tr>
      <w:tr>
        <w:tblPrEx>
          <w:tblW w:w="8760" w:type="dxa"/>
          <w:jc w:val="center"/>
          <w:tblLayout w:type="fixed"/>
          <w:tblCellMar>
            <w:left w:w="108" w:type="dxa"/>
            <w:right w:w="108" w:type="dxa"/>
          </w:tblCellMar>
        </w:tblPrEx>
        <w:trPr>
          <w:cantSplit/>
          <w:trHeight w:hRule="exact" w:val="300"/>
          <w:jc w:val="center"/>
        </w:trPr>
        <w:tc>
          <w:tcPr>
            <w:tcW w:w="289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75" w:after="30" w:line="240" w:lineRule="auto"/>
              <w:ind w:left="120"/>
              <w:jc w:val="left"/>
            </w:pPr>
            <w:r>
              <w:rPr>
                <w:rFonts w:ascii="Times New Roman" w:eastAsia="Times New Roman" w:hAnsi="Times New Roman" w:cs="Times New Roman"/>
                <w:b w:val="0"/>
                <w:i w:val="0"/>
                <w:color w:val="000000"/>
                <w:sz w:val="16"/>
                <w:u w:val="none"/>
              </w:rPr>
              <w:t>Stock repurchase program</w:t>
            </w:r>
          </w:p>
        </w:tc>
        <w:tc>
          <w:tcPr>
            <w:tcW w:w="67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96"/>
                <w:tab w:val="left" w:pos="607"/>
              </w:tabs>
              <w:spacing w:before="75" w:after="30" w:line="240" w:lineRule="auto"/>
              <w:jc w:val="right"/>
            </w:pPr>
            <w:r>
              <w:rPr>
                <w:rFonts w:ascii="Times New Roman" w:eastAsia="Times New Roman" w:hAnsi="Times New Roman" w:cs="Times New Roman"/>
                <w:b w:val="0"/>
                <w:i w:val="0"/>
                <w:color w:val="000000"/>
                <w:sz w:val="16"/>
                <w:u w:val="none"/>
              </w:rPr>
              <w:tab/>
              <w:t>—</w:t>
              <w:tab/>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29"/>
                <w:tab w:val="left" w:pos="727"/>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7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294"/>
              </w:tabs>
              <w:spacing w:before="75" w:after="30" w:line="240" w:lineRule="auto"/>
              <w:jc w:val="right"/>
            </w:pPr>
            <w:r>
              <w:rPr>
                <w:rFonts w:ascii="Times New Roman" w:eastAsia="Times New Roman" w:hAnsi="Times New Roman" w:cs="Times New Roman"/>
                <w:b w:val="0"/>
                <w:i w:val="0"/>
                <w:color w:val="000000"/>
                <w:sz w:val="15"/>
                <w:u w:val="none"/>
              </w:rPr>
              <w:tab/>
              <w:t>(250)</w:t>
            </w:r>
          </w:p>
        </w:tc>
        <w:tc>
          <w:tcPr>
            <w:tcW w:w="67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09"/>
                <w:tab w:val="left" w:pos="607"/>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29"/>
                <w:tab w:val="left" w:pos="1027"/>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14"/>
                <w:tab w:val="left" w:pos="1012"/>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29"/>
              </w:tabs>
              <w:spacing w:before="75" w:after="30" w:line="240" w:lineRule="auto"/>
              <w:jc w:val="right"/>
            </w:pPr>
            <w:r>
              <w:rPr>
                <w:rFonts w:ascii="Times New Roman" w:eastAsia="Times New Roman" w:hAnsi="Times New Roman" w:cs="Times New Roman"/>
                <w:b w:val="0"/>
                <w:i w:val="0"/>
                <w:color w:val="000000"/>
                <w:sz w:val="15"/>
                <w:u w:val="none"/>
              </w:rPr>
              <w:tab/>
              <w:t>(250)</w:t>
            </w:r>
          </w:p>
        </w:tc>
      </w:tr>
      <w:tr>
        <w:tblPrEx>
          <w:tblW w:w="8760" w:type="dxa"/>
          <w:jc w:val="center"/>
          <w:tblLayout w:type="fixed"/>
          <w:tblCellMar>
            <w:left w:w="108" w:type="dxa"/>
            <w:right w:w="108" w:type="dxa"/>
          </w:tblCellMar>
        </w:tblPrEx>
        <w:trPr>
          <w:cantSplit/>
          <w:trHeight w:hRule="exact" w:val="300"/>
          <w:jc w:val="center"/>
        </w:trPr>
        <w:tc>
          <w:tcPr>
            <w:tcW w:w="289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75" w:after="30" w:line="240" w:lineRule="auto"/>
              <w:ind w:left="120"/>
              <w:jc w:val="left"/>
            </w:pPr>
            <w:r>
              <w:rPr>
                <w:rFonts w:ascii="Times New Roman" w:eastAsia="Times New Roman" w:hAnsi="Times New Roman" w:cs="Times New Roman"/>
                <w:b w:val="0"/>
                <w:i w:val="0"/>
                <w:color w:val="000000"/>
                <w:sz w:val="16"/>
                <w:u w:val="none"/>
              </w:rPr>
              <w:t>Stock plans (a)</w:t>
            </w:r>
          </w:p>
        </w:tc>
        <w:tc>
          <w:tcPr>
            <w:tcW w:w="67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02"/>
              </w:tabs>
              <w:spacing w:before="75" w:after="30" w:line="240" w:lineRule="auto"/>
              <w:jc w:val="right"/>
            </w:pPr>
            <w:r>
              <w:rPr>
                <w:rFonts w:ascii="Times New Roman" w:eastAsia="Times New Roman" w:hAnsi="Times New Roman" w:cs="Times New Roman"/>
                <w:b w:val="0"/>
                <w:i w:val="0"/>
                <w:color w:val="000000"/>
                <w:sz w:val="16"/>
                <w:u w:val="none"/>
              </w:rPr>
              <w:tab/>
              <w:t>(1)</w:t>
            </w:r>
          </w:p>
        </w:tc>
        <w:tc>
          <w:tcPr>
            <w:tcW w:w="7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59"/>
              </w:tabs>
              <w:spacing w:before="75" w:after="30" w:line="240" w:lineRule="auto"/>
              <w:jc w:val="right"/>
            </w:pPr>
            <w:r>
              <w:rPr>
                <w:rFonts w:ascii="Times New Roman" w:eastAsia="Times New Roman" w:hAnsi="Times New Roman" w:cs="Times New Roman"/>
                <w:b w:val="0"/>
                <w:i w:val="0"/>
                <w:color w:val="000000"/>
                <w:sz w:val="15"/>
                <w:u w:val="none"/>
              </w:rPr>
              <w:tab/>
              <w:t>(63)</w:t>
            </w:r>
          </w:p>
        </w:tc>
        <w:tc>
          <w:tcPr>
            <w:tcW w:w="7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364"/>
                <w:tab w:val="left" w:pos="637"/>
              </w:tabs>
              <w:spacing w:before="75" w:after="30" w:line="240" w:lineRule="auto"/>
              <w:jc w:val="right"/>
            </w:pPr>
            <w:r>
              <w:rPr>
                <w:rFonts w:ascii="Times New Roman" w:eastAsia="Times New Roman" w:hAnsi="Times New Roman" w:cs="Times New Roman"/>
                <w:b w:val="0"/>
                <w:i w:val="0"/>
                <w:color w:val="000000"/>
                <w:sz w:val="15"/>
                <w:u w:val="none"/>
              </w:rPr>
              <w:tab/>
              <w:t>108</w:t>
              <w:tab/>
            </w:r>
          </w:p>
        </w:tc>
        <w:tc>
          <w:tcPr>
            <w:tcW w:w="67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14"/>
              </w:tabs>
              <w:spacing w:before="75" w:after="30" w:line="240" w:lineRule="auto"/>
              <w:jc w:val="right"/>
            </w:pPr>
            <w:r>
              <w:rPr>
                <w:rFonts w:ascii="Times New Roman" w:eastAsia="Times New Roman" w:hAnsi="Times New Roman" w:cs="Times New Roman"/>
                <w:b w:val="0"/>
                <w:i w:val="0"/>
                <w:color w:val="000000"/>
                <w:sz w:val="15"/>
                <w:u w:val="none"/>
              </w:rPr>
              <w:tab/>
              <w:t>(3)</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29"/>
                <w:tab w:val="left" w:pos="1027"/>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14"/>
                <w:tab w:val="left" w:pos="1012"/>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8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74"/>
                <w:tab w:val="left" w:pos="772"/>
              </w:tabs>
              <w:spacing w:before="75" w:after="30" w:line="240" w:lineRule="auto"/>
              <w:jc w:val="right"/>
            </w:pPr>
            <w:r>
              <w:rPr>
                <w:rFonts w:ascii="Times New Roman" w:eastAsia="Times New Roman" w:hAnsi="Times New Roman" w:cs="Times New Roman"/>
                <w:b w:val="0"/>
                <w:i w:val="0"/>
                <w:color w:val="000000"/>
                <w:sz w:val="15"/>
                <w:u w:val="none"/>
              </w:rPr>
              <w:tab/>
              <w:t>41</w:t>
              <w:tab/>
            </w:r>
          </w:p>
        </w:tc>
      </w:tr>
      <w:tr>
        <w:tblPrEx>
          <w:tblW w:w="8760" w:type="dxa"/>
          <w:jc w:val="center"/>
          <w:tblLayout w:type="fixed"/>
          <w:tblCellMar>
            <w:left w:w="108" w:type="dxa"/>
            <w:right w:w="108" w:type="dxa"/>
          </w:tblCellMar>
        </w:tblPrEx>
        <w:trPr>
          <w:cantSplit/>
          <w:trHeight w:hRule="exact" w:val="300"/>
          <w:jc w:val="center"/>
        </w:trPr>
        <w:tc>
          <w:tcPr>
            <w:tcW w:w="2895" w:type="dxa"/>
            <w:tcBorders>
              <w:top w:val="nil"/>
              <w:left w:val="nil"/>
              <w:bottom w:val="single" w:sz="8" w:space="0" w:color="000000"/>
              <w:right w:val="nil"/>
            </w:tcBorders>
            <w:shd w:val="clear" w:color="auto" w:fill="FFFFFF"/>
            <w:tcMar>
              <w:top w:w="0" w:type="dxa"/>
              <w:left w:w="53" w:type="dxa"/>
              <w:bottom w:w="0" w:type="dxa"/>
              <w:right w:w="15" w:type="dxa"/>
            </w:tcMar>
            <w:vAlign w:val="bottom"/>
          </w:tcPr>
          <w:p>
            <w:pPr>
              <w:keepNext/>
              <w:pageBreakBefore w:val="0"/>
              <w:spacing w:before="75" w:after="30" w:line="240" w:lineRule="auto"/>
              <w:ind w:left="135"/>
              <w:jc w:val="left"/>
            </w:pPr>
            <w:r>
              <w:rPr>
                <w:rFonts w:ascii="Times New Roman" w:eastAsia="Times New Roman" w:hAnsi="Times New Roman" w:cs="Times New Roman"/>
                <w:b w:val="0"/>
                <w:i w:val="0"/>
                <w:color w:val="000000"/>
                <w:sz w:val="16"/>
                <w:u w:val="none"/>
              </w:rPr>
              <w:t>Other</w:t>
            </w:r>
          </w:p>
        </w:tc>
        <w:tc>
          <w:tcPr>
            <w:tcW w:w="67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396"/>
                <w:tab w:val="left" w:pos="607"/>
              </w:tabs>
              <w:spacing w:before="75" w:after="30" w:line="240" w:lineRule="auto"/>
              <w:jc w:val="right"/>
            </w:pPr>
            <w:r>
              <w:rPr>
                <w:rFonts w:ascii="Times New Roman" w:eastAsia="Times New Roman" w:hAnsi="Times New Roman" w:cs="Times New Roman"/>
                <w:b w:val="0"/>
                <w:i w:val="0"/>
                <w:color w:val="000000"/>
                <w:sz w:val="16"/>
                <w:u w:val="none"/>
              </w:rPr>
              <w:tab/>
              <w:t>—</w:t>
              <w:tab/>
            </w:r>
          </w:p>
        </w:tc>
        <w:tc>
          <w:tcPr>
            <w:tcW w:w="7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529"/>
                <w:tab w:val="left" w:pos="727"/>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7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439"/>
                <w:tab w:val="left" w:pos="637"/>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67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409"/>
                <w:tab w:val="left" w:pos="607"/>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29"/>
                <w:tab w:val="left" w:pos="1027"/>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108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14"/>
                <w:tab w:val="left" w:pos="1012"/>
              </w:tabs>
              <w:spacing w:before="75" w:after="30" w:line="240" w:lineRule="auto"/>
              <w:jc w:val="right"/>
            </w:pPr>
            <w:r>
              <w:rPr>
                <w:rFonts w:ascii="Times New Roman" w:eastAsia="Times New Roman" w:hAnsi="Times New Roman" w:cs="Times New Roman"/>
                <w:b w:val="0"/>
                <w:i w:val="0"/>
                <w:color w:val="000000"/>
                <w:sz w:val="15"/>
                <w:u w:val="none"/>
              </w:rPr>
              <w:tab/>
              <w:t>—</w:t>
              <w:tab/>
            </w:r>
          </w:p>
        </w:tc>
        <w:tc>
          <w:tcPr>
            <w:tcW w:w="8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574"/>
                <w:tab w:val="left" w:pos="772"/>
              </w:tabs>
              <w:spacing w:before="75" w:after="30" w:line="240" w:lineRule="auto"/>
              <w:jc w:val="right"/>
            </w:pPr>
            <w:r>
              <w:rPr>
                <w:rFonts w:ascii="Times New Roman" w:eastAsia="Times New Roman" w:hAnsi="Times New Roman" w:cs="Times New Roman"/>
                <w:b w:val="0"/>
                <w:i w:val="0"/>
                <w:color w:val="000000"/>
                <w:sz w:val="15"/>
                <w:u w:val="none"/>
              </w:rPr>
              <w:tab/>
              <w:t>—</w:t>
              <w:tab/>
            </w:r>
          </w:p>
        </w:tc>
      </w:tr>
      <w:tr>
        <w:tblPrEx>
          <w:tblW w:w="8760" w:type="dxa"/>
          <w:jc w:val="center"/>
          <w:tblLayout w:type="fixed"/>
          <w:tblCellMar>
            <w:left w:w="108" w:type="dxa"/>
            <w:right w:w="108" w:type="dxa"/>
          </w:tblCellMar>
        </w:tblPrEx>
        <w:trPr>
          <w:cantSplit/>
          <w:trHeight w:hRule="exact" w:val="300"/>
          <w:jc w:val="center"/>
        </w:trPr>
        <w:tc>
          <w:tcPr>
            <w:tcW w:w="2895" w:type="dxa"/>
            <w:tcBorders>
              <w:top w:val="single" w:sz="8" w:space="0" w:color="000000"/>
              <w:left w:val="nil"/>
              <w:bottom w:val="double" w:sz="8" w:space="0" w:color="000000"/>
              <w:right w:val="nil"/>
            </w:tcBorders>
            <w:shd w:val="clear" w:color="auto" w:fill="CCEEFF"/>
            <w:tcMar>
              <w:top w:w="0" w:type="dxa"/>
              <w:left w:w="53" w:type="dxa"/>
              <w:bottom w:w="0" w:type="dxa"/>
              <w:right w:w="15" w:type="dxa"/>
            </w:tcMar>
            <w:vAlign w:val="bottom"/>
          </w:tcPr>
          <w:p>
            <w:pPr>
              <w:pageBreakBefore w:val="0"/>
              <w:spacing w:before="55" w:after="30" w:line="240" w:lineRule="auto"/>
              <w:jc w:val="left"/>
            </w:pPr>
            <w:r>
              <w:rPr>
                <w:rFonts w:ascii="Times New Roman" w:eastAsia="Times New Roman" w:hAnsi="Times New Roman" w:cs="Times New Roman"/>
                <w:b/>
                <w:i w:val="0"/>
                <w:color w:val="000000"/>
                <w:sz w:val="16"/>
                <w:u w:val="none"/>
              </w:rPr>
              <w:t>Balance at March 31, 2024</w:t>
            </w:r>
          </w:p>
        </w:tc>
        <w:tc>
          <w:tcPr>
            <w:tcW w:w="67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218"/>
                <w:tab w:val="left" w:pos="607"/>
              </w:tabs>
              <w:spacing w:before="55" w:after="30" w:line="240" w:lineRule="auto"/>
              <w:jc w:val="right"/>
            </w:pPr>
            <w:r>
              <w:rPr>
                <w:rFonts w:ascii="Times New Roman" w:eastAsia="Times New Roman" w:hAnsi="Times New Roman" w:cs="Times New Roman"/>
                <w:b/>
                <w:i w:val="0"/>
                <w:color w:val="000000"/>
                <w:sz w:val="15"/>
                <w:u w:val="none"/>
              </w:rPr>
              <w:t>$</w:t>
              <w:tab/>
              <w:t>2,662</w:t>
              <w:tab/>
            </w:r>
          </w:p>
        </w:tc>
        <w:tc>
          <w:tcPr>
            <w:tcW w:w="7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529"/>
                <w:tab w:val="left" w:pos="727"/>
              </w:tabs>
              <w:spacing w:before="55" w:after="30" w:line="240" w:lineRule="auto"/>
              <w:jc w:val="right"/>
            </w:pPr>
            <w:r>
              <w:rPr>
                <w:rFonts w:ascii="Times New Roman" w:eastAsia="Times New Roman" w:hAnsi="Times New Roman" w:cs="Times New Roman"/>
                <w:b/>
                <w:i w:val="0"/>
                <w:color w:val="000000"/>
                <w:sz w:val="15"/>
                <w:u w:val="none"/>
              </w:rPr>
              <w:t>$</w:t>
              <w:tab/>
              <w:t>—</w:t>
              <w:tab/>
            </w:r>
          </w:p>
        </w:tc>
        <w:tc>
          <w:tcPr>
            <w:tcW w:w="7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82"/>
              </w:tabs>
              <w:spacing w:before="55" w:after="30" w:line="240" w:lineRule="auto"/>
              <w:jc w:val="right"/>
            </w:pPr>
            <w:r>
              <w:rPr>
                <w:rFonts w:ascii="Times New Roman" w:eastAsia="Times New Roman" w:hAnsi="Times New Roman" w:cs="Times New Roman"/>
                <w:b/>
                <w:i w:val="0"/>
                <w:color w:val="000000"/>
                <w:sz w:val="15"/>
                <w:u w:val="none"/>
              </w:rPr>
              <w:t>$</w:t>
              <w:tab/>
              <w:t>(5,682)</w:t>
            </w:r>
          </w:p>
        </w:tc>
        <w:tc>
          <w:tcPr>
            <w:tcW w:w="67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47"/>
                <w:tab w:val="left" w:pos="607"/>
              </w:tabs>
              <w:spacing w:before="55" w:after="30" w:line="240" w:lineRule="auto"/>
              <w:jc w:val="right"/>
            </w:pPr>
            <w:r>
              <w:rPr>
                <w:rFonts w:ascii="Times New Roman" w:eastAsia="Times New Roman" w:hAnsi="Times New Roman" w:cs="Times New Roman"/>
                <w:b/>
                <w:i w:val="0"/>
                <w:color w:val="000000"/>
                <w:sz w:val="15"/>
                <w:u w:val="none"/>
              </w:rPr>
              <w:t>$</w:t>
              <w:tab/>
              <w:t>12,988</w:t>
              <w:tab/>
            </w:r>
          </w:p>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684"/>
              </w:tabs>
              <w:spacing w:before="55" w:after="30" w:line="240" w:lineRule="auto"/>
              <w:jc w:val="right"/>
            </w:pPr>
            <w:r>
              <w:rPr>
                <w:rFonts w:ascii="Times New Roman" w:eastAsia="Times New Roman" w:hAnsi="Times New Roman" w:cs="Times New Roman"/>
                <w:b/>
                <w:i w:val="0"/>
                <w:color w:val="000000"/>
                <w:sz w:val="15"/>
                <w:u w:val="none"/>
              </w:rPr>
              <w:t>$</w:t>
              <w:tab/>
              <w:t>(332)</w:t>
            </w:r>
          </w:p>
        </w:tc>
        <w:tc>
          <w:tcPr>
            <w:tcW w:w="108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814"/>
                <w:tab w:val="left" w:pos="1012"/>
              </w:tabs>
              <w:spacing w:before="55" w:after="30" w:line="240" w:lineRule="auto"/>
              <w:jc w:val="right"/>
            </w:pPr>
            <w:r>
              <w:rPr>
                <w:rFonts w:ascii="Times New Roman" w:eastAsia="Times New Roman" w:hAnsi="Times New Roman" w:cs="Times New Roman"/>
                <w:b/>
                <w:i w:val="0"/>
                <w:color w:val="000000"/>
                <w:sz w:val="15"/>
                <w:u w:val="none"/>
              </w:rPr>
              <w:t>$</w:t>
              <w:tab/>
              <w:t>46</w:t>
              <w:tab/>
            </w:r>
          </w:p>
        </w:tc>
        <w:tc>
          <w:tcPr>
            <w:tcW w:w="84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387"/>
                <w:tab w:val="left" w:pos="772"/>
              </w:tabs>
              <w:spacing w:before="55" w:after="30" w:line="240" w:lineRule="auto"/>
              <w:jc w:val="right"/>
            </w:pPr>
            <w:r>
              <w:rPr>
                <w:rFonts w:ascii="Times New Roman" w:eastAsia="Times New Roman" w:hAnsi="Times New Roman" w:cs="Times New Roman"/>
                <w:b/>
                <w:i w:val="0"/>
                <w:color w:val="000000"/>
                <w:sz w:val="15"/>
                <w:u w:val="none"/>
              </w:rPr>
              <w:t>$</w:t>
              <w:tab/>
              <w:t>9,682</w:t>
              <w:tab/>
            </w:r>
          </w:p>
        </w:tc>
      </w:tr>
    </w:tbl>
    <w:p>
      <w:pPr>
        <w:keepNext/>
        <w:keepLines/>
        <w:pageBreakBefore w:val="0"/>
        <w:widowControl w:val="0"/>
        <w:numPr>
          <w:ilvl w:val="0"/>
          <w:numId w:val="0"/>
        </w:numPr>
        <w:spacing w:before="0" w:after="0" w:line="288" w:lineRule="auto"/>
        <w:ind w:left="0" w:right="0" w:firstLine="720"/>
        <w:jc w:val="center"/>
        <w:outlineLvl w:val="9"/>
        <w:rPr>
          <w:rFonts w:ascii="Times New Roman" w:eastAsia="Times New Roman" w:hAnsi="Times New Roman" w:cs="Times New Roman"/>
          <w:b w:val="0"/>
          <w:i w:val="0"/>
          <w:color w:val="000000"/>
          <w:sz w:val="10"/>
          <w:u w:val="none"/>
        </w:rPr>
      </w:pP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85"/>
        <w:gridCol w:w="8505"/>
      </w:tblGrid>
      <w:tr>
        <w:tblPrEx>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780"/>
          <w:jc w:val="center"/>
        </w:trPr>
        <w:tc>
          <w:tcPr>
            <w:tcW w:w="285" w:type="dxa"/>
            <w:tcBorders>
              <w:top w:val="nil"/>
              <w:left w:val="nil"/>
              <w:bottom w:val="nil"/>
              <w:right w:val="nil"/>
            </w:tcBorders>
            <w:tcMar>
              <w:top w:w="0" w:type="dxa"/>
              <w:left w:w="53" w:type="dxa"/>
              <w:bottom w:w="0" w:type="dxa"/>
              <w:right w:w="53" w:type="dxa"/>
            </w:tcMar>
            <w:vAlign w:val="top"/>
          </w:tcPr>
          <w:p>
            <w:pPr>
              <w:pageBreakBefore w:val="0"/>
              <w:spacing w:before="75" w:after="30" w:line="240" w:lineRule="auto"/>
              <w:jc w:val="center"/>
            </w:pPr>
            <w:r>
              <w:rPr>
                <w:rFonts w:ascii="Times New Roman" w:eastAsia="Times New Roman" w:hAnsi="Times New Roman" w:cs="Times New Roman"/>
                <w:b w:val="0"/>
                <w:i w:val="0"/>
                <w:color w:val="000000"/>
                <w:sz w:val="16"/>
                <w:u w:val="none"/>
              </w:rPr>
              <w:t>(a)</w:t>
            </w:r>
          </w:p>
        </w:tc>
        <w:tc>
          <w:tcPr>
            <w:tcW w:w="8505"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75" w:after="30" w:line="240" w:lineRule="auto"/>
              <w:ind w:left="0" w:right="0" w:firstLine="0"/>
              <w:jc w:val="both"/>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 xml:space="preserve">In the first quarter of </w:t>
            </w:r>
            <w:r>
              <w:rPr>
                <w:rFonts w:ascii="Times New Roman" w:eastAsia="Times New Roman" w:hAnsi="Times New Roman" w:cs="Times New Roman"/>
                <w:b w:val="0"/>
                <w:i w:val="0"/>
                <w:color w:val="000000"/>
                <w:sz w:val="16"/>
                <w:u w:val="none"/>
              </w:rPr>
              <w:t>2024</w:t>
            </w:r>
            <w:r>
              <w:rPr>
                <w:rFonts w:ascii="Times New Roman" w:eastAsia="Times New Roman" w:hAnsi="Times New Roman" w:cs="Times New Roman"/>
                <w:b w:val="0"/>
                <w:i w:val="0"/>
                <w:sz w:val="16"/>
              </w:rPr>
              <w:t xml:space="preserve">, we issued common stock from treasury shares for stock options exercised, restricted stock grants, performance shares under our performance unit program, and purchases under our employee stock purchase plan. As a result, additional paid in capital was reduced to zero, which resulted in a reduction of retained earnings by </w:t>
            </w:r>
            <w:r>
              <w:rPr>
                <w:rFonts w:ascii="Times New Roman" w:eastAsia="Times New Roman" w:hAnsi="Times New Roman" w:cs="Times New Roman"/>
                <w:b w:val="0"/>
                <w:i w:val="0"/>
                <w:color w:val="000000"/>
                <w:sz w:val="16"/>
                <w:u w:val="none"/>
              </w:rPr>
              <w:t>$3 million</w:t>
            </w:r>
            <w:r>
              <w:rPr>
                <w:rFonts w:ascii="Times New Roman" w:eastAsia="Times New Roman" w:hAnsi="Times New Roman" w:cs="Times New Roman"/>
                <w:b w:val="0"/>
                <w:i w:val="0"/>
                <w:sz w:val="16"/>
              </w:rPr>
              <w:t>. Future issuances from treasury shares could similarly impact additional paid in capital and retained earnings.</w:t>
            </w:r>
          </w:p>
        </w:tc>
      </w:tr>
    </w:tbl>
    <w:p>
      <w:pPr>
        <w:keepNext w:val="0"/>
        <w:keepLines/>
        <w:pageBreakBefore w:val="0"/>
        <w:widowControl w:val="0"/>
        <w:numPr>
          <w:ilvl w:val="0"/>
          <w:numId w:val="0"/>
        </w:numPr>
        <w:spacing w:before="160" w:after="16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Our Board of Directors has authorized a program to repurchase our common stock from time to time. </w:t>
      </w:r>
      <w:r>
        <w:rPr>
          <w:rFonts w:ascii="Times New Roman" w:eastAsia="Times New Roman" w:hAnsi="Times New Roman" w:cs="Times New Roman"/>
          <w:b w:val="0"/>
          <w:i w:val="0"/>
          <w:color w:val="000000"/>
          <w:sz w:val="20"/>
          <w:u w:val="none"/>
        </w:rPr>
        <w:t xml:space="preserve">We repurchased </w:t>
      </w:r>
      <w:r>
        <w:rPr>
          <w:rFonts w:ascii="Times New Roman" w:eastAsia="Times New Roman" w:hAnsi="Times New Roman" w:cs="Times New Roman"/>
          <w:b w:val="0"/>
          <w:i w:val="0"/>
          <w:color w:val="000000"/>
          <w:sz w:val="20"/>
          <w:u w:val="none"/>
        </w:rPr>
        <w:t>9.6 million</w:t>
      </w:r>
      <w:r>
        <w:rPr>
          <w:rFonts w:ascii="Times New Roman" w:eastAsia="Times New Roman" w:hAnsi="Times New Roman" w:cs="Times New Roman"/>
          <w:b w:val="0"/>
          <w:i w:val="0"/>
          <w:color w:val="000000"/>
          <w:sz w:val="20"/>
          <w:u w:val="none"/>
        </w:rPr>
        <w:t xml:space="preserve"> shares of our common stock under the program during the </w:t>
      </w:r>
      <w:r>
        <w:rPr>
          <w:rFonts w:ascii="Times New Roman" w:eastAsia="Times New Roman" w:hAnsi="Times New Roman" w:cs="Times New Roman"/>
          <w:b w:val="0"/>
          <w:i w:val="0"/>
          <w:color w:val="000000"/>
          <w:sz w:val="20"/>
          <w:u w:val="none"/>
        </w:rPr>
        <w:t>three months ended</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color w:val="000000"/>
          <w:sz w:val="20"/>
          <w:u w:val="none"/>
        </w:rPr>
        <w:t xml:space="preserve"> for </w:t>
      </w:r>
      <w:r>
        <w:rPr>
          <w:rFonts w:ascii="Times New Roman" w:eastAsia="Times New Roman" w:hAnsi="Times New Roman" w:cs="Times New Roman"/>
          <w:b w:val="0"/>
          <w:i w:val="0"/>
          <w:color w:val="000000"/>
          <w:sz w:val="20"/>
          <w:u w:val="none"/>
        </w:rPr>
        <w:t>$250 million</w:t>
      </w:r>
      <w:r>
        <w:rPr>
          <w:rFonts w:ascii="Times New Roman" w:eastAsia="Times New Roman" w:hAnsi="Times New Roman" w:cs="Times New Roman"/>
          <w:b w:val="0"/>
          <w:i w:val="0"/>
          <w:color w:val="000000"/>
          <w:sz w:val="20"/>
          <w:u w:val="none"/>
        </w:rPr>
        <w:t xml:space="preserve">. Approximately </w:t>
      </w:r>
      <w:r>
        <w:rPr>
          <w:rFonts w:ascii="Times New Roman" w:eastAsia="Times New Roman" w:hAnsi="Times New Roman" w:cs="Times New Roman"/>
          <w:b w:val="0"/>
          <w:i w:val="0"/>
          <w:color w:val="000000"/>
          <w:sz w:val="20"/>
          <w:u w:val="none"/>
        </w:rPr>
        <w:t>$2.8 billion</w:t>
      </w:r>
      <w:r>
        <w:rPr>
          <w:rFonts w:ascii="Times New Roman" w:eastAsia="Times New Roman" w:hAnsi="Times New Roman" w:cs="Times New Roman"/>
          <w:b w:val="0"/>
          <w:i w:val="0"/>
          <w:color w:val="000000"/>
          <w:sz w:val="20"/>
          <w:u w:val="none"/>
        </w:rPr>
        <w:t xml:space="preserve"> remained authorized for repurchases under the program as of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color w:val="000000"/>
          <w:sz w:val="20"/>
          <w:u w:val="none"/>
        </w:rPr>
        <w:t xml:space="preserve">. From the inception of this program in February of 2006 through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color w:val="000000"/>
          <w:sz w:val="20"/>
          <w:u w:val="none"/>
        </w:rPr>
        <w:t xml:space="preserve">, we repurchased </w:t>
      </w:r>
      <w:r>
        <w:rPr>
          <w:rFonts w:ascii="Times New Roman" w:eastAsia="Times New Roman" w:hAnsi="Times New Roman" w:cs="Times New Roman"/>
          <w:b w:val="0"/>
          <w:i w:val="0"/>
          <w:color w:val="000000"/>
          <w:sz w:val="20"/>
          <w:u w:val="none"/>
        </w:rPr>
        <w:t>293 million</w:t>
      </w:r>
      <w:r>
        <w:rPr>
          <w:rFonts w:ascii="Times New Roman" w:eastAsia="Times New Roman" w:hAnsi="Times New Roman" w:cs="Times New Roman"/>
          <w:b w:val="0"/>
          <w:i w:val="0"/>
          <w:color w:val="000000"/>
          <w:sz w:val="20"/>
          <w:u w:val="none"/>
        </w:rPr>
        <w:t xml:space="preserve"> shares of our common stock for a total cost of approximately </w:t>
      </w:r>
      <w:r>
        <w:rPr>
          <w:rFonts w:ascii="Times New Roman" w:eastAsia="Times New Roman" w:hAnsi="Times New Roman" w:cs="Times New Roman"/>
          <w:b w:val="0"/>
          <w:i w:val="0"/>
          <w:color w:val="000000"/>
          <w:sz w:val="20"/>
          <w:u w:val="none"/>
        </w:rPr>
        <w:t>$11.3 billion</w:t>
      </w:r>
      <w:r>
        <w:rPr>
          <w:rFonts w:ascii="Times New Roman" w:eastAsia="Times New Roman" w:hAnsi="Times New Roman" w:cs="Times New Roman"/>
          <w:b w:val="0"/>
          <w:i w:val="0"/>
          <w:color w:val="000000"/>
          <w:sz w:val="20"/>
          <w:u w:val="none"/>
        </w:rPr>
        <w:t>.</w:t>
      </w:r>
      <w:r>
        <w:rPr>
          <w:rFonts w:ascii="Times New Roman" w:eastAsia="Times New Roman" w:hAnsi="Times New Roman" w:cs="Times New Roman"/>
          <w:b w:val="0"/>
          <w:i w:val="0"/>
          <w:color w:val="000000"/>
          <w:sz w:val="20"/>
          <w:u w:val="none"/>
        </w:rPr>
        <w:t xml:space="preserve"> We repurchased </w:t>
      </w:r>
      <w:r>
        <w:rPr>
          <w:rFonts w:ascii="Times New Roman" w:eastAsia="Times New Roman" w:hAnsi="Times New Roman" w:cs="Times New Roman"/>
          <w:b w:val="0"/>
          <w:i w:val="0"/>
          <w:color w:val="000000"/>
          <w:sz w:val="20"/>
          <w:u w:val="none"/>
        </w:rPr>
        <w:t>7.0 million</w:t>
      </w:r>
      <w:r>
        <w:rPr>
          <w:rFonts w:ascii="Times New Roman" w:eastAsia="Times New Roman" w:hAnsi="Times New Roman" w:cs="Times New Roman"/>
          <w:b w:val="0"/>
          <w:i w:val="0"/>
          <w:color w:val="000000"/>
          <w:sz w:val="20"/>
          <w:u w:val="none"/>
        </w:rPr>
        <w:t xml:space="preserve"> shares of our common stock under the program during the three months ended </w:t>
      </w:r>
      <w:r>
        <w:rPr>
          <w:rFonts w:ascii="Times New Roman" w:eastAsia="Times New Roman" w:hAnsi="Times New Roman" w:cs="Times New Roman"/>
          <w:b w:val="0"/>
          <w:i w:val="0"/>
          <w:color w:val="000000"/>
          <w:sz w:val="20"/>
          <w:u w:val="none"/>
        </w:rPr>
        <w:t>March 31, 2024</w:t>
      </w:r>
      <w:r>
        <w:rPr>
          <w:rFonts w:ascii="Times New Roman" w:eastAsia="Times New Roman" w:hAnsi="Times New Roman" w:cs="Times New Roman"/>
          <w:b w:val="0"/>
          <w:i w:val="0"/>
          <w:color w:val="000000"/>
          <w:sz w:val="20"/>
          <w:u w:val="none"/>
        </w:rPr>
        <w:t xml:space="preserve"> for approximately </w:t>
      </w:r>
      <w:r>
        <w:rPr>
          <w:rFonts w:ascii="Times New Roman" w:eastAsia="Times New Roman" w:hAnsi="Times New Roman" w:cs="Times New Roman"/>
          <w:b w:val="0"/>
          <w:i w:val="0"/>
          <w:color w:val="000000"/>
          <w:sz w:val="20"/>
          <w:u w:val="none"/>
        </w:rPr>
        <w:t>$250 million</w:t>
      </w:r>
      <w:r>
        <w:rPr>
          <w:rFonts w:ascii="Times New Roman" w:eastAsia="Times New Roman" w:hAnsi="Times New Roman" w:cs="Times New Roman"/>
          <w:b w:val="0"/>
          <w:i w:val="0"/>
          <w:color w:val="000000"/>
          <w:sz w:val="20"/>
          <w:u w:val="none"/>
        </w:rPr>
        <w:t>.</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Accumulated other comprehensive loss consisted of the following: </w:t>
      </w:r>
    </w:p>
    <w:tbl>
      <w:tblPr>
        <w:tblW w:w="7935" w:type="dxa"/>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205"/>
        <w:gridCol w:w="1365"/>
        <w:gridCol w:w="1365"/>
      </w:tblGrid>
      <w:tr>
        <w:tblPrEx>
          <w:tblW w:w="7935" w:type="dxa"/>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495"/>
        </w:trPr>
        <w:tc>
          <w:tcPr>
            <w:tcW w:w="52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color w:val="000000"/>
                <w:sz w:val="20"/>
                <w:u w:val="none"/>
              </w:rPr>
              <w:t>Millions of dollars</w:t>
            </w:r>
          </w:p>
        </w:tc>
        <w:tc>
          <w:tcPr>
            <w:tcW w:w="136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20"/>
                <w:u w:val="none"/>
              </w:rPr>
              <w:t>March 31, 2025</w:t>
            </w:r>
          </w:p>
        </w:tc>
        <w:tc>
          <w:tcPr>
            <w:tcW w:w="136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20"/>
                <w:u w:val="none"/>
              </w:rPr>
              <w:t>December 31, 2024</w:t>
            </w:r>
          </w:p>
        </w:tc>
      </w:tr>
      <w:tr>
        <w:tblPrEx>
          <w:tblW w:w="7935" w:type="dxa"/>
          <w:tblInd w:w="990" w:type="dxa"/>
          <w:tblLayout w:type="fixed"/>
          <w:tblCellMar>
            <w:left w:w="108" w:type="dxa"/>
            <w:right w:w="108" w:type="dxa"/>
          </w:tblCellMar>
        </w:tblPrEx>
        <w:trPr>
          <w:cantSplit/>
          <w:trHeight w:hRule="exact" w:val="315"/>
        </w:trPr>
        <w:tc>
          <w:tcPr>
            <w:tcW w:w="520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20"/>
                <w:u w:val="none"/>
              </w:rPr>
              <w:t>Cumulative translation adjustments</w:t>
            </w:r>
          </w:p>
        </w:tc>
        <w:tc>
          <w:tcPr>
            <w:tcW w:w="136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946"/>
              </w:tabs>
              <w:spacing w:before="55" w:after="30" w:line="240" w:lineRule="auto"/>
              <w:jc w:val="right"/>
            </w:pPr>
            <w:r>
              <w:rPr>
                <w:rFonts w:ascii="Times New Roman" w:eastAsia="Times New Roman" w:hAnsi="Times New Roman" w:cs="Times New Roman"/>
                <w:b w:val="0"/>
                <w:i w:val="0"/>
                <w:color w:val="000000"/>
                <w:sz w:val="20"/>
                <w:u w:val="none"/>
              </w:rPr>
              <w:t>$</w:t>
              <w:tab/>
              <w:t>(82)</w:t>
            </w:r>
          </w:p>
        </w:tc>
        <w:tc>
          <w:tcPr>
            <w:tcW w:w="136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946"/>
              </w:tabs>
              <w:spacing w:before="55" w:after="30" w:line="240" w:lineRule="auto"/>
              <w:jc w:val="right"/>
            </w:pPr>
            <w:r>
              <w:rPr>
                <w:rFonts w:ascii="Times New Roman" w:eastAsia="Times New Roman" w:hAnsi="Times New Roman" w:cs="Times New Roman"/>
                <w:b w:val="0"/>
                <w:i w:val="0"/>
                <w:color w:val="000000"/>
                <w:sz w:val="20"/>
                <w:u w:val="none"/>
              </w:rPr>
              <w:t>$</w:t>
              <w:tab/>
              <w:t>(82)</w:t>
            </w:r>
          </w:p>
        </w:tc>
      </w:tr>
      <w:tr>
        <w:tblPrEx>
          <w:tblW w:w="7935" w:type="dxa"/>
          <w:tblInd w:w="990" w:type="dxa"/>
          <w:tblLayout w:type="fixed"/>
          <w:tblCellMar>
            <w:left w:w="108" w:type="dxa"/>
            <w:right w:w="108" w:type="dxa"/>
          </w:tblCellMar>
        </w:tblPrEx>
        <w:trPr>
          <w:cantSplit/>
          <w:trHeight w:hRule="exact" w:val="315"/>
        </w:trPr>
        <w:tc>
          <w:tcPr>
            <w:tcW w:w="52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Defined benefit and other postretirement liability adjustments</w:t>
            </w:r>
          </w:p>
        </w:tc>
        <w:tc>
          <w:tcPr>
            <w:tcW w:w="136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46"/>
              </w:tabs>
              <w:spacing w:before="75" w:after="30" w:line="240" w:lineRule="auto"/>
              <w:jc w:val="right"/>
            </w:pPr>
            <w:r>
              <w:rPr>
                <w:rFonts w:ascii="Times New Roman" w:eastAsia="Times New Roman" w:hAnsi="Times New Roman" w:cs="Times New Roman"/>
                <w:b w:val="0"/>
                <w:i w:val="0"/>
                <w:color w:val="000000"/>
                <w:sz w:val="20"/>
                <w:u w:val="none"/>
              </w:rPr>
              <w:tab/>
              <w:t>(239)</w:t>
            </w:r>
          </w:p>
        </w:tc>
        <w:tc>
          <w:tcPr>
            <w:tcW w:w="136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46"/>
              </w:tabs>
              <w:spacing w:before="75" w:after="30" w:line="240" w:lineRule="auto"/>
              <w:jc w:val="right"/>
            </w:pPr>
            <w:r>
              <w:rPr>
                <w:rFonts w:ascii="Times New Roman" w:eastAsia="Times New Roman" w:hAnsi="Times New Roman" w:cs="Times New Roman"/>
                <w:b w:val="0"/>
                <w:i w:val="0"/>
                <w:color w:val="000000"/>
                <w:sz w:val="20"/>
                <w:u w:val="none"/>
              </w:rPr>
              <w:tab/>
              <w:t>(234)</w:t>
            </w:r>
          </w:p>
        </w:tc>
      </w:tr>
      <w:tr>
        <w:tblPrEx>
          <w:tblW w:w="7935" w:type="dxa"/>
          <w:tblInd w:w="990" w:type="dxa"/>
          <w:tblLayout w:type="fixed"/>
          <w:tblCellMar>
            <w:left w:w="108" w:type="dxa"/>
            <w:right w:w="108" w:type="dxa"/>
          </w:tblCellMar>
        </w:tblPrEx>
        <w:trPr>
          <w:cantSplit/>
          <w:trHeight w:hRule="exact" w:val="315"/>
        </w:trPr>
        <w:tc>
          <w:tcPr>
            <w:tcW w:w="5205"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Other</w:t>
            </w:r>
          </w:p>
        </w:tc>
        <w:tc>
          <w:tcPr>
            <w:tcW w:w="136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946"/>
              </w:tabs>
              <w:spacing w:before="75" w:after="30" w:line="240" w:lineRule="auto"/>
              <w:jc w:val="right"/>
            </w:pPr>
            <w:r>
              <w:rPr>
                <w:rFonts w:ascii="Times New Roman" w:eastAsia="Times New Roman" w:hAnsi="Times New Roman" w:cs="Times New Roman"/>
                <w:b w:val="0"/>
                <w:i w:val="0"/>
                <w:color w:val="000000"/>
                <w:sz w:val="20"/>
                <w:u w:val="none"/>
              </w:rPr>
              <w:tab/>
              <w:t>(38)</w:t>
            </w:r>
          </w:p>
        </w:tc>
        <w:tc>
          <w:tcPr>
            <w:tcW w:w="136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946"/>
              </w:tabs>
              <w:spacing w:before="75" w:after="30" w:line="240" w:lineRule="auto"/>
              <w:jc w:val="right"/>
            </w:pPr>
            <w:r>
              <w:rPr>
                <w:rFonts w:ascii="Times New Roman" w:eastAsia="Times New Roman" w:hAnsi="Times New Roman" w:cs="Times New Roman"/>
                <w:b w:val="0"/>
                <w:i w:val="0"/>
                <w:color w:val="000000"/>
                <w:sz w:val="20"/>
                <w:u w:val="none"/>
              </w:rPr>
              <w:tab/>
              <w:t>(37)</w:t>
            </w:r>
          </w:p>
        </w:tc>
      </w:tr>
      <w:tr>
        <w:tblPrEx>
          <w:tblW w:w="7935" w:type="dxa"/>
          <w:tblInd w:w="990" w:type="dxa"/>
          <w:tblLayout w:type="fixed"/>
          <w:tblCellMar>
            <w:left w:w="108" w:type="dxa"/>
            <w:right w:w="108" w:type="dxa"/>
          </w:tblCellMar>
        </w:tblPrEx>
        <w:trPr>
          <w:cantSplit/>
          <w:trHeight w:hRule="exact" w:val="315"/>
        </w:trPr>
        <w:tc>
          <w:tcPr>
            <w:tcW w:w="5205" w:type="dxa"/>
            <w:tcBorders>
              <w:top w:val="single" w:sz="8" w:space="0" w:color="000000"/>
              <w:left w:val="nil"/>
              <w:bottom w:val="double" w:sz="8" w:space="0" w:color="000000"/>
              <w:right w:val="nil"/>
            </w:tcBorders>
            <w:shd w:val="clear" w:color="auto" w:fill="FFFFFF"/>
            <w:tcMar>
              <w:top w:w="0" w:type="dxa"/>
              <w:left w:w="53" w:type="dxa"/>
              <w:bottom w:w="0" w:type="dxa"/>
              <w:right w:w="53" w:type="dxa"/>
            </w:tcMar>
            <w:vAlign w:val="bottom"/>
          </w:tcPr>
          <w:p>
            <w:pPr>
              <w:pageBreakBefore w:val="0"/>
              <w:spacing w:before="55" w:after="30" w:line="240" w:lineRule="auto"/>
              <w:jc w:val="left"/>
            </w:pPr>
            <w:r>
              <w:rPr>
                <w:rFonts w:ascii="Times New Roman" w:eastAsia="Times New Roman" w:hAnsi="Times New Roman" w:cs="Times New Roman"/>
                <w:b w:val="0"/>
                <w:i w:val="0"/>
                <w:color w:val="000000"/>
                <w:sz w:val="20"/>
                <w:u w:val="none"/>
              </w:rPr>
              <w:t>Total accumulated other comprehensive loss</w:t>
            </w:r>
          </w:p>
        </w:tc>
        <w:tc>
          <w:tcPr>
            <w:tcW w:w="136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846"/>
              </w:tabs>
              <w:spacing w:before="55" w:after="30" w:line="240" w:lineRule="auto"/>
              <w:jc w:val="right"/>
            </w:pPr>
            <w:r>
              <w:rPr>
                <w:rFonts w:ascii="Times New Roman" w:eastAsia="Times New Roman" w:hAnsi="Times New Roman" w:cs="Times New Roman"/>
                <w:b w:val="0"/>
                <w:i w:val="0"/>
                <w:color w:val="000000"/>
                <w:sz w:val="20"/>
                <w:u w:val="none"/>
              </w:rPr>
              <w:t>$</w:t>
              <w:tab/>
              <w:t>(359)</w:t>
            </w:r>
          </w:p>
        </w:tc>
        <w:tc>
          <w:tcPr>
            <w:tcW w:w="136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846"/>
              </w:tabs>
              <w:spacing w:before="55" w:after="30" w:line="240" w:lineRule="auto"/>
              <w:jc w:val="right"/>
            </w:pPr>
            <w:r>
              <w:rPr>
                <w:rFonts w:ascii="Times New Roman" w:eastAsia="Times New Roman" w:hAnsi="Times New Roman" w:cs="Times New Roman"/>
                <w:b w:val="0"/>
                <w:i w:val="0"/>
                <w:color w:val="000000"/>
                <w:sz w:val="20"/>
                <w:u w:val="none"/>
              </w:rPr>
              <w:t>$</w:t>
              <w:tab/>
              <w:t>(353)</w:t>
            </w:r>
          </w:p>
        </w:tc>
      </w:tr>
    </w:tbl>
    <w:p>
      <w:pPr>
        <w:keepNext w:val="0"/>
        <w:keepLines/>
        <w:pageBreakBefore w:val="0"/>
        <w:widowControl w:val="0"/>
        <w:numPr>
          <w:ilvl w:val="0"/>
          <w:numId w:val="0"/>
        </w:numPr>
        <w:spacing w:before="0" w:after="0" w:line="288" w:lineRule="auto"/>
        <w:ind w:left="990" w:right="0" w:firstLine="0"/>
        <w:jc w:val="both"/>
        <w:outlineLvl w:val="9"/>
        <w:rPr>
          <w:rFonts w:ascii="Times New Roman" w:eastAsia="Times New Roman" w:hAnsi="Times New Roman" w:cs="Times New Roman"/>
          <w:b w:val="0"/>
          <w:i w:val="0"/>
          <w:color w:val="000000"/>
          <w:sz w:val="2"/>
          <w:u w:val="none"/>
        </w:rPr>
      </w:pPr>
    </w:p>
    <w:p>
      <w:pPr>
        <w:keepNext w:val="0"/>
        <w:keepLines/>
        <w:pageBreakBefore w:val="0"/>
        <w:widowControl w:val="0"/>
        <w:numPr>
          <w:ilvl w:val="0"/>
          <w:numId w:val="0"/>
        </w:numPr>
        <w:spacing w:before="0" w:after="0" w:line="288" w:lineRule="auto"/>
        <w:ind w:left="990" w:right="0" w:firstLine="0"/>
        <w:jc w:val="both"/>
        <w:outlineLvl w:val="9"/>
        <w:rPr>
          <w:rFonts w:ascii="Times New Roman" w:eastAsia="Times New Roman" w:hAnsi="Times New Roman" w:cs="Times New Roman"/>
          <w:b w:val="0"/>
          <w:i w:val="0"/>
          <w:color w:val="000000"/>
          <w:sz w:val="2"/>
          <w:u w:val="none"/>
        </w:rPr>
        <w:sectPr>
          <w:headerReference w:type="default" r:id="rId49"/>
          <w:footerReference w:type="default" r:id="rId50"/>
          <w:type w:val="continuous"/>
          <w:pgSz w:w="12240" w:h="15840"/>
          <w:pgMar w:top="900" w:right="990" w:bottom="900" w:left="990" w:header="270" w:footer="270"/>
          <w:cols w:space="708"/>
        </w:sectPr>
      </w:pPr>
    </w:p>
    <w:p>
      <w:pPr>
        <w:keepNext/>
        <w:keepLines/>
        <w:pageBreakBefore w:val="0"/>
        <w:widowControl w:val="0"/>
        <w:numPr>
          <w:ilvl w:val="0"/>
          <w:numId w:val="0"/>
        </w:numPr>
        <w:tabs>
          <w:tab w:val="left" w:pos="1880"/>
        </w:tabs>
        <w:spacing w:before="0" w:after="160" w:line="288" w:lineRule="auto"/>
        <w:ind w:left="0" w:right="0" w:firstLine="0"/>
        <w:jc w:val="left"/>
        <w:outlineLvl w:val="2"/>
        <w:rPr>
          <w:rFonts w:ascii="Times New Roman" w:eastAsia="Times New Roman" w:hAnsi="Times New Roman" w:cs="Times New Roman"/>
          <w:b/>
          <w:i w:val="0"/>
          <w:sz w:val="20"/>
        </w:rPr>
      </w:pPr>
      <w:bookmarkStart w:id="25" w:name="Section26"/>
      <w:bookmarkEnd w:id="25"/>
      <w:r>
        <w:rPr>
          <w:rFonts w:ascii="Times New Roman" w:eastAsia="Times New Roman" w:hAnsi="Times New Roman" w:cs="Times New Roman"/>
          <w:b/>
          <w:i w:val="0"/>
          <w:color w:val="000000"/>
          <w:sz w:val="20"/>
          <w:u w:val="none"/>
        </w:rPr>
        <w:t xml:space="preserve">Note </w:t>
      </w:r>
      <w:r>
        <w:rPr>
          <w:rFonts w:ascii="Times New Roman" w:eastAsia="Times New Roman" w:hAnsi="Times New Roman" w:cs="Times New Roman"/>
          <w:b/>
          <w:i w:val="0"/>
          <w:color w:val="000000"/>
          <w:sz w:val="20"/>
          <w:u w:val="none"/>
        </w:rPr>
        <w:t>9</w:t>
      </w:r>
      <w:r>
        <w:rPr>
          <w:rFonts w:ascii="Times New Roman" w:eastAsia="Times New Roman" w:hAnsi="Times New Roman" w:cs="Times New Roman"/>
          <w:b/>
          <w:i w:val="0"/>
          <w:color w:val="000000"/>
          <w:sz w:val="20"/>
          <w:u w:val="none"/>
        </w:rPr>
        <w:t xml:space="preserve">. </w:t>
      </w:r>
      <w:r>
        <w:rPr>
          <w:rFonts w:ascii="Times New Roman" w:eastAsia="Times New Roman" w:hAnsi="Times New Roman" w:cs="Times New Roman"/>
          <w:b/>
          <w:i w:val="0"/>
          <w:color w:val="000000"/>
          <w:sz w:val="20"/>
          <w:u w:val="none"/>
        </w:rPr>
        <w:t>Commitments and Contingencies</w:t>
      </w:r>
    </w:p>
    <w:p>
      <w:pPr>
        <w:keepNext/>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The Company is subject to various legal or governmental proceedings, claims or investigations, including personal injury, property damage, environmental, intellectual property, commercial, tax, and other matters arising in the ordinary course of business, the resolution of which, in the opinion of management, will not have a material adverse effect on our consolidated results of operations or consolidated financial </w:t>
      </w:r>
      <w:r>
        <w:rPr>
          <w:rFonts w:ascii="Times New Roman" w:eastAsia="Times New Roman" w:hAnsi="Times New Roman" w:cs="Times New Roman"/>
          <w:b w:val="0"/>
          <w:i w:val="0"/>
          <w:color w:val="000000"/>
          <w:sz w:val="20"/>
          <w:u w:val="none"/>
        </w:rPr>
        <w:t>position</w:t>
      </w:r>
      <w:r>
        <w:rPr>
          <w:rFonts w:ascii="Times New Roman" w:eastAsia="Times New Roman" w:hAnsi="Times New Roman" w:cs="Times New Roman"/>
          <w:b w:val="0"/>
          <w:i w:val="0"/>
          <w:color w:val="000000"/>
          <w:sz w:val="20"/>
          <w:u w:val="none"/>
        </w:rPr>
        <w:t>. There is inherent risk in any legal or governmental proceeding, claim or investigation, and no assurance can be given as to the outcome of these proceedings.</w:t>
      </w:r>
    </w:p>
    <w:p>
      <w:pPr>
        <w:keepNext/>
        <w:keepLines/>
        <w:pageBreakBefore w:val="0"/>
        <w:widowControl w:val="0"/>
        <w:numPr>
          <w:ilvl w:val="0"/>
          <w:numId w:val="0"/>
        </w:numPr>
        <w:spacing w:before="0" w:after="0" w:line="288" w:lineRule="auto"/>
        <w:ind w:left="0" w:right="0" w:firstLine="720"/>
        <w:jc w:val="left"/>
        <w:outlineLvl w:val="9"/>
        <w:rPr>
          <w:rFonts w:ascii="Times New Roman" w:eastAsia="Times New Roman" w:hAnsi="Times New Roman" w:cs="Times New Roman"/>
          <w:b/>
          <w:i/>
          <w:color w:val="000000"/>
          <w:sz w:val="20"/>
          <w:u w:val="none"/>
        </w:rPr>
      </w:pPr>
      <w:r>
        <w:rPr>
          <w:rFonts w:ascii="Times New Roman" w:eastAsia="Times New Roman" w:hAnsi="Times New Roman" w:cs="Times New Roman"/>
          <w:b/>
          <w:i/>
          <w:color w:val="000000"/>
          <w:sz w:val="20"/>
          <w:u w:val="none"/>
        </w:rPr>
        <w:t>Guarantee arrangements</w:t>
      </w:r>
    </w:p>
    <w:p>
      <w:pPr>
        <w:keepNext w:val="0"/>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In the normal course of business, we have </w:t>
      </w:r>
      <w:r>
        <w:rPr>
          <w:rFonts w:ascii="Times New Roman" w:eastAsia="Times New Roman" w:hAnsi="Times New Roman" w:cs="Times New Roman"/>
          <w:b w:val="0"/>
          <w:i w:val="0"/>
          <w:color w:val="000000"/>
          <w:sz w:val="20"/>
          <w:u w:val="none"/>
        </w:rPr>
        <w:t>in place agreements</w:t>
      </w:r>
      <w:r>
        <w:rPr>
          <w:rFonts w:ascii="Times New Roman" w:eastAsia="Times New Roman" w:hAnsi="Times New Roman" w:cs="Times New Roman"/>
          <w:b w:val="0"/>
          <w:i w:val="0"/>
          <w:color w:val="000000"/>
          <w:sz w:val="20"/>
          <w:u w:val="none"/>
        </w:rPr>
        <w:t xml:space="preserve"> with financial institutions under which </w:t>
      </w:r>
      <w:r>
        <w:rPr>
          <w:rFonts w:ascii="Times New Roman" w:eastAsia="Times New Roman" w:hAnsi="Times New Roman" w:cs="Times New Roman"/>
          <w:b w:val="0"/>
          <w:i w:val="0"/>
          <w:color w:val="000000"/>
          <w:sz w:val="20"/>
          <w:u w:val="none"/>
        </w:rPr>
        <w:t>approximately</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$2.7 billion</w:t>
      </w:r>
      <w:r>
        <w:rPr>
          <w:rFonts w:ascii="Times New Roman" w:eastAsia="Times New Roman" w:hAnsi="Times New Roman" w:cs="Times New Roman"/>
          <w:b w:val="0"/>
          <w:i w:val="0"/>
          <w:color w:val="000000"/>
          <w:sz w:val="20"/>
          <w:u w:val="none"/>
        </w:rPr>
        <w:t xml:space="preserve"> of letters of credit, bank guarantees, or surety bonds were outstanding as of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color w:val="000000"/>
          <w:sz w:val="20"/>
          <w:u w:val="none"/>
        </w:rPr>
        <w:t>. Some of the outstanding letters of credit have triggering events that would entitle a bank to require cash collateralization</w:t>
      </w:r>
      <w:r>
        <w:rPr>
          <w:rFonts w:ascii="Times New Roman" w:eastAsia="Times New Roman" w:hAnsi="Times New Roman" w:cs="Times New Roman"/>
          <w:b w:val="0"/>
          <w:i w:val="0"/>
          <w:color w:val="000000"/>
          <w:sz w:val="20"/>
          <w:u w:val="none"/>
        </w:rPr>
        <w:t>. None o</w:t>
      </w:r>
      <w:r>
        <w:rPr>
          <w:rFonts w:ascii="Times New Roman" w:eastAsia="Times New Roman" w:hAnsi="Times New Roman" w:cs="Times New Roman"/>
          <w:b w:val="0"/>
          <w:i w:val="0"/>
          <w:color w:val="000000"/>
          <w:sz w:val="20"/>
          <w:u w:val="none"/>
        </w:rPr>
        <w:t xml:space="preserve">f these off-balance sheet arrangements </w:t>
      </w:r>
      <w:r>
        <w:rPr>
          <w:rFonts w:ascii="Times New Roman" w:eastAsia="Times New Roman" w:hAnsi="Times New Roman" w:cs="Times New Roman"/>
          <w:b w:val="0"/>
          <w:i w:val="0"/>
          <w:color w:val="000000"/>
          <w:sz w:val="20"/>
          <w:u w:val="none"/>
        </w:rPr>
        <w:t xml:space="preserve"> has</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n</w:t>
      </w:r>
      <w:r>
        <w:rPr>
          <w:rFonts w:ascii="Times New Roman" w:eastAsia="Times New Roman" w:hAnsi="Times New Roman" w:cs="Times New Roman"/>
          <w:b w:val="0"/>
          <w:i w:val="0"/>
          <w:color w:val="000000"/>
          <w:sz w:val="20"/>
          <w:u w:val="none"/>
        </w:rPr>
        <w:t xml:space="preserve">or is </w:t>
      </w:r>
      <w:r>
        <w:rPr>
          <w:rFonts w:ascii="Times New Roman" w:eastAsia="Times New Roman" w:hAnsi="Times New Roman" w:cs="Times New Roman"/>
          <w:b w:val="0"/>
          <w:i w:val="0"/>
          <w:color w:val="000000"/>
          <w:sz w:val="20"/>
          <w:u w:val="none"/>
        </w:rPr>
        <w:t xml:space="preserve">any </w:t>
      </w:r>
      <w:r>
        <w:rPr>
          <w:rFonts w:ascii="Times New Roman" w:eastAsia="Times New Roman" w:hAnsi="Times New Roman" w:cs="Times New Roman"/>
          <w:b w:val="0"/>
          <w:i w:val="0"/>
          <w:color w:val="000000"/>
          <w:sz w:val="20"/>
          <w:u w:val="none"/>
        </w:rPr>
        <w:t>likely to have</w:t>
      </w:r>
      <w:r>
        <w:rPr>
          <w:rFonts w:ascii="Times New Roman" w:eastAsia="Times New Roman" w:hAnsi="Times New Roman" w:cs="Times New Roman"/>
          <w:b w:val="0"/>
          <w:i w:val="0"/>
          <w:color w:val="000000"/>
          <w:sz w:val="20"/>
          <w:u w:val="none"/>
        </w:rPr>
        <w:t>, a material effect on our consolidated financial statements</w:t>
      </w:r>
      <w:r>
        <w:rPr>
          <w:rFonts w:ascii="Times New Roman" w:eastAsia="Times New Roman" w:hAnsi="Times New Roman" w:cs="Times New Roman"/>
          <w:b w:val="0"/>
          <w:i w:val="0"/>
          <w:color w:val="000000"/>
          <w:sz w:val="20"/>
          <w:u w:val="none"/>
        </w:rPr>
        <w:t>.</w:t>
      </w:r>
    </w:p>
    <w:p>
      <w:pPr>
        <w:keepNext w:val="0"/>
        <w:keepLines/>
        <w:pageBreakBefore w:val="0"/>
        <w:widowControl w:val="0"/>
        <w:numPr>
          <w:ilvl w:val="0"/>
          <w:numId w:val="0"/>
        </w:numPr>
        <w:spacing w:before="0" w:after="160" w:line="288" w:lineRule="auto"/>
        <w:ind w:left="0" w:right="0" w:firstLine="720"/>
        <w:jc w:val="both"/>
        <w:outlineLvl w:val="9"/>
        <w:sectPr>
          <w:headerReference w:type="default" r:id="rId51"/>
          <w:footerReference w:type="default" r:id="rId52"/>
          <w:type w:val="continuous"/>
          <w:pgSz w:w="12240" w:h="15840"/>
          <w:pgMar w:top="900" w:right="990" w:bottom="900" w:left="990" w:header="270" w:footer="270"/>
          <w:cols w:space="708"/>
        </w:sectPr>
      </w:pPr>
    </w:p>
    <w:p>
      <w:pPr>
        <w:keepNext/>
        <w:keepLines/>
        <w:pageBreakBefore w:val="0"/>
        <w:widowControl w:val="0"/>
        <w:numPr>
          <w:ilvl w:val="0"/>
          <w:numId w:val="0"/>
        </w:numPr>
        <w:spacing w:before="0" w:after="160" w:line="288" w:lineRule="auto"/>
        <w:ind w:left="0" w:right="0" w:firstLine="0"/>
        <w:jc w:val="left"/>
        <w:outlineLvl w:val="2"/>
        <w:rPr>
          <w:rFonts w:ascii="Times New Roman" w:eastAsia="Times New Roman" w:hAnsi="Times New Roman" w:cs="Times New Roman"/>
          <w:b/>
          <w:i w:val="0"/>
          <w:sz w:val="20"/>
        </w:rPr>
      </w:pPr>
      <w:bookmarkStart w:id="26" w:name="Section27"/>
      <w:bookmarkEnd w:id="26"/>
      <w:r>
        <w:rPr>
          <w:rFonts w:ascii="Times New Roman" w:eastAsia="Times New Roman" w:hAnsi="Times New Roman" w:cs="Times New Roman"/>
          <w:b/>
          <w:i w:val="0"/>
          <w:sz w:val="20"/>
        </w:rPr>
        <w:t xml:space="preserve">Note </w:t>
      </w:r>
      <w:r>
        <w:rPr>
          <w:rFonts w:ascii="Times New Roman" w:eastAsia="Times New Roman" w:hAnsi="Times New Roman" w:cs="Times New Roman"/>
          <w:b/>
          <w:i w:val="0"/>
          <w:color w:val="000000"/>
          <w:sz w:val="20"/>
          <w:u w:val="none"/>
        </w:rPr>
        <w:t>10</w:t>
      </w:r>
      <w:r>
        <w:rPr>
          <w:rFonts w:ascii="Times New Roman" w:eastAsia="Times New Roman" w:hAnsi="Times New Roman" w:cs="Times New Roman"/>
          <w:b/>
          <w:i w:val="0"/>
          <w:sz w:val="20"/>
        </w:rPr>
        <w:t>.</w:t>
      </w:r>
      <w:r>
        <w:rPr>
          <w:rFonts w:ascii="Times New Roman" w:eastAsia="Times New Roman" w:hAnsi="Times New Roman" w:cs="Times New Roman"/>
          <w:b/>
          <w:i w:val="0"/>
          <w:color w:val="000000"/>
          <w:sz w:val="20"/>
          <w:u w:val="none"/>
        </w:rPr>
        <w:t xml:space="preserve"> </w:t>
      </w:r>
      <w:r>
        <w:rPr>
          <w:rFonts w:ascii="Times New Roman" w:eastAsia="Times New Roman" w:hAnsi="Times New Roman" w:cs="Times New Roman"/>
          <w:b/>
          <w:i w:val="0"/>
          <w:color w:val="000000"/>
          <w:sz w:val="20"/>
          <w:u w:val="none"/>
        </w:rPr>
        <w:t>Income per Share</w:t>
      </w:r>
    </w:p>
    <w:p>
      <w:pPr>
        <w:keepNext/>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Basic income or loss per share is based on the weighted average number of common shares outstanding during the period. Diluted income per share includes additional common shares that would have been outstanding if potential common shares with a dilutive effect had been issued. Antidilutive securities represent potentially dilutive securities which are excluded from the computation of diluted income or loss per share as their impact was antidilutive.</w:t>
      </w:r>
    </w:p>
    <w:p>
      <w:pPr>
        <w:keepNext/>
        <w:keepLines/>
        <w:pageBreakBefore w:val="0"/>
        <w:widowControl w:val="0"/>
        <w:numPr>
          <w:ilvl w:val="0"/>
          <w:numId w:val="0"/>
        </w:numPr>
        <w:spacing w:before="0" w:after="0" w:line="288" w:lineRule="auto"/>
        <w:ind w:left="0" w:right="0" w:firstLine="720"/>
        <w:jc w:val="left"/>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A reconciliation of the number of shares used for the basic and diluted income per share computations is as follows:</w:t>
      </w:r>
    </w:p>
    <w:tbl>
      <w:tblPr>
        <w:tblW w:w="7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580"/>
        <w:gridCol w:w="1185"/>
        <w:gridCol w:w="1185"/>
      </w:tblGrid>
      <w:tr>
        <w:tblPrEx>
          <w:tblW w:w="7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00"/>
          <w:jc w:val="center"/>
        </w:trPr>
        <w:tc>
          <w:tcPr>
            <w:tcW w:w="5580"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center"/>
            </w:pPr>
          </w:p>
        </w:tc>
        <w:tc>
          <w:tcPr>
            <w:tcW w:w="2370" w:type="dxa"/>
            <w:gridSpan w:val="2"/>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20"/>
                <w:u w:val="none"/>
              </w:rPr>
              <w:t>Three Months Ended</w:t>
            </w:r>
          </w:p>
        </w:tc>
      </w:tr>
      <w:tr>
        <w:tblPrEx>
          <w:tblW w:w="7950" w:type="dxa"/>
          <w:jc w:val="center"/>
          <w:tblLayout w:type="fixed"/>
          <w:tblCellMar>
            <w:left w:w="108" w:type="dxa"/>
            <w:right w:w="108" w:type="dxa"/>
          </w:tblCellMar>
        </w:tblPrEx>
        <w:trPr>
          <w:cantSplit/>
          <w:trHeight w:hRule="exact" w:val="300"/>
          <w:jc w:val="center"/>
        </w:trPr>
        <w:tc>
          <w:tcPr>
            <w:tcW w:w="5580"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center"/>
            </w:pPr>
          </w:p>
        </w:tc>
        <w:tc>
          <w:tcPr>
            <w:tcW w:w="2370" w:type="dxa"/>
            <w:gridSpan w:val="2"/>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20"/>
                <w:u w:val="none"/>
              </w:rPr>
              <w:t xml:space="preserve">March 31, </w:t>
            </w:r>
          </w:p>
        </w:tc>
      </w:tr>
      <w:tr>
        <w:tblPrEx>
          <w:tblW w:w="7950" w:type="dxa"/>
          <w:jc w:val="center"/>
          <w:tblLayout w:type="fixed"/>
          <w:tblCellMar>
            <w:left w:w="108" w:type="dxa"/>
            <w:right w:w="108" w:type="dxa"/>
          </w:tblCellMar>
        </w:tblPrEx>
        <w:trPr>
          <w:cantSplit/>
          <w:trHeight w:hRule="exact" w:val="300"/>
          <w:jc w:val="center"/>
        </w:trPr>
        <w:tc>
          <w:tcPr>
            <w:tcW w:w="558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color w:val="000000"/>
                <w:sz w:val="20"/>
                <w:u w:val="none"/>
              </w:rPr>
              <w:t>Millions of shares</w:t>
            </w:r>
          </w:p>
        </w:tc>
        <w:tc>
          <w:tcPr>
            <w:tcW w:w="11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2025</w:t>
            </w:r>
          </w:p>
        </w:tc>
        <w:tc>
          <w:tcPr>
            <w:tcW w:w="118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2024</w:t>
            </w:r>
          </w:p>
        </w:tc>
      </w:tr>
      <w:tr>
        <w:tblPrEx>
          <w:tblW w:w="7950" w:type="dxa"/>
          <w:jc w:val="center"/>
          <w:tblLayout w:type="fixed"/>
          <w:tblCellMar>
            <w:left w:w="108" w:type="dxa"/>
            <w:right w:w="108" w:type="dxa"/>
          </w:tblCellMar>
        </w:tblPrEx>
        <w:trPr>
          <w:cantSplit/>
          <w:trHeight w:hRule="exact" w:val="300"/>
          <w:jc w:val="center"/>
        </w:trPr>
        <w:tc>
          <w:tcPr>
            <w:tcW w:w="558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20"/>
                <w:u w:val="none"/>
              </w:rPr>
              <w:t>Basic weighted average common shares outstanding</w:t>
            </w:r>
          </w:p>
        </w:tc>
        <w:tc>
          <w:tcPr>
            <w:tcW w:w="11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752"/>
                <w:tab w:val="left" w:pos="1117"/>
              </w:tabs>
              <w:spacing w:before="55" w:after="30" w:line="240" w:lineRule="auto"/>
              <w:jc w:val="right"/>
            </w:pPr>
            <w:r>
              <w:rPr>
                <w:rFonts w:ascii="Times New Roman" w:eastAsia="Times New Roman" w:hAnsi="Times New Roman" w:cs="Times New Roman"/>
                <w:b w:val="0"/>
                <w:i w:val="0"/>
                <w:color w:val="000000"/>
                <w:sz w:val="20"/>
                <w:u w:val="none"/>
              </w:rPr>
              <w:tab/>
              <w:t>866</w:t>
              <w:tab/>
            </w:r>
          </w:p>
        </w:tc>
        <w:tc>
          <w:tcPr>
            <w:tcW w:w="11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752"/>
                <w:tab w:val="left" w:pos="1117"/>
              </w:tabs>
              <w:spacing w:before="55" w:after="30" w:line="240" w:lineRule="auto"/>
              <w:jc w:val="right"/>
            </w:pPr>
            <w:r>
              <w:rPr>
                <w:rFonts w:ascii="Times New Roman" w:eastAsia="Times New Roman" w:hAnsi="Times New Roman" w:cs="Times New Roman"/>
                <w:b w:val="0"/>
                <w:i w:val="0"/>
                <w:color w:val="000000"/>
                <w:sz w:val="20"/>
                <w:u w:val="none"/>
              </w:rPr>
              <w:tab/>
              <w:t>889</w:t>
              <w:tab/>
            </w:r>
          </w:p>
        </w:tc>
      </w:tr>
      <w:tr>
        <w:tblPrEx>
          <w:tblW w:w="7950" w:type="dxa"/>
          <w:jc w:val="center"/>
          <w:tblLayout w:type="fixed"/>
          <w:tblCellMar>
            <w:left w:w="108" w:type="dxa"/>
            <w:right w:w="108" w:type="dxa"/>
          </w:tblCellMar>
        </w:tblPrEx>
        <w:trPr>
          <w:cantSplit/>
          <w:trHeight w:hRule="exact" w:val="300"/>
          <w:jc w:val="center"/>
        </w:trPr>
        <w:tc>
          <w:tcPr>
            <w:tcW w:w="558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Dilutive effect of awards granted under our stock incentive plans</w:t>
            </w:r>
          </w:p>
        </w:tc>
        <w:tc>
          <w:tcPr>
            <w:tcW w:w="1185" w:type="dxa"/>
            <w:tcBorders>
              <w:top w:val="nil"/>
              <w:left w:val="nil"/>
              <w:bottom w:val="single" w:sz="8" w:space="0" w:color="000000"/>
              <w:right w:val="nil"/>
            </w:tcBorders>
            <w:tcMar>
              <w:top w:w="0" w:type="dxa"/>
              <w:left w:w="0" w:type="dxa"/>
              <w:bottom w:w="0" w:type="dxa"/>
              <w:right w:w="15" w:type="dxa"/>
            </w:tcMar>
            <w:vAlign w:val="bottom"/>
          </w:tcPr>
          <w:p>
            <w:pPr>
              <w:keepNext/>
              <w:pageBreakBefore w:val="0"/>
              <w:tabs>
                <w:tab w:val="left" w:pos="852"/>
                <w:tab w:val="left" w:pos="1117"/>
              </w:tabs>
              <w:spacing w:before="75" w:after="30" w:line="240" w:lineRule="auto"/>
              <w:jc w:val="right"/>
            </w:pPr>
            <w:r>
              <w:rPr>
                <w:rFonts w:ascii="Times New Roman" w:eastAsia="Times New Roman" w:hAnsi="Times New Roman" w:cs="Times New Roman"/>
                <w:b w:val="0"/>
                <w:i w:val="0"/>
                <w:color w:val="000000"/>
                <w:sz w:val="20"/>
                <w:u w:val="none"/>
              </w:rPr>
              <w:tab/>
              <w:t>—</w:t>
              <w:tab/>
            </w:r>
          </w:p>
        </w:tc>
        <w:tc>
          <w:tcPr>
            <w:tcW w:w="1185" w:type="dxa"/>
            <w:tcBorders>
              <w:top w:val="nil"/>
              <w:left w:val="nil"/>
              <w:bottom w:val="single" w:sz="8" w:space="0" w:color="000000"/>
              <w:right w:val="nil"/>
            </w:tcBorders>
            <w:tcMar>
              <w:top w:w="0" w:type="dxa"/>
              <w:left w:w="0" w:type="dxa"/>
              <w:bottom w:w="0" w:type="dxa"/>
              <w:right w:w="15" w:type="dxa"/>
            </w:tcMar>
            <w:vAlign w:val="bottom"/>
          </w:tcPr>
          <w:p>
            <w:pPr>
              <w:keepNext/>
              <w:pageBreakBefore w:val="0"/>
              <w:tabs>
                <w:tab w:val="left" w:pos="952"/>
                <w:tab w:val="left" w:pos="1117"/>
              </w:tabs>
              <w:spacing w:before="75" w:after="30" w:line="240" w:lineRule="auto"/>
              <w:jc w:val="right"/>
            </w:pPr>
            <w:r>
              <w:rPr>
                <w:rFonts w:ascii="Times New Roman" w:eastAsia="Times New Roman" w:hAnsi="Times New Roman" w:cs="Times New Roman"/>
                <w:b w:val="0"/>
                <w:i w:val="0"/>
                <w:color w:val="000000"/>
                <w:sz w:val="20"/>
                <w:u w:val="none"/>
              </w:rPr>
              <w:tab/>
              <w:t>2</w:t>
              <w:tab/>
            </w:r>
          </w:p>
        </w:tc>
      </w:tr>
      <w:tr>
        <w:tblPrEx>
          <w:tblW w:w="7950" w:type="dxa"/>
          <w:jc w:val="center"/>
          <w:tblLayout w:type="fixed"/>
          <w:tblCellMar>
            <w:left w:w="108" w:type="dxa"/>
            <w:right w:w="108" w:type="dxa"/>
          </w:tblCellMar>
        </w:tblPrEx>
        <w:trPr>
          <w:cantSplit/>
          <w:trHeight w:hRule="exact" w:val="300"/>
          <w:jc w:val="center"/>
        </w:trPr>
        <w:tc>
          <w:tcPr>
            <w:tcW w:w="5580" w:type="dxa"/>
            <w:tcBorders>
              <w:top w:val="single" w:sz="8" w:space="0" w:color="000000"/>
              <w:left w:val="nil"/>
              <w:bottom w:val="double" w:sz="8" w:space="0" w:color="000000"/>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20"/>
                <w:u w:val="none"/>
              </w:rPr>
              <w:t>Diluted weighted average common shares outstanding</w:t>
            </w:r>
          </w:p>
        </w:tc>
        <w:tc>
          <w:tcPr>
            <w:tcW w:w="11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752"/>
                <w:tab w:val="left" w:pos="1117"/>
              </w:tabs>
              <w:spacing w:before="55" w:after="30" w:line="240" w:lineRule="auto"/>
              <w:jc w:val="right"/>
            </w:pPr>
            <w:r>
              <w:rPr>
                <w:rFonts w:ascii="Times New Roman" w:eastAsia="Times New Roman" w:hAnsi="Times New Roman" w:cs="Times New Roman"/>
                <w:b w:val="0"/>
                <w:i w:val="0"/>
                <w:color w:val="000000"/>
                <w:sz w:val="20"/>
                <w:u w:val="none"/>
              </w:rPr>
              <w:tab/>
              <w:t>866</w:t>
              <w:tab/>
            </w:r>
          </w:p>
        </w:tc>
        <w:tc>
          <w:tcPr>
            <w:tcW w:w="11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752"/>
                <w:tab w:val="left" w:pos="1117"/>
              </w:tabs>
              <w:spacing w:before="55" w:after="30" w:line="240" w:lineRule="auto"/>
              <w:jc w:val="right"/>
            </w:pPr>
            <w:r>
              <w:rPr>
                <w:rFonts w:ascii="Times New Roman" w:eastAsia="Times New Roman" w:hAnsi="Times New Roman" w:cs="Times New Roman"/>
                <w:b w:val="0"/>
                <w:i w:val="0"/>
                <w:color w:val="000000"/>
                <w:sz w:val="20"/>
                <w:u w:val="none"/>
              </w:rPr>
              <w:tab/>
              <w:t>891</w:t>
              <w:tab/>
            </w:r>
          </w:p>
        </w:tc>
      </w:tr>
      <w:tr>
        <w:tblPrEx>
          <w:tblW w:w="7950" w:type="dxa"/>
          <w:jc w:val="center"/>
          <w:tblLayout w:type="fixed"/>
          <w:tblCellMar>
            <w:left w:w="108" w:type="dxa"/>
            <w:right w:w="108" w:type="dxa"/>
          </w:tblCellMar>
        </w:tblPrEx>
        <w:trPr>
          <w:cantSplit/>
          <w:trHeight w:hRule="exact" w:val="135"/>
          <w:jc w:val="center"/>
        </w:trPr>
        <w:tc>
          <w:tcPr>
            <w:tcW w:w="5580" w:type="dxa"/>
            <w:tcBorders>
              <w:top w:val="double" w:sz="8" w:space="0" w:color="000000"/>
              <w:left w:val="nil"/>
              <w:bottom w:val="nil"/>
              <w:right w:val="nil"/>
            </w:tcBorders>
            <w:tcMar>
              <w:top w:w="0" w:type="dxa"/>
              <w:left w:w="53" w:type="dxa"/>
              <w:bottom w:w="0" w:type="dxa"/>
              <w:right w:w="53" w:type="dxa"/>
            </w:tcMar>
            <w:vAlign w:val="bottom"/>
          </w:tcPr>
          <w:p>
            <w:pPr>
              <w:keepNext/>
              <w:pageBreakBefore w:val="0"/>
              <w:spacing w:before="15" w:after="30" w:line="240" w:lineRule="auto"/>
              <w:jc w:val="left"/>
            </w:pPr>
          </w:p>
        </w:tc>
        <w:tc>
          <w:tcPr>
            <w:tcW w:w="1185" w:type="dxa"/>
            <w:tcBorders>
              <w:top w:val="double" w:sz="8" w:space="0" w:color="000000"/>
              <w:left w:val="nil"/>
              <w:bottom w:val="nil"/>
              <w:right w:val="nil"/>
            </w:tcBorders>
            <w:tcMar>
              <w:top w:w="0" w:type="dxa"/>
              <w:left w:w="53" w:type="dxa"/>
              <w:bottom w:w="0" w:type="dxa"/>
              <w:right w:w="15" w:type="dxa"/>
            </w:tcMar>
            <w:vAlign w:val="bottom"/>
          </w:tcPr>
          <w:p>
            <w:pPr>
              <w:keepNext/>
              <w:pageBreakBefore w:val="0"/>
              <w:spacing w:before="15" w:after="30" w:line="240" w:lineRule="auto"/>
              <w:jc w:val="left"/>
            </w:pPr>
          </w:p>
        </w:tc>
        <w:tc>
          <w:tcPr>
            <w:tcW w:w="1185" w:type="dxa"/>
            <w:tcBorders>
              <w:top w:val="double" w:sz="8" w:space="0" w:color="000000"/>
              <w:left w:val="nil"/>
              <w:bottom w:val="nil"/>
              <w:right w:val="nil"/>
            </w:tcBorders>
            <w:tcMar>
              <w:top w:w="0" w:type="dxa"/>
              <w:left w:w="53" w:type="dxa"/>
              <w:bottom w:w="0" w:type="dxa"/>
              <w:right w:w="15" w:type="dxa"/>
            </w:tcMar>
            <w:vAlign w:val="bottom"/>
          </w:tcPr>
          <w:p>
            <w:pPr>
              <w:keepNext/>
              <w:pageBreakBefore w:val="0"/>
              <w:spacing w:before="15" w:after="30" w:line="240" w:lineRule="auto"/>
              <w:jc w:val="left"/>
            </w:pPr>
          </w:p>
        </w:tc>
      </w:tr>
      <w:tr>
        <w:tblPrEx>
          <w:tblW w:w="7950" w:type="dxa"/>
          <w:jc w:val="center"/>
          <w:tblLayout w:type="fixed"/>
          <w:tblCellMar>
            <w:left w:w="108" w:type="dxa"/>
            <w:right w:w="108" w:type="dxa"/>
          </w:tblCellMar>
        </w:tblPrEx>
        <w:trPr>
          <w:cantSplit/>
          <w:trHeight w:hRule="exact" w:val="300"/>
          <w:jc w:val="center"/>
        </w:trPr>
        <w:tc>
          <w:tcPr>
            <w:tcW w:w="5580"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Antidilutive shares:</w:t>
            </w:r>
          </w:p>
        </w:tc>
        <w:tc>
          <w:tcPr>
            <w:tcW w:w="1185" w:type="dxa"/>
            <w:tcBorders>
              <w:top w:val="nil"/>
              <w:left w:val="nil"/>
              <w:bottom w:val="nil"/>
              <w:right w:val="nil"/>
            </w:tcBorders>
            <w:tcMar>
              <w:top w:w="0" w:type="dxa"/>
              <w:left w:w="53" w:type="dxa"/>
              <w:bottom w:w="0" w:type="dxa"/>
              <w:right w:w="15" w:type="dxa"/>
            </w:tcMar>
            <w:vAlign w:val="bottom"/>
          </w:tcPr>
          <w:p>
            <w:pPr>
              <w:keepNext/>
              <w:pageBreakBefore w:val="0"/>
              <w:spacing w:before="75" w:after="30" w:line="240" w:lineRule="auto"/>
              <w:jc w:val="left"/>
            </w:pPr>
          </w:p>
        </w:tc>
        <w:tc>
          <w:tcPr>
            <w:tcW w:w="1185" w:type="dxa"/>
            <w:tcBorders>
              <w:top w:val="nil"/>
              <w:left w:val="nil"/>
              <w:bottom w:val="nil"/>
              <w:right w:val="nil"/>
            </w:tcBorders>
            <w:tcMar>
              <w:top w:w="0" w:type="dxa"/>
              <w:left w:w="53" w:type="dxa"/>
              <w:bottom w:w="0" w:type="dxa"/>
              <w:right w:w="15" w:type="dxa"/>
            </w:tcMar>
            <w:vAlign w:val="bottom"/>
          </w:tcPr>
          <w:p>
            <w:pPr>
              <w:keepNext/>
              <w:pageBreakBefore w:val="0"/>
              <w:spacing w:before="75" w:after="30" w:line="240" w:lineRule="auto"/>
              <w:jc w:val="left"/>
            </w:pPr>
          </w:p>
        </w:tc>
      </w:tr>
      <w:tr>
        <w:tblPrEx>
          <w:tblW w:w="7950" w:type="dxa"/>
          <w:jc w:val="center"/>
          <w:tblLayout w:type="fixed"/>
          <w:tblCellMar>
            <w:left w:w="108" w:type="dxa"/>
            <w:right w:w="108" w:type="dxa"/>
          </w:tblCellMar>
        </w:tblPrEx>
        <w:trPr>
          <w:cantSplit/>
          <w:trHeight w:hRule="exact" w:val="300"/>
          <w:jc w:val="center"/>
        </w:trPr>
        <w:tc>
          <w:tcPr>
            <w:tcW w:w="558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ind w:left="225"/>
              <w:jc w:val="left"/>
            </w:pPr>
            <w:r>
              <w:rPr>
                <w:rFonts w:ascii="Times New Roman" w:eastAsia="Times New Roman" w:hAnsi="Times New Roman" w:cs="Times New Roman"/>
                <w:b w:val="0"/>
                <w:i w:val="0"/>
                <w:color w:val="000000"/>
                <w:sz w:val="20"/>
                <w:u w:val="none"/>
              </w:rPr>
              <w:t>Options with exercise price greater than the average market price</w:t>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52"/>
                <w:tab w:val="left" w:pos="1117"/>
              </w:tabs>
              <w:spacing w:before="75" w:after="30" w:line="240" w:lineRule="auto"/>
              <w:jc w:val="right"/>
            </w:pPr>
            <w:r>
              <w:rPr>
                <w:rFonts w:ascii="Times New Roman" w:eastAsia="Times New Roman" w:hAnsi="Times New Roman" w:cs="Times New Roman"/>
                <w:b w:val="0"/>
                <w:i w:val="0"/>
                <w:color w:val="000000"/>
                <w:sz w:val="20"/>
                <w:u w:val="none"/>
              </w:rPr>
              <w:tab/>
              <w:t>9</w:t>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52"/>
                <w:tab w:val="left" w:pos="1117"/>
              </w:tabs>
              <w:spacing w:before="75" w:after="30" w:line="240" w:lineRule="auto"/>
              <w:jc w:val="right"/>
            </w:pPr>
            <w:r>
              <w:rPr>
                <w:rFonts w:ascii="Times New Roman" w:eastAsia="Times New Roman" w:hAnsi="Times New Roman" w:cs="Times New Roman"/>
                <w:b w:val="0"/>
                <w:i w:val="0"/>
                <w:color w:val="000000"/>
                <w:sz w:val="20"/>
                <w:u w:val="none"/>
              </w:rPr>
              <w:tab/>
              <w:t>11</w:t>
              <w:tab/>
            </w:r>
          </w:p>
        </w:tc>
      </w:tr>
      <w:tr>
        <w:tblPrEx>
          <w:tblW w:w="7950" w:type="dxa"/>
          <w:jc w:val="center"/>
          <w:tblLayout w:type="fixed"/>
          <w:tblCellMar>
            <w:left w:w="108" w:type="dxa"/>
            <w:right w:w="108" w:type="dxa"/>
          </w:tblCellMar>
        </w:tblPrEx>
        <w:trPr>
          <w:cantSplit/>
          <w:trHeight w:hRule="exact" w:val="300"/>
          <w:jc w:val="center"/>
        </w:trPr>
        <w:tc>
          <w:tcPr>
            <w:tcW w:w="5580" w:type="dxa"/>
            <w:tcBorders>
              <w:top w:val="single" w:sz="8" w:space="0" w:color="000000"/>
              <w:left w:val="nil"/>
              <w:bottom w:val="double" w:sz="8" w:space="0" w:color="000000"/>
              <w:right w:val="nil"/>
            </w:tcBorders>
            <w:shd w:val="clear" w:color="auto" w:fill="FFFFFF"/>
            <w:tcMar>
              <w:top w:w="0" w:type="dxa"/>
              <w:left w:w="53" w:type="dxa"/>
              <w:bottom w:w="0" w:type="dxa"/>
              <w:right w:w="53" w:type="dxa"/>
            </w:tcMar>
            <w:vAlign w:val="bottom"/>
          </w:tcPr>
          <w:p>
            <w:pPr>
              <w:pageBreakBefore w:val="0"/>
              <w:spacing w:before="55" w:after="30" w:line="240" w:lineRule="auto"/>
              <w:jc w:val="left"/>
            </w:pPr>
            <w:r>
              <w:rPr>
                <w:rFonts w:ascii="Times New Roman" w:eastAsia="Times New Roman" w:hAnsi="Times New Roman" w:cs="Times New Roman"/>
                <w:b w:val="0"/>
                <w:i w:val="0"/>
                <w:color w:val="000000"/>
                <w:sz w:val="20"/>
                <w:u w:val="none"/>
              </w:rPr>
              <w:t>Total antidilutive shares</w:t>
            </w:r>
          </w:p>
        </w:tc>
        <w:tc>
          <w:tcPr>
            <w:tcW w:w="1185" w:type="dxa"/>
            <w:tcBorders>
              <w:top w:val="single" w:sz="8" w:space="0" w:color="000000"/>
              <w:left w:val="nil"/>
              <w:bottom w:val="double" w:sz="8" w:space="0" w:color="000000"/>
              <w:right w:val="nil"/>
            </w:tcBorders>
            <w:tcMar>
              <w:top w:w="0" w:type="dxa"/>
              <w:left w:w="0" w:type="dxa"/>
              <w:bottom w:w="0" w:type="dxa"/>
              <w:right w:w="15" w:type="dxa"/>
            </w:tcMar>
            <w:vAlign w:val="bottom"/>
          </w:tcPr>
          <w:p>
            <w:pPr>
              <w:pageBreakBefore w:val="0"/>
              <w:tabs>
                <w:tab w:val="left" w:pos="952"/>
                <w:tab w:val="left" w:pos="1117"/>
              </w:tabs>
              <w:spacing w:before="55" w:after="30" w:line="240" w:lineRule="auto"/>
              <w:jc w:val="right"/>
            </w:pPr>
            <w:r>
              <w:rPr>
                <w:rFonts w:ascii="Times New Roman" w:eastAsia="Times New Roman" w:hAnsi="Times New Roman" w:cs="Times New Roman"/>
                <w:b w:val="0"/>
                <w:i w:val="0"/>
                <w:color w:val="000000"/>
                <w:sz w:val="20"/>
                <w:u w:val="none"/>
              </w:rPr>
              <w:tab/>
              <w:t>9</w:t>
              <w:tab/>
            </w:r>
          </w:p>
        </w:tc>
        <w:tc>
          <w:tcPr>
            <w:tcW w:w="1185" w:type="dxa"/>
            <w:tcBorders>
              <w:top w:val="single" w:sz="8" w:space="0" w:color="000000"/>
              <w:left w:val="nil"/>
              <w:bottom w:val="double" w:sz="8" w:space="0" w:color="000000"/>
              <w:right w:val="nil"/>
            </w:tcBorders>
            <w:tcMar>
              <w:top w:w="0" w:type="dxa"/>
              <w:left w:w="0" w:type="dxa"/>
              <w:bottom w:w="0" w:type="dxa"/>
              <w:right w:w="15" w:type="dxa"/>
            </w:tcMar>
            <w:vAlign w:val="bottom"/>
          </w:tcPr>
          <w:p>
            <w:pPr>
              <w:pageBreakBefore w:val="0"/>
              <w:tabs>
                <w:tab w:val="left" w:pos="852"/>
                <w:tab w:val="left" w:pos="1117"/>
              </w:tabs>
              <w:spacing w:before="55" w:after="30" w:line="240" w:lineRule="auto"/>
              <w:jc w:val="right"/>
            </w:pPr>
            <w:r>
              <w:rPr>
                <w:rFonts w:ascii="Times New Roman" w:eastAsia="Times New Roman" w:hAnsi="Times New Roman" w:cs="Times New Roman"/>
                <w:b w:val="0"/>
                <w:i w:val="0"/>
                <w:color w:val="000000"/>
                <w:sz w:val="20"/>
                <w:u w:val="none"/>
              </w:rPr>
              <w:tab/>
              <w:t>11</w:t>
              <w:tab/>
            </w:r>
          </w:p>
        </w:tc>
      </w:tr>
    </w:tbl>
    <w:p>
      <w:pPr>
        <w:keepNext/>
        <w:keepLines/>
        <w:pageBreakBefore w:val="0"/>
        <w:widowControl w:val="0"/>
        <w:numPr>
          <w:ilvl w:val="0"/>
          <w:numId w:val="0"/>
        </w:numPr>
        <w:spacing w:before="0" w:after="320" w:line="288" w:lineRule="auto"/>
        <w:ind w:left="0" w:right="0" w:firstLine="720"/>
        <w:jc w:val="center"/>
        <w:outlineLvl w:val="9"/>
        <w:rPr>
          <w:rFonts w:ascii="Times New Roman" w:eastAsia="Times New Roman" w:hAnsi="Times New Roman" w:cs="Times New Roman"/>
          <w:b w:val="0"/>
          <w:i w:val="0"/>
          <w:color w:val="000000"/>
          <w:sz w:val="2"/>
          <w:u w:val="none"/>
        </w:rPr>
      </w:pPr>
    </w:p>
    <w:p>
      <w:pPr>
        <w:keepNext/>
        <w:keepLines/>
        <w:pageBreakBefore w:val="0"/>
        <w:widowControl w:val="0"/>
        <w:numPr>
          <w:ilvl w:val="0"/>
          <w:numId w:val="0"/>
        </w:numPr>
        <w:spacing w:before="0" w:after="320" w:line="288" w:lineRule="auto"/>
        <w:ind w:left="0" w:right="0" w:firstLine="720"/>
        <w:jc w:val="center"/>
        <w:outlineLvl w:val="9"/>
        <w:rPr>
          <w:rFonts w:ascii="Times New Roman" w:eastAsia="Times New Roman" w:hAnsi="Times New Roman" w:cs="Times New Roman"/>
          <w:b w:val="0"/>
          <w:i w:val="0"/>
          <w:color w:val="000000"/>
          <w:sz w:val="2"/>
          <w:u w:val="none"/>
        </w:rPr>
        <w:sectPr>
          <w:headerReference w:type="default" r:id="rId53"/>
          <w:footerReference w:type="default" r:id="rId54"/>
          <w:type w:val="continuous"/>
          <w:pgSz w:w="12240" w:h="15840"/>
          <w:pgMar w:top="900" w:right="990" w:bottom="900" w:left="990" w:header="270" w:footer="270"/>
          <w:cols w:space="708"/>
        </w:sectPr>
      </w:pPr>
    </w:p>
    <w:p>
      <w:pPr>
        <w:keepNext/>
        <w:keepLines/>
        <w:pageBreakBefore w:val="0"/>
        <w:widowControl w:val="0"/>
        <w:numPr>
          <w:ilvl w:val="0"/>
          <w:numId w:val="0"/>
        </w:numPr>
        <w:spacing w:before="0" w:after="160" w:line="288" w:lineRule="auto"/>
        <w:ind w:left="0" w:right="0" w:firstLine="0"/>
        <w:jc w:val="left"/>
        <w:outlineLvl w:val="2"/>
        <w:rPr>
          <w:rFonts w:ascii="Times New Roman" w:eastAsia="Times New Roman" w:hAnsi="Times New Roman" w:cs="Times New Roman"/>
          <w:b/>
          <w:i w:val="0"/>
          <w:sz w:val="20"/>
        </w:rPr>
      </w:pPr>
      <w:bookmarkStart w:id="27" w:name="Section28"/>
      <w:bookmarkEnd w:id="27"/>
      <w:r>
        <w:rPr>
          <w:rFonts w:ascii="Times New Roman" w:eastAsia="Times New Roman" w:hAnsi="Times New Roman" w:cs="Times New Roman"/>
          <w:b/>
          <w:i w:val="0"/>
          <w:sz w:val="20"/>
        </w:rPr>
        <w:t xml:space="preserve">Note </w:t>
      </w:r>
      <w:r>
        <w:rPr>
          <w:rFonts w:ascii="Times New Roman" w:eastAsia="Times New Roman" w:hAnsi="Times New Roman" w:cs="Times New Roman"/>
          <w:b/>
          <w:i w:val="0"/>
          <w:color w:val="000000"/>
          <w:sz w:val="20"/>
          <w:u w:val="none"/>
        </w:rPr>
        <w:t>11</w:t>
      </w:r>
      <w:r>
        <w:rPr>
          <w:rFonts w:ascii="Times New Roman" w:eastAsia="Times New Roman" w:hAnsi="Times New Roman" w:cs="Times New Roman"/>
          <w:b/>
          <w:i w:val="0"/>
          <w:sz w:val="20"/>
        </w:rPr>
        <w:t>.</w:t>
      </w:r>
      <w:r>
        <w:rPr>
          <w:rFonts w:ascii="Times New Roman" w:eastAsia="Times New Roman" w:hAnsi="Times New Roman" w:cs="Times New Roman"/>
          <w:b/>
          <w:i w:val="0"/>
          <w:color w:val="000000"/>
          <w:sz w:val="20"/>
          <w:u w:val="none"/>
        </w:rPr>
        <w:t xml:space="preserve"> </w:t>
      </w:r>
      <w:r>
        <w:rPr>
          <w:rFonts w:ascii="Times New Roman" w:eastAsia="Times New Roman" w:hAnsi="Times New Roman" w:cs="Times New Roman"/>
          <w:b/>
          <w:i w:val="0"/>
          <w:color w:val="000000"/>
          <w:sz w:val="20"/>
          <w:u w:val="none"/>
        </w:rPr>
        <w:t>Fair Value of Financial Instruments</w:t>
      </w:r>
    </w:p>
    <w:p>
      <w:pPr>
        <w:keepNext/>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The carrying amount of cash and equivalents, receivables, and accounts payable, as reflected in the </w:t>
      </w:r>
      <w:r>
        <w:rPr>
          <w:rFonts w:ascii="Times New Roman" w:eastAsia="Times New Roman" w:hAnsi="Times New Roman" w:cs="Times New Roman"/>
          <w:b w:val="0"/>
          <w:i w:val="0"/>
          <w:color w:val="000000"/>
          <w:sz w:val="20"/>
          <w:u w:val="none"/>
        </w:rPr>
        <w:t>condensed consolidated</w:t>
      </w:r>
      <w:r>
        <w:rPr>
          <w:rFonts w:ascii="Times New Roman" w:eastAsia="Times New Roman" w:hAnsi="Times New Roman" w:cs="Times New Roman"/>
          <w:b w:val="0"/>
          <w:i w:val="0"/>
          <w:color w:val="000000"/>
          <w:sz w:val="20"/>
          <w:u w:val="none"/>
        </w:rPr>
        <w:t xml:space="preserve"> balance sheets, approximates fair value due to the short maturities of these instruments.</w:t>
      </w:r>
    </w:p>
    <w:p>
      <w:pPr>
        <w:keepNext/>
        <w:keepLines/>
        <w:pageBreakBefore w:val="0"/>
        <w:widowControl w:val="0"/>
        <w:numPr>
          <w:ilvl w:val="0"/>
          <w:numId w:val="0"/>
        </w:numPr>
        <w:spacing w:before="0" w:after="0" w:line="288" w:lineRule="auto"/>
        <w:ind w:left="0" w:right="0" w:firstLine="720"/>
        <w:jc w:val="left"/>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 carrying amount and fair value of our total debt</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is</w:t>
      </w:r>
      <w:r>
        <w:rPr>
          <w:rFonts w:ascii="Times New Roman" w:eastAsia="Times New Roman" w:hAnsi="Times New Roman" w:cs="Times New Roman"/>
          <w:b w:val="0"/>
          <w:i w:val="0"/>
          <w:color w:val="000000"/>
          <w:sz w:val="20"/>
          <w:u w:val="none"/>
        </w:rPr>
        <w:t xml:space="preserve"> as follows</w:t>
      </w:r>
      <w:r>
        <w:rPr>
          <w:rFonts w:ascii="Times New Roman" w:eastAsia="Times New Roman" w:hAnsi="Times New Roman" w:cs="Times New Roman"/>
          <w:b w:val="0"/>
          <w:i w:val="0"/>
          <w:color w:val="000000"/>
          <w:sz w:val="20"/>
          <w:u w:val="none"/>
        </w:rPr>
        <w:t>:</w:t>
      </w:r>
    </w:p>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871"/>
        <w:gridCol w:w="1003"/>
        <w:gridCol w:w="1003"/>
        <w:gridCol w:w="1003"/>
        <w:gridCol w:w="1063"/>
        <w:gridCol w:w="80"/>
        <w:gridCol w:w="1003"/>
        <w:gridCol w:w="1003"/>
        <w:gridCol w:w="1003"/>
        <w:gridCol w:w="1003"/>
      </w:tblGrid>
      <w:tr>
        <w:tblPrEx>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85"/>
          <w:jc w:val="center"/>
        </w:trPr>
        <w:tc>
          <w:tcPr>
            <w:tcW w:w="1875"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p>
        </w:tc>
        <w:tc>
          <w:tcPr>
            <w:tcW w:w="4080" w:type="dxa"/>
            <w:gridSpan w:val="4"/>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20"/>
                <w:u w:val="none"/>
              </w:rPr>
              <w:t>March 31, 2025</w:t>
            </w:r>
          </w:p>
        </w:tc>
        <w:tc>
          <w:tcPr>
            <w:tcW w:w="60" w:type="dxa"/>
            <w:tcBorders>
              <w:top w:val="nil"/>
              <w:left w:val="nil"/>
              <w:bottom w:val="nil"/>
              <w:right w:val="nil"/>
            </w:tcBorders>
            <w:tcMar>
              <w:top w:w="0" w:type="dxa"/>
              <w:left w:w="30" w:type="dxa"/>
              <w:bottom w:w="0" w:type="dxa"/>
              <w:right w:w="30" w:type="dxa"/>
            </w:tcMar>
            <w:vAlign w:val="bottom"/>
          </w:tcPr>
          <w:p>
            <w:pPr>
              <w:keepNext/>
              <w:pageBreakBefore w:val="0"/>
              <w:spacing w:before="75" w:after="30" w:line="240" w:lineRule="auto"/>
              <w:jc w:val="left"/>
            </w:pPr>
          </w:p>
        </w:tc>
        <w:tc>
          <w:tcPr>
            <w:tcW w:w="4020" w:type="dxa"/>
            <w:gridSpan w:val="4"/>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20"/>
                <w:u w:val="none"/>
              </w:rPr>
              <w:t>December 31, 2024</w:t>
            </w:r>
          </w:p>
        </w:tc>
      </w:tr>
      <w:tr>
        <w:tblPrEx>
          <w:tblW w:w="10035" w:type="dxa"/>
          <w:jc w:val="center"/>
          <w:tblLayout w:type="fixed"/>
          <w:tblCellMar>
            <w:left w:w="108" w:type="dxa"/>
            <w:right w:w="108" w:type="dxa"/>
          </w:tblCellMar>
        </w:tblPrEx>
        <w:trPr>
          <w:cantSplit/>
          <w:trHeight w:hRule="exact" w:val="480"/>
          <w:jc w:val="center"/>
        </w:trPr>
        <w:tc>
          <w:tcPr>
            <w:tcW w:w="187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color w:val="000000"/>
                <w:sz w:val="20"/>
                <w:u w:val="none"/>
              </w:rPr>
              <w:t>Millions of dollars</w:t>
            </w:r>
          </w:p>
        </w:tc>
        <w:tc>
          <w:tcPr>
            <w:tcW w:w="10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Level 1</w:t>
            </w:r>
          </w:p>
        </w:tc>
        <w:tc>
          <w:tcPr>
            <w:tcW w:w="100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Level 2</w:t>
            </w:r>
          </w:p>
        </w:tc>
        <w:tc>
          <w:tcPr>
            <w:tcW w:w="100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Total fair value</w:t>
            </w:r>
          </w:p>
        </w:tc>
        <w:tc>
          <w:tcPr>
            <w:tcW w:w="106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Carrying value</w:t>
            </w:r>
          </w:p>
        </w:tc>
        <w:tc>
          <w:tcPr>
            <w:tcW w:w="60" w:type="dxa"/>
            <w:tcBorders>
              <w:top w:val="nil"/>
              <w:left w:val="nil"/>
              <w:bottom w:val="nil"/>
              <w:right w:val="nil"/>
            </w:tcBorders>
            <w:tcMar>
              <w:top w:w="0" w:type="dxa"/>
              <w:left w:w="30" w:type="dxa"/>
              <w:bottom w:w="0" w:type="dxa"/>
              <w:right w:w="30" w:type="dxa"/>
            </w:tcMar>
            <w:vAlign w:val="bottom"/>
          </w:tcPr>
          <w:p>
            <w:pPr>
              <w:keepNext/>
              <w:pageBreakBefore w:val="0"/>
              <w:spacing w:before="55" w:after="30" w:line="240" w:lineRule="auto"/>
              <w:jc w:val="left"/>
            </w:pPr>
          </w:p>
        </w:tc>
        <w:tc>
          <w:tcPr>
            <w:tcW w:w="10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Level 1</w:t>
            </w:r>
          </w:p>
        </w:tc>
        <w:tc>
          <w:tcPr>
            <w:tcW w:w="100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Level 2</w:t>
            </w:r>
          </w:p>
        </w:tc>
        <w:tc>
          <w:tcPr>
            <w:tcW w:w="100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Total fair value</w:t>
            </w:r>
          </w:p>
        </w:tc>
        <w:tc>
          <w:tcPr>
            <w:tcW w:w="100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Carrying value</w:t>
            </w:r>
          </w:p>
        </w:tc>
      </w:tr>
      <w:tr>
        <w:tblPrEx>
          <w:tblW w:w="10035" w:type="dxa"/>
          <w:jc w:val="center"/>
          <w:tblLayout w:type="fixed"/>
          <w:tblCellMar>
            <w:left w:w="108" w:type="dxa"/>
            <w:right w:w="108" w:type="dxa"/>
          </w:tblCellMar>
        </w:tblPrEx>
        <w:trPr>
          <w:cantSplit/>
          <w:trHeight w:hRule="exact" w:val="300"/>
          <w:jc w:val="center"/>
        </w:trPr>
        <w:tc>
          <w:tcPr>
            <w:tcW w:w="1875" w:type="dxa"/>
            <w:tcBorders>
              <w:top w:val="single" w:sz="8" w:space="0" w:color="000000"/>
              <w:left w:val="nil"/>
              <w:bottom w:val="double" w:sz="8" w:space="0" w:color="000000"/>
              <w:right w:val="nil"/>
            </w:tcBorders>
            <w:shd w:val="clear" w:color="auto" w:fill="CCEEFF"/>
            <w:tcMar>
              <w:top w:w="0" w:type="dxa"/>
              <w:left w:w="53" w:type="dxa"/>
              <w:bottom w:w="0" w:type="dxa"/>
              <w:right w:w="53" w:type="dxa"/>
            </w:tcMar>
            <w:vAlign w:val="bottom"/>
          </w:tcPr>
          <w:p>
            <w:pPr>
              <w:pageBreakBefore w:val="0"/>
              <w:spacing w:before="55" w:after="30" w:line="240" w:lineRule="auto"/>
              <w:jc w:val="left"/>
            </w:pPr>
            <w:r>
              <w:rPr>
                <w:rFonts w:ascii="Times New Roman" w:eastAsia="Times New Roman" w:hAnsi="Times New Roman" w:cs="Times New Roman"/>
                <w:b w:val="0"/>
                <w:i w:val="0"/>
                <w:color w:val="000000"/>
                <w:sz w:val="20"/>
                <w:u w:val="none"/>
              </w:rPr>
              <w:t>Total debt</w:t>
            </w:r>
          </w:p>
        </w:tc>
        <w:tc>
          <w:tcPr>
            <w:tcW w:w="10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422"/>
                <w:tab w:val="left" w:pos="937"/>
              </w:tabs>
              <w:spacing w:before="55" w:after="30" w:line="240" w:lineRule="auto"/>
              <w:jc w:val="right"/>
            </w:pPr>
            <w:r>
              <w:rPr>
                <w:rFonts w:ascii="Times New Roman" w:eastAsia="Times New Roman" w:hAnsi="Times New Roman" w:cs="Times New Roman"/>
                <w:b w:val="0"/>
                <w:i w:val="0"/>
                <w:color w:val="000000"/>
                <w:sz w:val="20"/>
                <w:u w:val="none"/>
              </w:rPr>
              <w:t>$</w:t>
              <w:tab/>
              <w:t>7,051</w:t>
              <w:tab/>
            </w:r>
          </w:p>
        </w:tc>
        <w:tc>
          <w:tcPr>
            <w:tcW w:w="10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572"/>
                <w:tab w:val="left" w:pos="937"/>
              </w:tabs>
              <w:spacing w:before="55" w:after="30" w:line="240" w:lineRule="auto"/>
              <w:jc w:val="right"/>
            </w:pPr>
            <w:r>
              <w:rPr>
                <w:rFonts w:ascii="Times New Roman" w:eastAsia="Times New Roman" w:hAnsi="Times New Roman" w:cs="Times New Roman"/>
                <w:b w:val="0"/>
                <w:i w:val="0"/>
                <w:color w:val="000000"/>
                <w:sz w:val="20"/>
                <w:u w:val="none"/>
              </w:rPr>
              <w:t>$</w:t>
              <w:tab/>
              <w:t>353</w:t>
              <w:tab/>
            </w:r>
          </w:p>
        </w:tc>
        <w:tc>
          <w:tcPr>
            <w:tcW w:w="10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422"/>
                <w:tab w:val="left" w:pos="937"/>
              </w:tabs>
              <w:spacing w:before="55" w:after="30" w:line="240" w:lineRule="auto"/>
              <w:jc w:val="right"/>
            </w:pPr>
            <w:r>
              <w:rPr>
                <w:rFonts w:ascii="Times New Roman" w:eastAsia="Times New Roman" w:hAnsi="Times New Roman" w:cs="Times New Roman"/>
                <w:b w:val="0"/>
                <w:i w:val="0"/>
                <w:color w:val="000000"/>
                <w:sz w:val="20"/>
                <w:u w:val="none"/>
              </w:rPr>
              <w:t>$</w:t>
              <w:tab/>
              <w:t>7,404</w:t>
              <w:tab/>
            </w:r>
          </w:p>
        </w:tc>
        <w:tc>
          <w:tcPr>
            <w:tcW w:w="106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482"/>
                <w:tab w:val="left" w:pos="997"/>
              </w:tabs>
              <w:spacing w:before="55" w:after="30" w:line="240" w:lineRule="auto"/>
              <w:jc w:val="right"/>
            </w:pPr>
            <w:r>
              <w:rPr>
                <w:rFonts w:ascii="Times New Roman" w:eastAsia="Times New Roman" w:hAnsi="Times New Roman" w:cs="Times New Roman"/>
                <w:b w:val="0"/>
                <w:i w:val="0"/>
                <w:color w:val="000000"/>
                <w:sz w:val="20"/>
                <w:u w:val="none"/>
              </w:rPr>
              <w:t>$</w:t>
              <w:tab/>
              <w:t>7,541</w:t>
              <w:tab/>
            </w:r>
          </w:p>
        </w:tc>
        <w:tc>
          <w:tcPr>
            <w:tcW w:w="60" w:type="dxa"/>
            <w:tcBorders>
              <w:top w:val="nil"/>
              <w:left w:val="nil"/>
              <w:bottom w:val="nil"/>
              <w:right w:val="nil"/>
            </w:tcBorders>
            <w:tcMar>
              <w:top w:w="0" w:type="dxa"/>
              <w:left w:w="30" w:type="dxa"/>
              <w:bottom w:w="0" w:type="dxa"/>
              <w:right w:w="30" w:type="dxa"/>
            </w:tcMar>
            <w:vAlign w:val="bottom"/>
          </w:tcPr>
          <w:p>
            <w:pPr>
              <w:pageBreakBefore w:val="0"/>
              <w:spacing w:before="55" w:after="30" w:line="240" w:lineRule="auto"/>
              <w:jc w:val="left"/>
            </w:pPr>
          </w:p>
        </w:tc>
        <w:tc>
          <w:tcPr>
            <w:tcW w:w="10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422"/>
                <w:tab w:val="left" w:pos="937"/>
              </w:tabs>
              <w:spacing w:before="55" w:after="30" w:line="240" w:lineRule="auto"/>
              <w:jc w:val="right"/>
            </w:pPr>
            <w:r>
              <w:rPr>
                <w:rFonts w:ascii="Times New Roman" w:eastAsia="Times New Roman" w:hAnsi="Times New Roman" w:cs="Times New Roman"/>
                <w:b w:val="0"/>
                <w:i w:val="0"/>
                <w:color w:val="000000"/>
                <w:sz w:val="20"/>
                <w:u w:val="none"/>
              </w:rPr>
              <w:t>$</w:t>
              <w:tab/>
              <w:t>4,503</w:t>
              <w:tab/>
            </w:r>
          </w:p>
        </w:tc>
        <w:tc>
          <w:tcPr>
            <w:tcW w:w="10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422"/>
                <w:tab w:val="left" w:pos="937"/>
              </w:tabs>
              <w:spacing w:before="55" w:after="30" w:line="240" w:lineRule="auto"/>
              <w:jc w:val="right"/>
            </w:pPr>
            <w:r>
              <w:rPr>
                <w:rFonts w:ascii="Times New Roman" w:eastAsia="Times New Roman" w:hAnsi="Times New Roman" w:cs="Times New Roman"/>
                <w:b w:val="0"/>
                <w:i w:val="0"/>
                <w:color w:val="000000"/>
                <w:sz w:val="20"/>
                <w:u w:val="none"/>
              </w:rPr>
              <w:t>$</w:t>
              <w:tab/>
              <w:t>2,825</w:t>
              <w:tab/>
            </w:r>
          </w:p>
        </w:tc>
        <w:tc>
          <w:tcPr>
            <w:tcW w:w="10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422"/>
                <w:tab w:val="left" w:pos="937"/>
              </w:tabs>
              <w:spacing w:before="55" w:after="30" w:line="240" w:lineRule="auto"/>
              <w:jc w:val="right"/>
            </w:pPr>
            <w:r>
              <w:rPr>
                <w:rFonts w:ascii="Times New Roman" w:eastAsia="Times New Roman" w:hAnsi="Times New Roman" w:cs="Times New Roman"/>
                <w:b w:val="0"/>
                <w:i w:val="0"/>
                <w:color w:val="000000"/>
                <w:sz w:val="20"/>
                <w:u w:val="none"/>
              </w:rPr>
              <w:t>$</w:t>
              <w:tab/>
              <w:t>7,328</w:t>
              <w:tab/>
            </w:r>
          </w:p>
        </w:tc>
        <w:tc>
          <w:tcPr>
            <w:tcW w:w="10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422"/>
                <w:tab w:val="left" w:pos="937"/>
              </w:tabs>
              <w:spacing w:before="55" w:after="30" w:line="240" w:lineRule="auto"/>
              <w:jc w:val="right"/>
            </w:pPr>
            <w:r>
              <w:rPr>
                <w:rFonts w:ascii="Times New Roman" w:eastAsia="Times New Roman" w:hAnsi="Times New Roman" w:cs="Times New Roman"/>
                <w:b w:val="0"/>
                <w:i w:val="0"/>
                <w:color w:val="000000"/>
                <w:sz w:val="20"/>
                <w:u w:val="none"/>
              </w:rPr>
              <w:t>$</w:t>
              <w:tab/>
              <w:t>7,541</w:t>
              <w:tab/>
            </w:r>
          </w:p>
        </w:tc>
      </w:tr>
    </w:tbl>
    <w:p>
      <w:pPr>
        <w:keepNext w:val="0"/>
        <w:keepLines w:val="0"/>
        <w:pageBreakBefore w:val="0"/>
        <w:widowControl w:val="0"/>
        <w:numPr>
          <w:ilvl w:val="0"/>
          <w:numId w:val="0"/>
        </w:numPr>
        <w:spacing w:before="0" w:after="160" w:line="288" w:lineRule="auto"/>
        <w:ind w:left="0" w:right="0" w:firstLine="720"/>
        <w:jc w:val="center"/>
        <w:outlineLvl w:val="9"/>
        <w:rPr>
          <w:rFonts w:ascii="Times New Roman" w:eastAsia="Times New Roman" w:hAnsi="Times New Roman" w:cs="Times New Roman"/>
          <w:b w:val="0"/>
          <w:i w:val="0"/>
          <w:color w:val="000000"/>
          <w:sz w:val="2"/>
          <w:u w:val="none"/>
        </w:rPr>
      </w:pPr>
    </w:p>
    <w:p>
      <w:pPr>
        <w:keepNext w:val="0"/>
        <w:keepLines w:val="0"/>
        <w:pageBreakBefore w:val="0"/>
        <w:widowControl w:val="0"/>
        <w:numPr>
          <w:ilvl w:val="0"/>
          <w:numId w:val="0"/>
        </w:numPr>
        <w:spacing w:before="0" w:after="160" w:line="288" w:lineRule="auto"/>
        <w:ind w:left="0" w:right="0" w:firstLine="720"/>
        <w:jc w:val="center"/>
        <w:outlineLvl w:val="9"/>
        <w:rPr>
          <w:rFonts w:ascii="Times New Roman" w:eastAsia="Times New Roman" w:hAnsi="Times New Roman" w:cs="Times New Roman"/>
          <w:b w:val="0"/>
          <w:i w:val="0"/>
          <w:color w:val="000000"/>
          <w:sz w:val="2"/>
          <w:u w:val="none"/>
        </w:rPr>
        <w:sectPr>
          <w:headerReference w:type="default" r:id="rId55"/>
          <w:footerReference w:type="default" r:id="rId56"/>
          <w:type w:val="continuous"/>
          <w:pgSz w:w="12240" w:h="15840"/>
          <w:pgMar w:top="900" w:right="990" w:bottom="900" w:left="990" w:header="270" w:footer="270"/>
          <w:cols w:space="708"/>
        </w:sectPr>
      </w:pPr>
    </w:p>
    <w:p>
      <w:pPr>
        <w:keepNext/>
        <w:keepLines/>
        <w:pageBreakBefore w:val="0"/>
        <w:widowControl w:val="0"/>
        <w:numPr>
          <w:ilvl w:val="0"/>
          <w:numId w:val="0"/>
        </w:numPr>
        <w:spacing w:before="0" w:after="160" w:line="288" w:lineRule="auto"/>
        <w:ind w:left="0" w:right="0" w:firstLine="720"/>
        <w:jc w:val="both"/>
        <w:outlineLvl w:val="3"/>
        <w:rPr>
          <w:rFonts w:ascii="Times New Roman" w:eastAsia="Times New Roman" w:hAnsi="Times New Roman" w:cs="Times New Roman"/>
          <w:b w:val="0"/>
          <w:i w:val="0"/>
          <w:sz w:val="20"/>
        </w:rPr>
      </w:pPr>
      <w:bookmarkStart w:id="28" w:name="Section29"/>
      <w:bookmarkEnd w:id="28"/>
      <w:r>
        <w:rPr>
          <w:rFonts w:ascii="Times New Roman" w:eastAsia="Times New Roman" w:hAnsi="Times New Roman" w:cs="Times New Roman"/>
          <w:b w:val="0"/>
          <w:i w:val="0"/>
          <w:color w:val="000000"/>
          <w:sz w:val="20"/>
          <w:u w:val="none"/>
        </w:rPr>
        <w:t xml:space="preserve">The total fair value of our debt </w:t>
      </w:r>
      <w:r>
        <w:rPr>
          <w:rFonts w:ascii="Times New Roman" w:eastAsia="Times New Roman" w:hAnsi="Times New Roman" w:cs="Times New Roman"/>
          <w:b w:val="0"/>
          <w:i w:val="0"/>
          <w:color w:val="000000"/>
          <w:sz w:val="20"/>
          <w:u w:val="none"/>
        </w:rPr>
        <w:t>in</w:t>
      </w:r>
      <w:r>
        <w:rPr>
          <w:rFonts w:ascii="Times New Roman" w:eastAsia="Times New Roman" w:hAnsi="Times New Roman" w:cs="Times New Roman"/>
          <w:b w:val="0"/>
          <w:i w:val="0"/>
          <w:color w:val="000000"/>
          <w:sz w:val="20"/>
          <w:u w:val="none"/>
        </w:rPr>
        <w:t>creased</w:t>
      </w:r>
      <w:r>
        <w:rPr>
          <w:rFonts w:ascii="Times New Roman" w:eastAsia="Times New Roman" w:hAnsi="Times New Roman" w:cs="Times New Roman"/>
          <w:b w:val="0"/>
          <w:i w:val="0"/>
          <w:color w:val="000000"/>
          <w:sz w:val="20"/>
          <w:u w:val="none"/>
        </w:rPr>
        <w:t xml:space="preserve"> during </w:t>
      </w:r>
      <w:r>
        <w:rPr>
          <w:rFonts w:ascii="Times New Roman" w:eastAsia="Times New Roman" w:hAnsi="Times New Roman" w:cs="Times New Roman"/>
          <w:b w:val="0"/>
          <w:i w:val="0"/>
          <w:color w:val="000000"/>
          <w:sz w:val="20"/>
          <w:u w:val="none"/>
        </w:rPr>
        <w:t>2025</w:t>
      </w:r>
      <w:r>
        <w:rPr>
          <w:rFonts w:ascii="Times New Roman" w:eastAsia="Times New Roman" w:hAnsi="Times New Roman" w:cs="Times New Roman"/>
          <w:b w:val="0"/>
          <w:i w:val="0"/>
          <w:color w:val="000000"/>
          <w:sz w:val="20"/>
          <w:u w:val="none"/>
        </w:rPr>
        <w:t xml:space="preserve"> primarily as a result of </w:t>
      </w:r>
      <w:r>
        <w:rPr>
          <w:rFonts w:ascii="Times New Roman" w:eastAsia="Times New Roman" w:hAnsi="Times New Roman" w:cs="Times New Roman"/>
          <w:b w:val="0"/>
          <w:i w:val="0"/>
          <w:color w:val="000000"/>
          <w:sz w:val="20"/>
          <w:u w:val="none"/>
        </w:rPr>
        <w:t>lower</w:t>
      </w:r>
      <w:r>
        <w:rPr>
          <w:rFonts w:ascii="Times New Roman" w:eastAsia="Times New Roman" w:hAnsi="Times New Roman" w:cs="Times New Roman"/>
          <w:b w:val="0"/>
          <w:i w:val="0"/>
          <w:color w:val="000000"/>
          <w:sz w:val="20"/>
          <w:u w:val="none"/>
        </w:rPr>
        <w:t xml:space="preserve"> yields</w:t>
      </w:r>
      <w:r>
        <w:rPr>
          <w:rFonts w:ascii="Times New Roman" w:eastAsia="Times New Roman" w:hAnsi="Times New Roman" w:cs="Times New Roman"/>
          <w:b w:val="0"/>
          <w:i w:val="0"/>
          <w:color w:val="000000"/>
          <w:sz w:val="20"/>
          <w:u w:val="none"/>
        </w:rPr>
        <w:t>.</w:t>
      </w:r>
    </w:p>
    <w:p>
      <w:pPr>
        <w:keepNext/>
        <w:keepLines/>
        <w:pageBreakBefore w:val="0"/>
        <w:widowControl w:val="0"/>
        <w:numPr>
          <w:ilvl w:val="0"/>
          <w:numId w:val="0"/>
        </w:numPr>
        <w:spacing w:before="0" w:after="160" w:line="288" w:lineRule="auto"/>
        <w:ind w:left="0" w:right="0" w:firstLine="720"/>
        <w:jc w:val="both"/>
        <w:outlineLvl w:val="3"/>
        <w:sectPr>
          <w:headerReference w:type="default" r:id="rId57"/>
          <w:footerReference w:type="default" r:id="rId58"/>
          <w:type w:val="continuous"/>
          <w:pgSz w:w="12240" w:h="15840"/>
          <w:pgMar w:top="900" w:right="990" w:bottom="900" w:left="990" w:header="270" w:footer="270"/>
          <w:cols w:space="708"/>
        </w:sectPr>
      </w:pPr>
    </w:p>
    <w:p>
      <w:pPr>
        <w:keepNext/>
        <w:keepLines/>
        <w:pageBreakBefore w:val="0"/>
        <w:widowControl w:val="0"/>
        <w:numPr>
          <w:ilvl w:val="0"/>
          <w:numId w:val="0"/>
        </w:numPr>
        <w:spacing w:before="0" w:after="160" w:line="288" w:lineRule="auto"/>
        <w:ind w:left="0" w:right="0" w:firstLine="720"/>
        <w:jc w:val="both"/>
        <w:outlineLvl w:val="3"/>
        <w:rPr>
          <w:rFonts w:ascii="Times New Roman" w:eastAsia="Times New Roman" w:hAnsi="Times New Roman" w:cs="Times New Roman"/>
          <w:b w:val="0"/>
          <w:i w:val="0"/>
          <w:sz w:val="20"/>
        </w:rPr>
      </w:pPr>
      <w:bookmarkStart w:id="29" w:name="Section30"/>
      <w:bookmarkEnd w:id="29"/>
      <w:r>
        <w:rPr>
          <w:rFonts w:ascii="Times New Roman" w:eastAsia="Times New Roman" w:hAnsi="Times New Roman" w:cs="Times New Roman"/>
          <w:b w:val="0"/>
          <w:i w:val="0"/>
          <w:color w:val="000000"/>
          <w:sz w:val="20"/>
          <w:u w:val="none"/>
        </w:rPr>
        <w:t xml:space="preserve">Our debt categorized within level 1 on the fair value hierarchy is calculated using quoted prices in active markets for identical liabilities with transactions occurring on the last </w:t>
      </w:r>
      <w:r>
        <w:rPr>
          <w:rFonts w:ascii="Times New Roman" w:eastAsia="Times New Roman" w:hAnsi="Times New Roman" w:cs="Times New Roman"/>
          <w:b w:val="0"/>
          <w:i w:val="0"/>
          <w:color w:val="000000"/>
          <w:sz w:val="20"/>
          <w:u w:val="none"/>
        </w:rPr>
        <w:t>two days</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 xml:space="preserve">of period-end. Our debt categorized within level 2 on the fair value hierarchy is calculated using significant observable inputs for similar liabilities where estimated values are determined from observable data points on our other bonds and on other similarly rated corporate debt or from observable data points of transactions occurring prior to </w:t>
      </w:r>
      <w:r>
        <w:rPr>
          <w:rFonts w:ascii="Times New Roman" w:eastAsia="Times New Roman" w:hAnsi="Times New Roman" w:cs="Times New Roman"/>
          <w:b w:val="0"/>
          <w:i w:val="0"/>
          <w:color w:val="000000"/>
          <w:sz w:val="20"/>
          <w:u w:val="none"/>
        </w:rPr>
        <w:t>two days</w:t>
      </w:r>
      <w:r>
        <w:rPr>
          <w:rFonts w:ascii="Times New Roman" w:eastAsia="Times New Roman" w:hAnsi="Times New Roman" w:cs="Times New Roman"/>
          <w:b w:val="0"/>
          <w:i w:val="0"/>
          <w:color w:val="000000"/>
          <w:sz w:val="20"/>
          <w:u w:val="none"/>
        </w:rPr>
        <w:t xml:space="preserve"> from period-end and adjusting for changes in market conditions. Differences between the periods presented in our level 1 and level 2 classification of our long-term debt relate to the timing of when third-party market transactions on our debt are executed.</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 xml:space="preserve">We have </w:t>
      </w:r>
      <w:r>
        <w:rPr>
          <w:rFonts w:ascii="Times New Roman" w:eastAsia="Times New Roman" w:hAnsi="Times New Roman" w:cs="Times New Roman"/>
          <w:b w:val="0"/>
          <w:i w:val="0"/>
          <w:color w:val="000000"/>
          <w:sz w:val="20"/>
          <w:u w:val="none"/>
        </w:rPr>
        <w:t>no</w:t>
      </w:r>
      <w:r>
        <w:rPr>
          <w:rFonts w:ascii="Times New Roman" w:eastAsia="Times New Roman" w:hAnsi="Times New Roman" w:cs="Times New Roman"/>
          <w:b w:val="0"/>
          <w:i w:val="0"/>
          <w:color w:val="000000"/>
          <w:sz w:val="20"/>
          <w:u w:val="none"/>
        </w:rPr>
        <w:t xml:space="preserve"> debt categorized within level 3 on the fair value hierarchy.</w:t>
      </w:r>
    </w:p>
    <w:p>
      <w:pPr>
        <w:keepNext/>
        <w:keepLines/>
        <w:pageBreakBefore w:val="0"/>
        <w:widowControl w:val="0"/>
        <w:numPr>
          <w:ilvl w:val="0"/>
          <w:numId w:val="0"/>
        </w:numPr>
        <w:spacing w:before="0" w:after="160" w:line="288" w:lineRule="auto"/>
        <w:ind w:left="0" w:right="0" w:firstLine="720"/>
        <w:jc w:val="both"/>
        <w:outlineLvl w:val="3"/>
        <w:sectPr>
          <w:headerReference w:type="default" r:id="rId59"/>
          <w:footerReference w:type="default" r:id="rId60"/>
          <w:type w:val="continuous"/>
          <w:pgSz w:w="12240" w:h="15840"/>
          <w:pgMar w:top="900" w:right="990" w:bottom="900" w:left="990" w:header="270" w:footer="270"/>
          <w:cols w:space="708"/>
        </w:sectPr>
      </w:pPr>
    </w:p>
    <w:p>
      <w:pPr>
        <w:keepNext/>
        <w:keepLines/>
        <w:pageBreakBefore w:val="0"/>
        <w:widowControl w:val="0"/>
        <w:numPr>
          <w:ilvl w:val="0"/>
          <w:numId w:val="0"/>
        </w:numPr>
        <w:spacing w:before="0" w:after="0" w:line="288" w:lineRule="auto"/>
        <w:ind w:left="0" w:right="0" w:firstLine="720"/>
        <w:jc w:val="left"/>
        <w:outlineLvl w:val="3"/>
        <w:rPr>
          <w:rFonts w:ascii="Times New Roman" w:eastAsia="Times New Roman" w:hAnsi="Times New Roman" w:cs="Times New Roman"/>
          <w:b/>
          <w:i/>
          <w:sz w:val="20"/>
        </w:rPr>
      </w:pPr>
      <w:bookmarkStart w:id="30" w:name="Section31"/>
      <w:bookmarkEnd w:id="30"/>
      <w:r>
        <w:rPr>
          <w:rFonts w:ascii="Times New Roman" w:eastAsia="Times New Roman" w:hAnsi="Times New Roman" w:cs="Times New Roman"/>
          <w:b/>
          <w:i/>
          <w:color w:val="000000"/>
          <w:sz w:val="20"/>
          <w:u w:val="none"/>
        </w:rPr>
        <w:t>Credit risk</w:t>
      </w:r>
    </w:p>
    <w:p>
      <w:pPr>
        <w:keepNext/>
        <w:keepLines/>
        <w:pageBreakBefore w:val="0"/>
        <w:widowControl w:val="0"/>
        <w:numPr>
          <w:ilvl w:val="0"/>
          <w:numId w:val="0"/>
        </w:numPr>
        <w:spacing w:before="0" w:after="0" w:line="288" w:lineRule="auto"/>
        <w:ind w:left="0" w:right="0" w:firstLine="720"/>
        <w:jc w:val="left"/>
        <w:outlineLvl w:val="3"/>
        <w:sectPr>
          <w:headerReference w:type="default" r:id="rId61"/>
          <w:footerReference w:type="default" r:id="rId62"/>
          <w:pgSz w:w="12240" w:h="15840"/>
          <w:pgMar w:top="900" w:right="990" w:bottom="900" w:left="990" w:header="270" w:footer="270"/>
          <w:cols w:space="708"/>
        </w:sectPr>
      </w:pPr>
    </w:p>
    <w:p>
      <w:pPr>
        <w:keepNext/>
        <w:keepLines/>
        <w:pageBreakBefore w:val="0"/>
        <w:widowControl w:val="0"/>
        <w:numPr>
          <w:ilvl w:val="0"/>
          <w:numId w:val="0"/>
        </w:numPr>
        <w:spacing w:before="0" w:after="160" w:line="288" w:lineRule="auto"/>
        <w:ind w:left="0" w:right="0" w:firstLine="720"/>
        <w:jc w:val="both"/>
        <w:outlineLvl w:val="4"/>
        <w:rPr>
          <w:rFonts w:ascii="Calibri" w:eastAsia="Calibri" w:hAnsi="Calibri" w:cs="Calibri"/>
          <w:b/>
          <w:i/>
          <w:sz w:val="22"/>
        </w:rPr>
      </w:pPr>
      <w:bookmarkStart w:id="31" w:name="Section32"/>
      <w:bookmarkEnd w:id="31"/>
      <w:r>
        <w:rPr>
          <w:rFonts w:ascii="Times New Roman" w:eastAsia="Times New Roman" w:hAnsi="Times New Roman" w:cs="Times New Roman"/>
          <w:b w:val="0"/>
          <w:i w:val="0"/>
          <w:color w:val="000000"/>
          <w:sz w:val="20"/>
          <w:u w:val="none"/>
        </w:rPr>
        <w:t xml:space="preserve">We have entered into CDSs with third-party financial institutions that had an aggregate notional amount outstanding as of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color w:val="000000"/>
          <w:sz w:val="20"/>
          <w:u w:val="none"/>
        </w:rPr>
        <w:t xml:space="preserve"> of </w:t>
      </w:r>
      <w:r>
        <w:rPr>
          <w:rFonts w:ascii="Times New Roman" w:eastAsia="Times New Roman" w:hAnsi="Times New Roman" w:cs="Times New Roman"/>
          <w:b w:val="0"/>
          <w:i w:val="0"/>
          <w:color w:val="000000"/>
          <w:sz w:val="20"/>
          <w:u w:val="none"/>
        </w:rPr>
        <w:t>$1.0 billion</w:t>
      </w:r>
      <w:r>
        <w:rPr>
          <w:rFonts w:ascii="Times New Roman" w:eastAsia="Times New Roman" w:hAnsi="Times New Roman" w:cs="Times New Roman"/>
          <w:b w:val="0"/>
          <w:i w:val="0"/>
          <w:color w:val="000000"/>
          <w:sz w:val="20"/>
          <w:u w:val="none"/>
        </w:rPr>
        <w:t xml:space="preserve"> related to borrowings provided by the financial institutions to one of our primary customers in Mexico, of which a portion of the proceeds were then utilized by this customer to pay certain of our outstanding receivables. Approximately </w:t>
      </w:r>
      <w:r>
        <w:rPr>
          <w:rFonts w:ascii="Times New Roman" w:eastAsia="Times New Roman" w:hAnsi="Times New Roman" w:cs="Times New Roman"/>
          <w:b w:val="0"/>
          <w:i w:val="0"/>
          <w:color w:val="000000"/>
          <w:sz w:val="20"/>
          <w:u w:val="none"/>
        </w:rPr>
        <w:t>$155 million</w:t>
      </w:r>
      <w:r>
        <w:rPr>
          <w:rFonts w:ascii="Times New Roman" w:eastAsia="Times New Roman" w:hAnsi="Times New Roman" w:cs="Times New Roman"/>
          <w:b w:val="0"/>
          <w:i w:val="0"/>
          <w:color w:val="000000"/>
          <w:sz w:val="20"/>
          <w:u w:val="none"/>
        </w:rPr>
        <w:t xml:space="preserve"> of the outstanding amount of the CDSs reduces </w:t>
      </w:r>
      <w:r>
        <w:rPr>
          <w:rFonts w:ascii="Times New Roman" w:eastAsia="Times New Roman" w:hAnsi="Times New Roman" w:cs="Times New Roman"/>
          <w:b w:val="0"/>
          <w:i w:val="0"/>
          <w:color w:val="000000"/>
          <w:sz w:val="20"/>
          <w:u w:val="none"/>
        </w:rPr>
        <w:t>monthly</w:t>
      </w:r>
      <w:r>
        <w:rPr>
          <w:rFonts w:ascii="Times New Roman" w:eastAsia="Times New Roman" w:hAnsi="Times New Roman" w:cs="Times New Roman"/>
          <w:b w:val="0"/>
          <w:i w:val="0"/>
          <w:color w:val="000000"/>
          <w:sz w:val="20"/>
          <w:u w:val="none"/>
        </w:rPr>
        <w:t xml:space="preserve"> over its remaining </w:t>
      </w:r>
      <w:r>
        <w:rPr>
          <w:rFonts w:ascii="Times New Roman" w:eastAsia="Times New Roman" w:hAnsi="Times New Roman" w:cs="Times New Roman"/>
          <w:b w:val="0"/>
          <w:i w:val="0"/>
          <w:color w:val="000000"/>
          <w:sz w:val="20"/>
          <w:u w:val="none"/>
        </w:rPr>
        <w:t>11</w:t>
      </w:r>
      <w:r>
        <w:rPr>
          <w:rFonts w:ascii="Times New Roman" w:eastAsia="Times New Roman" w:hAnsi="Times New Roman" w:cs="Times New Roman"/>
          <w:b w:val="0"/>
          <w:i w:val="0"/>
          <w:color w:val="000000"/>
          <w:sz w:val="20"/>
          <w:u w:val="none"/>
        </w:rPr>
        <w:t>-month</w:t>
      </w:r>
      <w:r>
        <w:rPr>
          <w:rFonts w:ascii="Times New Roman" w:eastAsia="Times New Roman" w:hAnsi="Times New Roman" w:cs="Times New Roman"/>
          <w:b w:val="0"/>
          <w:i w:val="0"/>
          <w:color w:val="000000"/>
          <w:sz w:val="20"/>
          <w:u w:val="none"/>
        </w:rPr>
        <w:t xml:space="preserve"> term and </w:t>
      </w:r>
      <w:r>
        <w:rPr>
          <w:rFonts w:ascii="Times New Roman" w:eastAsia="Times New Roman" w:hAnsi="Times New Roman" w:cs="Times New Roman"/>
          <w:b w:val="0"/>
          <w:i w:val="0"/>
          <w:color w:val="000000"/>
          <w:sz w:val="20"/>
          <w:u w:val="none"/>
        </w:rPr>
        <w:t>$171 million</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 xml:space="preserve">reduces </w:t>
      </w:r>
      <w:r>
        <w:rPr>
          <w:rFonts w:ascii="Times New Roman" w:eastAsia="Times New Roman" w:hAnsi="Times New Roman" w:cs="Times New Roman"/>
          <w:b w:val="0"/>
          <w:i w:val="0"/>
          <w:color w:val="000000"/>
          <w:sz w:val="20"/>
          <w:u w:val="none"/>
        </w:rPr>
        <w:t>monthly</w:t>
      </w:r>
      <w:r>
        <w:rPr>
          <w:rFonts w:ascii="Times New Roman" w:eastAsia="Times New Roman" w:hAnsi="Times New Roman" w:cs="Times New Roman"/>
          <w:b w:val="0"/>
          <w:i w:val="0"/>
          <w:color w:val="000000"/>
          <w:sz w:val="20"/>
          <w:u w:val="none"/>
        </w:rPr>
        <w:t xml:space="preserve"> over its remaining </w:t>
      </w:r>
      <w:r>
        <w:rPr>
          <w:rFonts w:ascii="Times New Roman" w:eastAsia="Times New Roman" w:hAnsi="Times New Roman" w:cs="Times New Roman"/>
          <w:b w:val="0"/>
          <w:i w:val="0"/>
          <w:color w:val="000000"/>
          <w:sz w:val="20"/>
          <w:u w:val="none"/>
        </w:rPr>
        <w:t>15</w:t>
      </w:r>
      <w:r>
        <w:rPr>
          <w:rFonts w:ascii="Times New Roman" w:eastAsia="Times New Roman" w:hAnsi="Times New Roman" w:cs="Times New Roman"/>
          <w:b w:val="0"/>
          <w:i w:val="0"/>
          <w:color w:val="000000"/>
          <w:sz w:val="20"/>
          <w:u w:val="none"/>
        </w:rPr>
        <w:t>-month term</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 xml:space="preserve">The remaining </w:t>
      </w:r>
      <w:r>
        <w:rPr>
          <w:rFonts w:ascii="Times New Roman" w:eastAsia="Times New Roman" w:hAnsi="Times New Roman" w:cs="Times New Roman"/>
          <w:b w:val="0"/>
          <w:i w:val="0"/>
          <w:color w:val="000000"/>
          <w:sz w:val="20"/>
          <w:u w:val="none"/>
        </w:rPr>
        <w:t>$717 million</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 xml:space="preserve">outstanding amount </w:t>
      </w:r>
      <w:r>
        <w:rPr>
          <w:rFonts w:ascii="Times New Roman" w:eastAsia="Times New Roman" w:hAnsi="Times New Roman" w:cs="Times New Roman"/>
          <w:b w:val="0"/>
          <w:i w:val="0"/>
          <w:color w:val="000000"/>
          <w:sz w:val="20"/>
          <w:u w:val="none"/>
        </w:rPr>
        <w:t>reduce</w:t>
      </w:r>
      <w:r>
        <w:rPr>
          <w:rFonts w:ascii="Times New Roman" w:eastAsia="Times New Roman" w:hAnsi="Times New Roman" w:cs="Times New Roman"/>
          <w:b w:val="0"/>
          <w:i w:val="0"/>
          <w:color w:val="000000"/>
          <w:sz w:val="20"/>
          <w:u w:val="none"/>
        </w:rPr>
        <w:t>s</w:t>
      </w:r>
      <w:r>
        <w:rPr>
          <w:rFonts w:ascii="Times New Roman" w:eastAsia="Times New Roman" w:hAnsi="Times New Roman" w:cs="Times New Roman"/>
          <w:b w:val="0"/>
          <w:i w:val="0"/>
          <w:color w:val="000000"/>
          <w:sz w:val="20"/>
          <w:u w:val="none"/>
        </w:rPr>
        <w:t xml:space="preserve"> monthly</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 xml:space="preserve">over its remaining </w:t>
      </w:r>
      <w:r>
        <w:rPr>
          <w:rFonts w:ascii="Times New Roman" w:eastAsia="Times New Roman" w:hAnsi="Times New Roman" w:cs="Times New Roman"/>
          <w:b w:val="0"/>
          <w:i w:val="0"/>
          <w:color w:val="000000"/>
          <w:sz w:val="20"/>
          <w:u w:val="none"/>
        </w:rPr>
        <w:t>18</w:t>
      </w:r>
      <w:r>
        <w:rPr>
          <w:rFonts w:ascii="Times New Roman" w:eastAsia="Times New Roman" w:hAnsi="Times New Roman" w:cs="Times New Roman"/>
          <w:b w:val="0"/>
          <w:i w:val="0"/>
          <w:color w:val="000000"/>
          <w:sz w:val="20"/>
          <w:u w:val="none"/>
        </w:rPr>
        <w:t>-month term</w:t>
      </w:r>
      <w:r>
        <w:rPr>
          <w:rFonts w:ascii="Times New Roman" w:eastAsia="Times New Roman" w:hAnsi="Times New Roman" w:cs="Times New Roman"/>
          <w:b w:val="0"/>
          <w:i w:val="0"/>
          <w:color w:val="000000"/>
          <w:sz w:val="20"/>
          <w:u w:val="none"/>
        </w:rPr>
        <w:t>.</w:t>
      </w:r>
    </w:p>
    <w:p>
      <w:pPr>
        <w:keepNext w:val="0"/>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w:t>
      </w:r>
      <w:r>
        <w:rPr>
          <w:rFonts w:ascii="Times New Roman" w:eastAsia="Times New Roman" w:hAnsi="Times New Roman" w:cs="Times New Roman"/>
          <w:b w:val="0"/>
          <w:i w:val="0"/>
          <w:color w:val="000000"/>
          <w:sz w:val="20"/>
          <w:u w:val="none"/>
        </w:rPr>
        <w:t xml:space="preserve"> fair value of the derivative liabilities was not material to our financial </w:t>
      </w:r>
      <w:r>
        <w:rPr>
          <w:rFonts w:ascii="Times New Roman" w:eastAsia="Times New Roman" w:hAnsi="Times New Roman" w:cs="Times New Roman"/>
          <w:b w:val="0"/>
          <w:i w:val="0"/>
          <w:color w:val="000000"/>
          <w:sz w:val="20"/>
          <w:u w:val="none"/>
        </w:rPr>
        <w:t>condition</w:t>
      </w:r>
      <w:r>
        <w:rPr>
          <w:rFonts w:ascii="Times New Roman" w:eastAsia="Times New Roman" w:hAnsi="Times New Roman" w:cs="Times New Roman"/>
          <w:b w:val="0"/>
          <w:i w:val="0"/>
          <w:color w:val="000000"/>
          <w:sz w:val="20"/>
          <w:u w:val="none"/>
        </w:rPr>
        <w:t xml:space="preserve"> as of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color w:val="000000"/>
          <w:sz w:val="20"/>
          <w:u w:val="none"/>
        </w:rPr>
        <w:t>.</w:t>
      </w:r>
    </w:p>
    <w:p>
      <w:pPr>
        <w:keepNext w:val="0"/>
        <w:keepLines/>
        <w:pageBreakBefore w:val="0"/>
        <w:widowControl w:val="0"/>
        <w:numPr>
          <w:ilvl w:val="0"/>
          <w:numId w:val="0"/>
        </w:numPr>
        <w:spacing w:before="0" w:after="160" w:line="288" w:lineRule="auto"/>
        <w:ind w:left="0" w:right="0" w:firstLine="720"/>
        <w:jc w:val="both"/>
        <w:outlineLvl w:val="9"/>
        <w:sectPr>
          <w:headerReference w:type="default" r:id="rId63"/>
          <w:footerReference w:type="default" r:id="rId64"/>
          <w:type w:val="continuous"/>
          <w:pgSz w:w="12240" w:h="15840"/>
          <w:pgMar w:top="900" w:right="990" w:bottom="900" w:left="990" w:header="270" w:footer="270"/>
          <w:cols w:space="708"/>
        </w:sectPr>
      </w:pPr>
    </w:p>
    <w:p>
      <w:pPr>
        <w:keepNext/>
        <w:keepLines/>
        <w:pageBreakBefore w:val="0"/>
        <w:widowControl w:val="0"/>
        <w:numPr>
          <w:ilvl w:val="0"/>
          <w:numId w:val="0"/>
        </w:numPr>
        <w:spacing w:before="0" w:after="160" w:line="288" w:lineRule="auto"/>
        <w:ind w:left="0" w:right="0" w:firstLine="0"/>
        <w:jc w:val="left"/>
        <w:outlineLvl w:val="2"/>
        <w:rPr>
          <w:rFonts w:ascii="Times New Roman" w:eastAsia="Times New Roman" w:hAnsi="Times New Roman" w:cs="Times New Roman"/>
          <w:b/>
          <w:i w:val="0"/>
          <w:color w:val="000000"/>
          <w:sz w:val="20"/>
          <w:u w:val="none"/>
          <w:shd w:val="clear" w:color="auto" w:fill="FFFF00"/>
        </w:rPr>
      </w:pPr>
      <w:bookmarkStart w:id="32" w:name="Section33"/>
      <w:bookmarkEnd w:id="32"/>
      <w:r>
        <w:rPr>
          <w:rFonts w:ascii="Times New Roman" w:eastAsia="Times New Roman" w:hAnsi="Times New Roman" w:cs="Times New Roman"/>
          <w:b/>
          <w:i w:val="0"/>
          <w:sz w:val="20"/>
        </w:rPr>
        <w:t xml:space="preserve">Note </w:t>
      </w:r>
      <w:r>
        <w:rPr>
          <w:rFonts w:ascii="Times New Roman" w:eastAsia="Times New Roman" w:hAnsi="Times New Roman" w:cs="Times New Roman"/>
          <w:b/>
          <w:i w:val="0"/>
          <w:color w:val="000000"/>
          <w:sz w:val="20"/>
          <w:u w:val="none"/>
        </w:rPr>
        <w:t>12</w:t>
      </w:r>
      <w:r>
        <w:rPr>
          <w:rFonts w:ascii="Times New Roman" w:eastAsia="Times New Roman" w:hAnsi="Times New Roman" w:cs="Times New Roman"/>
          <w:b/>
          <w:i w:val="0"/>
          <w:sz w:val="20"/>
        </w:rPr>
        <w:t xml:space="preserve">. </w:t>
      </w:r>
      <w:r>
        <w:rPr>
          <w:rFonts w:ascii="Times New Roman" w:eastAsia="Times New Roman" w:hAnsi="Times New Roman" w:cs="Times New Roman"/>
          <w:b/>
          <w:i w:val="0"/>
          <w:color w:val="000000"/>
          <w:sz w:val="20"/>
          <w:u w:val="none"/>
        </w:rPr>
        <w:t>New Accounting Pronouncements</w:t>
      </w:r>
    </w:p>
    <w:p>
      <w:pPr>
        <w:keepNext/>
        <w:keepLines/>
        <w:pageBreakBefore w:val="0"/>
        <w:widowControl w:val="0"/>
        <w:numPr>
          <w:ilvl w:val="0"/>
          <w:numId w:val="0"/>
        </w:numPr>
        <w:spacing w:before="0" w:after="160" w:line="288" w:lineRule="auto"/>
        <w:ind w:left="0" w:right="0" w:firstLine="720"/>
        <w:jc w:val="both"/>
        <w:outlineLvl w:val="9"/>
        <w:rPr>
          <w:rFonts w:ascii="Arial" w:eastAsia="Arial" w:hAnsi="Arial" w:cs="Arial"/>
          <w:b/>
          <w:i/>
          <w:color w:val="000000"/>
          <w:sz w:val="24"/>
          <w:u w:val="single"/>
        </w:rPr>
      </w:pPr>
      <w:r>
        <w:rPr>
          <w:rFonts w:ascii="Times New Roman" w:eastAsia="Times New Roman" w:hAnsi="Times New Roman" w:cs="Times New Roman"/>
          <w:b w:val="0"/>
          <w:i w:val="0"/>
          <w:color w:val="000000"/>
          <w:sz w:val="20"/>
          <w:u w:val="none"/>
        </w:rPr>
        <w:t>In November 2024, the FASB issued ASU 2024-03 (Subtopic 220-40), “Disaggregation of Income Statement Expenses” (DISE), which requires additional disclosure of certain expense captions presented on the face of the Company’s income statement as well as disclosures about selling expenses. ASU 2024-03 is effective for the Company’s annual reporting periods beginning after December 15, 2026, and interim reporting periods beginning after December 15, 2027, and should be applied on a prospective or retrospective basis, with early adoption permitted. We are currently evaluating the effect that adoption of ASU 2024-03 will have on our disclosures.</w:t>
      </w:r>
    </w:p>
    <w:p>
      <w:pPr>
        <w:keepNext/>
        <w:keepLines/>
        <w:pageBreakBefore w:val="0"/>
        <w:widowControl w:val="0"/>
        <w:numPr>
          <w:ilvl w:val="0"/>
          <w:numId w:val="0"/>
        </w:numPr>
        <w:spacing w:before="0" w:after="160" w:line="288" w:lineRule="auto"/>
        <w:ind w:left="0" w:right="0" w:firstLine="720"/>
        <w:jc w:val="both"/>
        <w:outlineLvl w:val="9"/>
        <w:sectPr>
          <w:headerReference w:type="default" r:id="rId65"/>
          <w:footerReference w:type="default" r:id="rId66"/>
          <w:type w:val="continuous"/>
          <w:pgSz w:w="12240" w:h="15840"/>
          <w:pgMar w:top="900" w:right="990" w:bottom="900" w:left="990" w:header="270" w:footer="270"/>
          <w:cols w:space="708"/>
        </w:sectPr>
      </w:pPr>
    </w:p>
    <w:p>
      <w:pPr>
        <w:keepNext w:val="0"/>
        <w:keepLines w:val="0"/>
        <w:pageBreakBefore w:val="0"/>
        <w:widowControl/>
        <w:numPr>
          <w:ilvl w:val="0"/>
          <w:numId w:val="0"/>
        </w:numPr>
        <w:spacing w:before="0" w:after="160" w:line="288" w:lineRule="auto"/>
        <w:ind w:left="0" w:right="0" w:firstLine="0"/>
        <w:jc w:val="left"/>
        <w:outlineLvl w:val="0"/>
        <w:rPr>
          <w:rFonts w:ascii="Times New Roman" w:eastAsia="Times New Roman" w:hAnsi="Times New Roman" w:cs="Times New Roman"/>
          <w:b/>
          <w:i w:val="0"/>
          <w:sz w:val="20"/>
        </w:rPr>
      </w:pPr>
      <w:bookmarkStart w:id="33" w:name="Section34"/>
      <w:bookmarkEnd w:id="33"/>
      <w:r>
        <w:rPr>
          <w:rFonts w:ascii="Times New Roman" w:eastAsia="Times New Roman" w:hAnsi="Times New Roman" w:cs="Times New Roman"/>
          <w:b/>
          <w:i w:val="0"/>
          <w:color w:val="000000"/>
          <w:sz w:val="20"/>
          <w:u w:val="none"/>
        </w:rPr>
        <w:t>Item 2.</w:t>
      </w:r>
      <w:r>
        <w:rPr>
          <w:rFonts w:ascii="Times New Roman" w:eastAsia="Times New Roman" w:hAnsi="Times New Roman" w:cs="Times New Roman"/>
          <w:b/>
          <w:i w:val="0"/>
          <w:sz w:val="20"/>
        </w:rPr>
        <w:t xml:space="preserve"> </w:t>
      </w:r>
      <w:r>
        <w:rPr>
          <w:rFonts w:ascii="Times New Roman" w:eastAsia="Times New Roman" w:hAnsi="Times New Roman" w:cs="Times New Roman"/>
          <w:b/>
          <w:i w:val="0"/>
          <w:sz w:val="20"/>
        </w:rPr>
        <w:t>Management's Discussion and Analysis of Financial Condition and Results of Operations</w:t>
      </w:r>
    </w:p>
    <w:p>
      <w:pPr>
        <w:keepNext w:val="0"/>
        <w:keepLines w:val="0"/>
        <w:pageBreakBefore w:val="0"/>
        <w:widowControl/>
        <w:numPr>
          <w:ilvl w:val="0"/>
          <w:numId w:val="0"/>
        </w:numPr>
        <w:spacing w:before="0" w:after="16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00"/>
          <w:sz w:val="20"/>
          <w:u w:val="none"/>
        </w:rPr>
        <w:t xml:space="preserve">Management's Discussion and Analysis of Financial Condition and Results of Operations should be read in conjunction with the </w:t>
      </w:r>
      <w:r>
        <w:rPr>
          <w:rFonts w:ascii="Times New Roman" w:eastAsia="Times New Roman" w:hAnsi="Times New Roman" w:cs="Times New Roman"/>
          <w:b w:val="0"/>
          <w:i w:val="0"/>
          <w:color w:val="000000"/>
          <w:sz w:val="20"/>
          <w:u w:val="none"/>
        </w:rPr>
        <w:t>condensed consolidated</w:t>
      </w:r>
      <w:r>
        <w:rPr>
          <w:rFonts w:ascii="Times New Roman" w:eastAsia="Times New Roman" w:hAnsi="Times New Roman" w:cs="Times New Roman"/>
          <w:b w:val="0"/>
          <w:i w:val="0"/>
          <w:color w:val="000000"/>
          <w:sz w:val="20"/>
          <w:u w:val="none"/>
        </w:rPr>
        <w:t xml:space="preserve"> financial statements included in “Item 1. Financial Statements” contained herein.</w:t>
      </w:r>
    </w:p>
    <w:p>
      <w:pPr>
        <w:keepNext w:val="0"/>
        <w:keepLines w:val="0"/>
        <w:pageBreakBefore w:val="0"/>
        <w:widowControl/>
        <w:numPr>
          <w:ilvl w:val="0"/>
          <w:numId w:val="0"/>
        </w:numPr>
        <w:spacing w:before="0" w:after="160" w:line="288" w:lineRule="auto"/>
        <w:ind w:left="0" w:right="0" w:firstLine="720"/>
        <w:jc w:val="both"/>
        <w:outlineLvl w:val="9"/>
        <w:sectPr>
          <w:headerReference w:type="default" r:id="rId67"/>
          <w:footerReference w:type="default" r:id="rId68"/>
          <w:pgSz w:w="12240" w:h="15840"/>
          <w:pgMar w:top="900" w:right="990" w:bottom="900" w:left="990" w:header="270" w:footer="270"/>
          <w:cols w:space="708"/>
        </w:sectPr>
      </w:pPr>
    </w:p>
    <w:p>
      <w:pPr>
        <w:keepNext/>
        <w:keepLines/>
        <w:pageBreakBefore w:val="0"/>
        <w:widowControl w:val="0"/>
        <w:numPr>
          <w:ilvl w:val="0"/>
          <w:numId w:val="0"/>
        </w:numPr>
        <w:spacing w:before="0" w:after="160" w:line="288" w:lineRule="auto"/>
        <w:ind w:left="0" w:right="0" w:firstLine="0"/>
        <w:jc w:val="left"/>
        <w:outlineLvl w:val="1"/>
        <w:rPr>
          <w:rFonts w:ascii="Times New Roman" w:eastAsia="Times New Roman" w:hAnsi="Times New Roman" w:cs="Times New Roman"/>
          <w:b/>
          <w:i/>
          <w:sz w:val="24"/>
        </w:rPr>
      </w:pPr>
      <w:bookmarkStart w:id="34" w:name="Section35"/>
      <w:bookmarkEnd w:id="34"/>
      <w:r>
        <w:rPr>
          <w:rFonts w:ascii="Times New Roman" w:eastAsia="Times New Roman" w:hAnsi="Times New Roman" w:cs="Times New Roman"/>
          <w:b/>
          <w:i w:val="0"/>
          <w:sz w:val="20"/>
        </w:rPr>
        <w:t>EXECUTIVE OVERVIEW</w:t>
      </w:r>
    </w:p>
    <w:p>
      <w:pPr>
        <w:keepNext/>
        <w:keepLines/>
        <w:pageBreakBefore w:val="0"/>
        <w:widowControl w:val="0"/>
        <w:numPr>
          <w:ilvl w:val="0"/>
          <w:numId w:val="0"/>
        </w:numPr>
        <w:spacing w:before="0" w:after="160" w:line="288" w:lineRule="auto"/>
        <w:ind w:left="0" w:right="0" w:firstLine="0"/>
        <w:jc w:val="left"/>
        <w:outlineLvl w:val="1"/>
        <w:sectPr>
          <w:headerReference w:type="default" r:id="rId69"/>
          <w:footerReference w:type="default" r:id="rId70"/>
          <w:headerReference w:type="first" r:id="rId71"/>
          <w:footerReference w:type="first" r:id="rId72"/>
          <w:type w:val="continuous"/>
          <w:pgSz w:w="12240" w:h="15840"/>
          <w:pgMar w:top="900" w:right="990" w:bottom="900" w:left="990" w:header="270" w:footer="270"/>
          <w:cols w:space="708"/>
          <w:titlePg/>
        </w:sectPr>
      </w:pPr>
    </w:p>
    <w:p>
      <w:pPr>
        <w:keepNext/>
        <w:keepLines/>
        <w:pageBreakBefore w:val="0"/>
        <w:widowControl w:val="0"/>
        <w:numPr>
          <w:ilvl w:val="0"/>
          <w:numId w:val="0"/>
        </w:numPr>
        <w:spacing w:before="0" w:after="0" w:line="288" w:lineRule="auto"/>
        <w:ind w:left="0" w:right="0" w:firstLine="720"/>
        <w:jc w:val="left"/>
        <w:outlineLvl w:val="2"/>
        <w:rPr>
          <w:rFonts w:ascii="Times New Roman" w:eastAsia="Times New Roman" w:hAnsi="Times New Roman" w:cs="Times New Roman"/>
          <w:b/>
          <w:i/>
          <w:sz w:val="20"/>
        </w:rPr>
      </w:pPr>
      <w:bookmarkStart w:id="35" w:name="Section36"/>
      <w:bookmarkEnd w:id="35"/>
      <w:r>
        <w:rPr>
          <w:rFonts w:ascii="Times New Roman" w:eastAsia="Times New Roman" w:hAnsi="Times New Roman" w:cs="Times New Roman"/>
          <w:b/>
          <w:i/>
          <w:sz w:val="20"/>
        </w:rPr>
        <w:t xml:space="preserve"> </w:t>
      </w:r>
      <w:r>
        <w:rPr>
          <w:rFonts w:ascii="Times New Roman" w:eastAsia="Times New Roman" w:hAnsi="Times New Roman" w:cs="Times New Roman"/>
          <w:b/>
          <w:i/>
          <w:color w:val="000000"/>
          <w:sz w:val="20"/>
          <w:u w:val="none"/>
        </w:rPr>
        <w:t>Organization</w:t>
      </w:r>
    </w:p>
    <w:p>
      <w:pPr>
        <w:keepNext/>
        <w:keepLines/>
        <w:pageBreakBefore w:val="0"/>
        <w:widowControl w:val="0"/>
        <w:numPr>
          <w:ilvl w:val="0"/>
          <w:numId w:val="0"/>
        </w:numPr>
        <w:spacing w:before="0" w:after="12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We are one of the world’s largest providers of products and services to the energy industry. We help our customers maximize asset value throughout the lifecycle of the reservoir from locating hydrocarbons and managing geological data, to drilling and formation evaluation, well construction and completion, and optimizing production throughout the life of the asset. Activity levels within our operations are significantly impacted by spending on upstream exploration, development, and production programs by major, national, and independent oil and natural gas companies. We report our results under two segments, the Completion and Production segment and the Drilling and Evaluation segment.</w:t>
      </w:r>
    </w:p>
    <w:p>
      <w:pPr>
        <w:keepNext/>
        <w:keepLines/>
        <w:pageBreakBefore w:val="0"/>
        <w:widowControl w:val="0"/>
        <w:numPr>
          <w:ilvl w:val="0"/>
          <w:numId w:val="16"/>
        </w:numPr>
        <w:spacing w:before="0" w:after="60" w:line="288" w:lineRule="auto"/>
        <w:ind w:left="990" w:right="0" w:hanging="27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Completion and Production delivers cementing, stimulation, </w:t>
      </w:r>
      <w:r>
        <w:rPr>
          <w:rFonts w:ascii="Times New Roman" w:eastAsia="Times New Roman" w:hAnsi="Times New Roman" w:cs="Times New Roman"/>
          <w:b w:val="0"/>
          <w:i w:val="0"/>
          <w:color w:val="000000"/>
          <w:sz w:val="20"/>
          <w:u w:val="none"/>
        </w:rPr>
        <w:t>specialty chemicals</w:t>
      </w:r>
      <w:r>
        <w:rPr>
          <w:rFonts w:ascii="Times New Roman" w:eastAsia="Times New Roman" w:hAnsi="Times New Roman" w:cs="Times New Roman"/>
          <w:b w:val="0"/>
          <w:i w:val="0"/>
          <w:color w:val="000000"/>
          <w:sz w:val="20"/>
          <w:u w:val="none"/>
        </w:rPr>
        <w:t>, intervention, pressure control, artificial lift, and completion products and services. The segment consists of Artificial Lift, Cementing, Completion Tools, Multi-Chem, Pipeline and Process</w:t>
      </w:r>
      <w:r>
        <w:rPr>
          <w:rFonts w:ascii="Times New Roman" w:eastAsia="Times New Roman" w:hAnsi="Times New Roman" w:cs="Times New Roman"/>
          <w:b w:val="0"/>
          <w:i w:val="0"/>
          <w:color w:val="000000"/>
          <w:sz w:val="20"/>
          <w:u w:val="none"/>
        </w:rPr>
        <w:t xml:space="preserve"> Services, </w:t>
      </w:r>
      <w:r>
        <w:rPr>
          <w:rFonts w:ascii="Times New Roman" w:eastAsia="Times New Roman" w:hAnsi="Times New Roman" w:cs="Times New Roman"/>
          <w:b w:val="0"/>
          <w:i w:val="0"/>
          <w:color w:val="000000"/>
          <w:sz w:val="20"/>
          <w:u w:val="none"/>
        </w:rPr>
        <w:t>Production Enhancement, and Production Solutions</w:t>
      </w:r>
      <w:r>
        <w:rPr>
          <w:rFonts w:ascii="Times New Roman" w:eastAsia="Times New Roman" w:hAnsi="Times New Roman" w:cs="Times New Roman"/>
          <w:b w:val="0"/>
          <w:i w:val="0"/>
          <w:color w:val="000000"/>
          <w:sz w:val="20"/>
          <w:u w:val="none"/>
        </w:rPr>
        <w:t>.</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 xml:space="preserve">During the third quarter of 2024, we </w:t>
      </w:r>
      <w:r>
        <w:rPr>
          <w:rFonts w:ascii="Times New Roman" w:eastAsia="Times New Roman" w:hAnsi="Times New Roman" w:cs="Times New Roman"/>
          <w:b w:val="0"/>
          <w:i w:val="0"/>
          <w:color w:val="000000"/>
          <w:sz w:val="20"/>
          <w:u w:val="none"/>
        </w:rPr>
        <w:t>made a strategic deci</w:t>
      </w:r>
      <w:r>
        <w:rPr>
          <w:rFonts w:ascii="Times New Roman" w:eastAsia="Times New Roman" w:hAnsi="Times New Roman" w:cs="Times New Roman"/>
          <w:b w:val="0"/>
          <w:i w:val="0"/>
          <w:color w:val="000000"/>
          <w:sz w:val="20"/>
          <w:u w:val="none"/>
        </w:rPr>
        <w:t>sion to market for sale a portion of our chemical b</w:t>
      </w:r>
      <w:r>
        <w:rPr>
          <w:rFonts w:ascii="Times New Roman" w:eastAsia="Times New Roman" w:hAnsi="Times New Roman" w:cs="Times New Roman"/>
          <w:b w:val="0"/>
          <w:i w:val="0"/>
          <w:color w:val="000000"/>
          <w:sz w:val="20"/>
          <w:u w:val="none"/>
        </w:rPr>
        <w:t>usiness.</w:t>
      </w:r>
    </w:p>
    <w:p>
      <w:pPr>
        <w:keepNext w:val="0"/>
        <w:keepLines/>
        <w:pageBreakBefore w:val="0"/>
        <w:widowControl w:val="0"/>
        <w:numPr>
          <w:ilvl w:val="0"/>
          <w:numId w:val="17"/>
        </w:numPr>
        <w:spacing w:before="0" w:after="120" w:line="288" w:lineRule="auto"/>
        <w:ind w:left="990" w:right="0" w:hanging="27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Drilling and Evaluation provides field and reservoir modeling, drilling, fluids, evaluation, and precise wellbore placement solutions that enable customers to model, measure, drill, and optimize their well construction activities. The segment consists of Baroid, Drill Bits and Services, Halliburton Project Management, Landmark Software and Services, Sperry Drilling, Testing and Subsea, and Wireline and Perforating.</w:t>
      </w:r>
    </w:p>
    <w:p>
      <w:pPr>
        <w:keepNext w:val="0"/>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The business operations of our segments are organized around four primary geographic regions: North America, Latin America, Europe/Africa/CIS, and Middle East/Asia. We have manufacturing operations in various locations, the most significant of which are in the United States, Malaysia, Singapore, and the United Kingdom. With </w:t>
      </w:r>
      <w:r>
        <w:rPr>
          <w:rFonts w:ascii="Times New Roman" w:eastAsia="Times New Roman" w:hAnsi="Times New Roman" w:cs="Times New Roman"/>
          <w:b w:val="0"/>
          <w:i w:val="0"/>
          <w:color w:val="000000"/>
          <w:sz w:val="20"/>
          <w:u w:val="none"/>
        </w:rPr>
        <w:t>approximately</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48,000</w:t>
      </w:r>
      <w:r>
        <w:rPr>
          <w:rFonts w:ascii="Times New Roman" w:eastAsia="Times New Roman" w:hAnsi="Times New Roman" w:cs="Times New Roman"/>
          <w:b w:val="0"/>
          <w:i w:val="0"/>
          <w:color w:val="000000"/>
          <w:sz w:val="20"/>
          <w:u w:val="none"/>
        </w:rPr>
        <w:t xml:space="preserve"> employees</w:t>
      </w:r>
      <w:r>
        <w:rPr>
          <w:rFonts w:ascii="Times New Roman" w:eastAsia="Times New Roman" w:hAnsi="Times New Roman" w:cs="Times New Roman"/>
          <w:b w:val="0"/>
          <w:i w:val="0"/>
          <w:color w:val="000000"/>
          <w:sz w:val="20"/>
          <w:u w:val="none"/>
        </w:rPr>
        <w:t>,</w:t>
      </w:r>
      <w:r>
        <w:rPr>
          <w:rFonts w:ascii="Times New Roman" w:eastAsia="Times New Roman" w:hAnsi="Times New Roman" w:cs="Times New Roman"/>
          <w:b w:val="0"/>
          <w:i w:val="0"/>
          <w:color w:val="000000"/>
          <w:sz w:val="20"/>
          <w:u w:val="none"/>
        </w:rPr>
        <w:t xml:space="preserve"> we operate in </w:t>
      </w:r>
      <w:r>
        <w:rPr>
          <w:rFonts w:ascii="Times New Roman" w:eastAsia="Times New Roman" w:hAnsi="Times New Roman" w:cs="Times New Roman"/>
          <w:b w:val="0"/>
          <w:i w:val="0"/>
          <w:color w:val="000000"/>
          <w:sz w:val="20"/>
          <w:u w:val="none"/>
        </w:rPr>
        <w:t>more than 70</w:t>
      </w:r>
      <w:r>
        <w:rPr>
          <w:rFonts w:ascii="Times New Roman" w:eastAsia="Times New Roman" w:hAnsi="Times New Roman" w:cs="Times New Roman"/>
          <w:b w:val="0"/>
          <w:i w:val="0"/>
          <w:color w:val="000000"/>
          <w:sz w:val="20"/>
          <w:u w:val="none"/>
        </w:rPr>
        <w:t xml:space="preserve"> countries around the world, and our corporate headquarters is in Houston, Texas.</w:t>
      </w:r>
    </w:p>
    <w:p>
      <w:pPr>
        <w:keepNext w:val="0"/>
        <w:keepLines/>
        <w:pageBreakBefore w:val="0"/>
        <w:widowControl w:val="0"/>
        <w:numPr>
          <w:ilvl w:val="0"/>
          <w:numId w:val="0"/>
        </w:numPr>
        <w:spacing w:before="0" w:after="120" w:line="288" w:lineRule="auto"/>
        <w:ind w:left="0" w:right="0" w:firstLine="720"/>
        <w:jc w:val="both"/>
        <w:outlineLvl w:val="9"/>
        <w:rPr>
          <w:rFonts w:ascii="Times New Roman" w:eastAsia="Times New Roman" w:hAnsi="Times New Roman" w:cs="Times New Roman"/>
          <w:b/>
          <w:i/>
          <w:color w:val="000000"/>
          <w:sz w:val="20"/>
          <w:u w:val="none"/>
        </w:rPr>
      </w:pPr>
      <w:r>
        <w:rPr>
          <w:rFonts w:ascii="Times New Roman" w:eastAsia="Times New Roman" w:hAnsi="Times New Roman" w:cs="Times New Roman"/>
          <w:b w:val="0"/>
          <w:i w:val="0"/>
          <w:color w:val="000000"/>
          <w:sz w:val="20"/>
          <w:u w:val="none"/>
        </w:rPr>
        <w:t>Our value proposition is to collaborate and engineer solutions to maximize asset value for our customers. We work to achieve strong cash flows and returns for our shareholders by delivering technology and services that improve efficiency, increase recovery, and maximize production for our customers. Our strategic priorities are to:</w:t>
      </w:r>
    </w:p>
    <w:p>
      <w:pPr>
        <w:keepNext w:val="0"/>
        <w:keepLines w:val="0"/>
        <w:pageBreakBefore w:val="0"/>
        <w:widowControl/>
        <w:numPr>
          <w:ilvl w:val="0"/>
          <w:numId w:val="0"/>
        </w:numPr>
        <w:spacing w:before="0" w:after="60" w:line="288" w:lineRule="auto"/>
        <w:ind w:left="900" w:right="0" w:hanging="9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w:t>
      </w:r>
      <w:r>
        <w:rPr>
          <w:rFonts w:ascii="Times New Roman" w:eastAsia="Times New Roman" w:hAnsi="Times New Roman" w:cs="Times New Roman"/>
          <w:b w:val="0"/>
          <w:i/>
          <w:color w:val="000000"/>
          <w:sz w:val="20"/>
          <w:u w:val="none"/>
        </w:rPr>
        <w:t xml:space="preserve"> </w:t>
      </w:r>
      <w:r>
        <w:rPr>
          <w:rFonts w:ascii="Times New Roman" w:eastAsia="Times New Roman" w:hAnsi="Times New Roman" w:cs="Times New Roman"/>
          <w:b w:val="0"/>
          <w:i/>
          <w:color w:val="000000"/>
          <w:sz w:val="20"/>
          <w:u w:val="none"/>
        </w:rPr>
        <w:t>International</w:t>
      </w:r>
      <w:r>
        <w:rPr>
          <w:rFonts w:ascii="Times New Roman" w:eastAsia="Times New Roman" w:hAnsi="Times New Roman" w:cs="Times New Roman"/>
          <w:b w:val="0"/>
          <w:i w:val="0"/>
          <w:color w:val="000000"/>
          <w:sz w:val="20"/>
          <w:u w:val="none"/>
        </w:rPr>
        <w:t xml:space="preserve">: Increase international growth in </w:t>
      </w:r>
      <w:r>
        <w:rPr>
          <w:rFonts w:ascii="Times New Roman" w:eastAsia="Times New Roman" w:hAnsi="Times New Roman" w:cs="Times New Roman"/>
          <w:b w:val="0"/>
          <w:i w:val="0"/>
          <w:color w:val="000000"/>
          <w:sz w:val="20"/>
          <w:u w:val="none"/>
        </w:rPr>
        <w:t xml:space="preserve">our </w:t>
      </w:r>
      <w:r>
        <w:rPr>
          <w:rFonts w:ascii="Times New Roman" w:eastAsia="Times New Roman" w:hAnsi="Times New Roman" w:cs="Times New Roman"/>
          <w:b w:val="0"/>
          <w:i w:val="0"/>
          <w:color w:val="000000"/>
          <w:sz w:val="20"/>
          <w:u w:val="none"/>
        </w:rPr>
        <w:t>directional drilling, unconventionals, well intervention, and artificial lift business</w:t>
      </w:r>
      <w:r>
        <w:rPr>
          <w:rFonts w:ascii="Times New Roman" w:eastAsia="Times New Roman" w:hAnsi="Times New Roman" w:cs="Times New Roman"/>
          <w:b w:val="0"/>
          <w:i w:val="0"/>
          <w:color w:val="000000"/>
          <w:sz w:val="20"/>
          <w:u w:val="none"/>
        </w:rPr>
        <w:t>es</w:t>
      </w:r>
      <w:r>
        <w:rPr>
          <w:rFonts w:ascii="Times New Roman" w:eastAsia="Times New Roman" w:hAnsi="Times New Roman" w:cs="Times New Roman"/>
          <w:b w:val="0"/>
          <w:i w:val="0"/>
          <w:color w:val="000000"/>
          <w:sz w:val="20"/>
          <w:u w:val="none"/>
        </w:rPr>
        <w:t>.</w:t>
      </w:r>
    </w:p>
    <w:p>
      <w:pPr>
        <w:keepNext w:val="0"/>
        <w:keepLines w:val="0"/>
        <w:pageBreakBefore w:val="0"/>
        <w:widowControl/>
        <w:numPr>
          <w:ilvl w:val="0"/>
          <w:numId w:val="0"/>
        </w:numPr>
        <w:spacing w:before="0" w:after="60" w:line="288" w:lineRule="auto"/>
        <w:ind w:left="900" w:right="0" w:hanging="9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color w:val="000000"/>
          <w:sz w:val="20"/>
          <w:u w:val="none"/>
        </w:rPr>
        <w:t>North America</w:t>
      </w:r>
      <w:r>
        <w:rPr>
          <w:rFonts w:ascii="Times New Roman" w:eastAsia="Times New Roman" w:hAnsi="Times New Roman" w:cs="Times New Roman"/>
          <w:b w:val="0"/>
          <w:i w:val="0"/>
          <w:color w:val="000000"/>
          <w:sz w:val="20"/>
          <w:u w:val="none"/>
        </w:rPr>
        <w:t xml:space="preserve">: Maximize value by, among other things, </w:t>
      </w:r>
      <w:r>
        <w:rPr>
          <w:rFonts w:ascii="Times New Roman" w:eastAsia="Times New Roman" w:hAnsi="Times New Roman" w:cs="Times New Roman"/>
          <w:b w:val="0"/>
          <w:i w:val="0"/>
          <w:color w:val="000000"/>
          <w:sz w:val="20"/>
          <w:u w:val="none"/>
        </w:rPr>
        <w:t xml:space="preserve">increasing the </w:t>
      </w:r>
      <w:r>
        <w:rPr>
          <w:rFonts w:ascii="Times New Roman" w:eastAsia="Times New Roman" w:hAnsi="Times New Roman" w:cs="Times New Roman"/>
          <w:b w:val="0"/>
          <w:i w:val="0"/>
          <w:color w:val="000000"/>
          <w:sz w:val="20"/>
          <w:u w:val="none"/>
        </w:rPr>
        <w:t>utiliz</w:t>
      </w:r>
      <w:r>
        <w:rPr>
          <w:rFonts w:ascii="Times New Roman" w:eastAsia="Times New Roman" w:hAnsi="Times New Roman" w:cs="Times New Roman"/>
          <w:b w:val="0"/>
          <w:i w:val="0"/>
          <w:color w:val="000000"/>
          <w:sz w:val="20"/>
          <w:u w:val="none"/>
        </w:rPr>
        <w:t>ation</w:t>
      </w:r>
      <w:r>
        <w:rPr>
          <w:rFonts w:ascii="Times New Roman" w:eastAsia="Times New Roman" w:hAnsi="Times New Roman" w:cs="Times New Roman"/>
          <w:b w:val="0"/>
          <w:i w:val="0"/>
          <w:color w:val="000000"/>
          <w:sz w:val="20"/>
          <w:u w:val="none"/>
        </w:rPr>
        <w:t xml:space="preserve"> by our customers of </w:t>
      </w:r>
      <w:r>
        <w:rPr>
          <w:rFonts w:ascii="Times New Roman" w:eastAsia="Times New Roman" w:hAnsi="Times New Roman" w:cs="Times New Roman"/>
          <w:b w:val="0"/>
          <w:i w:val="0"/>
          <w:color w:val="000000"/>
          <w:sz w:val="20"/>
          <w:u w:val="none"/>
        </w:rPr>
        <w:t>our Zeus electric fracturing platform and our iCruise rotary steerable systems</w:t>
      </w:r>
      <w:r>
        <w:rPr>
          <w:rFonts w:ascii="Times New Roman" w:eastAsia="Times New Roman" w:hAnsi="Times New Roman" w:cs="Times New Roman"/>
          <w:b w:val="0"/>
          <w:i w:val="0"/>
          <w:color w:val="000000"/>
          <w:sz w:val="20"/>
          <w:u w:val="none"/>
        </w:rPr>
        <w:t>,</w:t>
      </w:r>
      <w:r>
        <w:rPr>
          <w:rFonts w:ascii="Times New Roman" w:eastAsia="Times New Roman" w:hAnsi="Times New Roman" w:cs="Times New Roman"/>
          <w:b w:val="0"/>
          <w:i w:val="0"/>
          <w:color w:val="000000"/>
          <w:sz w:val="20"/>
          <w:u w:val="none"/>
        </w:rPr>
        <w:t xml:space="preserve"> and incorporating </w:t>
      </w:r>
      <w:r>
        <w:rPr>
          <w:rFonts w:ascii="Times New Roman" w:eastAsia="Times New Roman" w:hAnsi="Times New Roman" w:cs="Times New Roman"/>
          <w:b w:val="0"/>
          <w:i w:val="0"/>
          <w:color w:val="000000"/>
          <w:sz w:val="20"/>
          <w:u w:val="none"/>
        </w:rPr>
        <w:t>automation technologies in certain of our processes</w:t>
      </w:r>
      <w:r>
        <w:rPr>
          <w:rFonts w:ascii="Times New Roman" w:eastAsia="Times New Roman" w:hAnsi="Times New Roman" w:cs="Times New Roman"/>
          <w:b w:val="0"/>
          <w:i w:val="0"/>
          <w:color w:val="000000"/>
          <w:sz w:val="20"/>
          <w:u w:val="none"/>
        </w:rPr>
        <w:t>.</w:t>
      </w:r>
    </w:p>
    <w:p>
      <w:pPr>
        <w:keepNext w:val="0"/>
        <w:keepLines w:val="0"/>
        <w:pageBreakBefore w:val="0"/>
        <w:widowControl/>
        <w:numPr>
          <w:ilvl w:val="0"/>
          <w:numId w:val="0"/>
        </w:numPr>
        <w:spacing w:before="0" w:after="60" w:line="288" w:lineRule="auto"/>
        <w:ind w:left="900" w:right="0" w:hanging="9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color w:val="000000"/>
          <w:sz w:val="20"/>
          <w:u w:val="none"/>
        </w:rPr>
        <w:t>Digital</w:t>
      </w:r>
      <w:r>
        <w:rPr>
          <w:rFonts w:ascii="Times New Roman" w:eastAsia="Times New Roman" w:hAnsi="Times New Roman" w:cs="Times New Roman"/>
          <w:b w:val="0"/>
          <w:i w:val="0"/>
          <w:color w:val="000000"/>
          <w:sz w:val="20"/>
          <w:u w:val="none"/>
        </w:rPr>
        <w:t>: Continue to drive differentiation and efficiencies through the deployment of digital and automation technologies, both internally and for our customers.</w:t>
      </w:r>
    </w:p>
    <w:p>
      <w:pPr>
        <w:keepNext w:val="0"/>
        <w:keepLines w:val="0"/>
        <w:pageBreakBefore w:val="0"/>
        <w:widowControl/>
        <w:numPr>
          <w:ilvl w:val="0"/>
          <w:numId w:val="0"/>
        </w:numPr>
        <w:spacing w:before="0" w:after="60" w:line="288" w:lineRule="auto"/>
        <w:ind w:left="900" w:right="0" w:hanging="9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color w:val="000000"/>
          <w:sz w:val="20"/>
          <w:u w:val="none"/>
        </w:rPr>
        <w:t>Capital efficiency</w:t>
      </w:r>
      <w:r>
        <w:rPr>
          <w:rFonts w:ascii="Times New Roman" w:eastAsia="Times New Roman" w:hAnsi="Times New Roman" w:cs="Times New Roman"/>
          <w:b w:val="0"/>
          <w:i w:val="0"/>
          <w:color w:val="000000"/>
          <w:sz w:val="20"/>
          <w:u w:val="none"/>
        </w:rPr>
        <w:t>: Maintain</w:t>
      </w:r>
      <w:r>
        <w:rPr>
          <w:rFonts w:ascii="Times New Roman" w:eastAsia="Times New Roman" w:hAnsi="Times New Roman" w:cs="Times New Roman"/>
          <w:b w:val="0"/>
          <w:i w:val="0"/>
          <w:color w:val="000000"/>
          <w:sz w:val="20"/>
          <w:u w:val="none"/>
        </w:rPr>
        <w:t xml:space="preserve"> our capital expenditures at approximately 6% of revenue while utilizing technology and targeted process improvements to enhance </w:t>
      </w:r>
      <w:r>
        <w:rPr>
          <w:rFonts w:ascii="Times New Roman" w:eastAsia="Times New Roman" w:hAnsi="Times New Roman" w:cs="Times New Roman"/>
          <w:b w:val="0"/>
          <w:i w:val="0"/>
          <w:color w:val="000000"/>
          <w:sz w:val="20"/>
          <w:u w:val="none"/>
        </w:rPr>
        <w:t xml:space="preserve">the effectiveness and </w:t>
      </w:r>
      <w:r>
        <w:rPr>
          <w:rFonts w:ascii="Times New Roman" w:eastAsia="Times New Roman" w:hAnsi="Times New Roman" w:cs="Times New Roman"/>
          <w:b w:val="0"/>
          <w:i w:val="0"/>
          <w:color w:val="000000"/>
          <w:sz w:val="20"/>
          <w:u w:val="none"/>
        </w:rPr>
        <w:t xml:space="preserve">efficiency </w:t>
      </w:r>
      <w:r>
        <w:rPr>
          <w:rFonts w:ascii="Times New Roman" w:eastAsia="Times New Roman" w:hAnsi="Times New Roman" w:cs="Times New Roman"/>
          <w:b w:val="0"/>
          <w:i w:val="0"/>
          <w:color w:val="000000"/>
          <w:sz w:val="20"/>
          <w:u w:val="none"/>
        </w:rPr>
        <w:t xml:space="preserve">of our </w:t>
      </w:r>
      <w:r>
        <w:rPr>
          <w:rFonts w:ascii="Times New Roman" w:eastAsia="Times New Roman" w:hAnsi="Times New Roman" w:cs="Times New Roman"/>
          <w:b w:val="0"/>
          <w:i w:val="0"/>
          <w:color w:val="000000"/>
          <w:sz w:val="20"/>
          <w:u w:val="none"/>
        </w:rPr>
        <w:t xml:space="preserve">utilization of </w:t>
      </w:r>
      <w:r>
        <w:rPr>
          <w:rFonts w:ascii="Times New Roman" w:eastAsia="Times New Roman" w:hAnsi="Times New Roman" w:cs="Times New Roman"/>
          <w:b w:val="0"/>
          <w:i w:val="0"/>
          <w:color w:val="000000"/>
          <w:sz w:val="20"/>
          <w:u w:val="none"/>
        </w:rPr>
        <w:t>capital.</w:t>
      </w:r>
    </w:p>
    <w:p>
      <w:pPr>
        <w:keepNext w:val="0"/>
        <w:keepLines w:val="0"/>
        <w:pageBreakBefore w:val="0"/>
        <w:widowControl/>
        <w:numPr>
          <w:ilvl w:val="0"/>
          <w:numId w:val="0"/>
        </w:numPr>
        <w:spacing w:before="0" w:after="60" w:line="288" w:lineRule="auto"/>
        <w:ind w:left="900" w:right="0" w:hanging="9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color w:val="000000"/>
          <w:sz w:val="20"/>
          <w:u w:val="none"/>
        </w:rPr>
        <w:t>Shareholder returns</w:t>
      </w:r>
      <w:r>
        <w:rPr>
          <w:rFonts w:ascii="Times New Roman" w:eastAsia="Times New Roman" w:hAnsi="Times New Roman" w:cs="Times New Roman"/>
          <w:b w:val="0"/>
          <w:i w:val="0"/>
          <w:color w:val="000000"/>
          <w:sz w:val="20"/>
          <w:u w:val="none"/>
        </w:rPr>
        <w:t>: Return over 50% of annual free cash flow to shareholders through dividends and share repurchases.</w:t>
      </w:r>
    </w:p>
    <w:p>
      <w:pPr>
        <w:keepNext w:val="0"/>
        <w:keepLines w:val="0"/>
        <w:pageBreakBefore w:val="0"/>
        <w:widowControl/>
        <w:numPr>
          <w:ilvl w:val="0"/>
          <w:numId w:val="0"/>
        </w:numPr>
        <w:spacing w:before="0" w:after="60" w:line="288" w:lineRule="auto"/>
        <w:ind w:left="900" w:right="0" w:hanging="9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w:t>
      </w:r>
      <w:r>
        <w:rPr>
          <w:rFonts w:ascii="Times New Roman" w:eastAsia="Times New Roman" w:hAnsi="Times New Roman" w:cs="Times New Roman"/>
          <w:b w:val="0"/>
          <w:i/>
          <w:color w:val="000000"/>
          <w:sz w:val="20"/>
          <w:u w:val="none"/>
        </w:rPr>
        <w:t xml:space="preserve"> Advance a Sustainable Energy Future</w:t>
      </w:r>
      <w:r>
        <w:rPr>
          <w:rFonts w:ascii="Times New Roman" w:eastAsia="Times New Roman" w:hAnsi="Times New Roman" w:cs="Times New Roman"/>
          <w:b w:val="0"/>
          <w:i w:val="0"/>
          <w:color w:val="000000"/>
          <w:sz w:val="20"/>
          <w:u w:val="none"/>
        </w:rPr>
        <w:t>: Continue to develop technologies and solutions to help lower our customers’ and our emissions intensity, participate in carbon capture, utilization, and storage, and geothermal projects globally, and support Halliburton Labs early-stage company participants.</w:t>
      </w:r>
    </w:p>
    <w:p>
      <w:pPr>
        <w:keepNext w:val="0"/>
        <w:keepLines w:val="0"/>
        <w:pageBreakBefore w:val="0"/>
        <w:widowControl/>
        <w:numPr>
          <w:ilvl w:val="0"/>
          <w:numId w:val="0"/>
        </w:numPr>
        <w:spacing w:before="0" w:after="160" w:line="288" w:lineRule="auto"/>
        <w:ind w:left="1440" w:right="0" w:firstLine="0"/>
        <w:jc w:val="left"/>
        <w:outlineLvl w:val="9"/>
        <w:rPr>
          <w:rFonts w:ascii="Times New Roman" w:eastAsia="Times New Roman" w:hAnsi="Times New Roman" w:cs="Times New Roman"/>
          <w:b w:val="0"/>
          <w:i w:val="0"/>
          <w:color w:val="000000"/>
          <w:sz w:val="20"/>
          <w:u w:val="none"/>
        </w:rPr>
      </w:pPr>
    </w:p>
    <w:p>
      <w:pPr>
        <w:keepNext/>
        <w:keepLines w:val="0"/>
        <w:pageBreakBefore w:val="0"/>
        <w:widowControl/>
        <w:numPr>
          <w:ilvl w:val="0"/>
          <w:numId w:val="0"/>
        </w:numPr>
        <w:spacing w:before="0" w:after="160" w:line="288" w:lineRule="auto"/>
        <w:ind w:left="0" w:right="0" w:firstLine="720"/>
        <w:jc w:val="both"/>
        <w:outlineLvl w:val="9"/>
        <w:rPr>
          <w:rFonts w:ascii="Times New Roman" w:eastAsia="Times New Roman" w:hAnsi="Times New Roman" w:cs="Times New Roman"/>
          <w:b/>
          <w:i/>
          <w:color w:val="000000"/>
          <w:sz w:val="16"/>
          <w:u w:val="none"/>
        </w:rPr>
      </w:pPr>
      <w:r>
        <w:rPr>
          <w:rFonts w:ascii="Times New Roman" w:eastAsia="Times New Roman" w:hAnsi="Times New Roman" w:cs="Times New Roman"/>
          <w:b w:val="0"/>
          <w:i w:val="0"/>
          <w:color w:val="000000"/>
          <w:sz w:val="20"/>
          <w:u w:val="none"/>
        </w:rPr>
        <w:t xml:space="preserve">The following </w:t>
      </w:r>
      <w:r>
        <w:rPr>
          <w:rFonts w:ascii="Times New Roman" w:eastAsia="Times New Roman" w:hAnsi="Times New Roman" w:cs="Times New Roman"/>
          <w:b w:val="0"/>
          <w:i w:val="0"/>
          <w:color w:val="000000"/>
          <w:sz w:val="20"/>
          <w:u w:val="none"/>
        </w:rPr>
        <w:t>charts</w:t>
      </w:r>
      <w:r>
        <w:rPr>
          <w:rFonts w:ascii="Times New Roman" w:eastAsia="Times New Roman" w:hAnsi="Times New Roman" w:cs="Times New Roman"/>
          <w:b w:val="0"/>
          <w:i w:val="0"/>
          <w:color w:val="000000"/>
          <w:sz w:val="20"/>
          <w:u w:val="none"/>
        </w:rPr>
        <w:t xml:space="preserve"> depict the revenue split between our two operating segments and our four primary geographic regions for the </w:t>
      </w:r>
      <w:r>
        <w:rPr>
          <w:rFonts w:ascii="Times New Roman" w:eastAsia="Times New Roman" w:hAnsi="Times New Roman" w:cs="Times New Roman"/>
          <w:b w:val="0"/>
          <w:i w:val="0"/>
          <w:color w:val="000000"/>
          <w:sz w:val="20"/>
          <w:u w:val="none"/>
        </w:rPr>
        <w:t>three months ended</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color w:val="000000"/>
          <w:sz w:val="20"/>
          <w:u w:val="none"/>
        </w:rPr>
        <w:t>.</w:t>
      </w:r>
    </w:p>
    <w:p>
      <w:pPr>
        <w:keepNext w:val="0"/>
        <w:keepLines w:val="0"/>
        <w:pageBreakBefore w:val="0"/>
        <w:widowControl/>
        <w:numPr>
          <w:ilvl w:val="0"/>
          <w:numId w:val="0"/>
        </w:numPr>
        <w:spacing w:before="0" w:after="160" w:line="288" w:lineRule="auto"/>
        <w:ind w:left="0" w:right="0" w:firstLine="0"/>
        <w:jc w:val="center"/>
        <w:outlineLvl w:val="9"/>
        <w:rPr>
          <w:rFonts w:ascii="Times New Roman" w:eastAsia="Times New Roman" w:hAnsi="Times New Roman" w:cs="Times New Roman"/>
          <w:b w:val="0"/>
          <w:i w:val="0"/>
          <w:color w:val="000000"/>
          <w:sz w:val="20"/>
          <w:u w:val="none"/>
        </w:rPr>
      </w:pPr>
      <w:r>
        <w:drawing>
          <wp:inline>
            <wp:extent cx="3238500" cy="2143125"/>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571530" name=""/>
                    <pic:cNvPicPr>
                      <a:picLocks noChangeAspect="1"/>
                    </pic:cNvPicPr>
                  </pic:nvPicPr>
                  <pic:blipFill>
                    <a:blip xmlns:r="http://schemas.openxmlformats.org/officeDocument/2006/relationships" r:embed="rId73"/>
                    <a:stretch>
                      <a:fillRect/>
                    </a:stretch>
                  </pic:blipFill>
                  <pic:spPr>
                    <a:xfrm>
                      <a:off x="0" y="0"/>
                      <a:ext cx="3238500" cy="2143125"/>
                    </a:xfrm>
                    <a:prstGeom prst="rect">
                      <a:avLst/>
                    </a:prstGeom>
                  </pic:spPr>
                </pic:pic>
              </a:graphicData>
            </a:graphic>
          </wp:inline>
        </w:drawing>
      </w:r>
      <w:r>
        <w:drawing>
          <wp:inline>
            <wp:extent cx="3267075" cy="2143125"/>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766429" name=""/>
                    <pic:cNvPicPr>
                      <a:picLocks noChangeAspect="1"/>
                    </pic:cNvPicPr>
                  </pic:nvPicPr>
                  <pic:blipFill>
                    <a:blip xmlns:r="http://schemas.openxmlformats.org/officeDocument/2006/relationships" r:embed="rId74"/>
                    <a:stretch>
                      <a:fillRect/>
                    </a:stretch>
                  </pic:blipFill>
                  <pic:spPr>
                    <a:xfrm>
                      <a:off x="0" y="0"/>
                      <a:ext cx="3267075" cy="2143125"/>
                    </a:xfrm>
                    <a:prstGeom prst="rect">
                      <a:avLst/>
                    </a:prstGeom>
                  </pic:spPr>
                </pic:pic>
              </a:graphicData>
            </a:graphic>
          </wp:inline>
        </w:drawing>
      </w:r>
    </w:p>
    <w:p>
      <w:pPr>
        <w:keepNext w:val="0"/>
        <w:keepLines w:val="0"/>
        <w:pageBreakBefore w:val="0"/>
        <w:widowControl/>
        <w:numPr>
          <w:ilvl w:val="0"/>
          <w:numId w:val="0"/>
        </w:numPr>
        <w:spacing w:before="0" w:after="160" w:line="288" w:lineRule="auto"/>
        <w:ind w:left="0" w:right="0" w:firstLine="0"/>
        <w:jc w:val="center"/>
        <w:outlineLvl w:val="9"/>
        <w:sectPr>
          <w:footerReference w:type="default" r:id="rId75"/>
          <w:type w:val="continuous"/>
          <w:pgSz w:w="12240" w:h="15840"/>
          <w:pgMar w:top="900" w:right="990" w:bottom="900" w:left="990" w:header="0" w:footer="270"/>
          <w:cols w:space="708"/>
        </w:sectPr>
      </w:pPr>
    </w:p>
    <w:p>
      <w:pPr>
        <w:keepNext/>
        <w:keepLines w:val="0"/>
        <w:pageBreakBefore w:val="0"/>
        <w:widowControl/>
        <w:numPr>
          <w:ilvl w:val="0"/>
          <w:numId w:val="0"/>
        </w:numPr>
        <w:spacing w:before="0" w:after="0" w:line="288" w:lineRule="auto"/>
        <w:ind w:left="0" w:right="0" w:firstLine="720"/>
        <w:jc w:val="left"/>
        <w:outlineLvl w:val="2"/>
        <w:rPr>
          <w:rFonts w:ascii="Times New Roman" w:eastAsia="Times New Roman" w:hAnsi="Times New Roman" w:cs="Times New Roman"/>
          <w:b/>
          <w:i/>
          <w:sz w:val="20"/>
        </w:rPr>
      </w:pPr>
      <w:bookmarkStart w:id="36" w:name="Section37"/>
      <w:bookmarkEnd w:id="36"/>
      <w:r>
        <w:rPr>
          <w:rFonts w:ascii="Times New Roman" w:eastAsia="Times New Roman" w:hAnsi="Times New Roman" w:cs="Times New Roman"/>
          <w:b/>
          <w:i/>
          <w:color w:val="000000"/>
          <w:sz w:val="20"/>
          <w:u w:val="none"/>
        </w:rPr>
        <w:t>Market conditions</w:t>
      </w:r>
    </w:p>
    <w:p>
      <w:pPr>
        <w:keepNext/>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00"/>
          <w:sz w:val="20"/>
          <w:u w:val="none"/>
        </w:rPr>
        <w:t xml:space="preserve">Oil prices increased in the first quarter of 2025 from the </w:t>
      </w:r>
      <w:r>
        <w:rPr>
          <w:rFonts w:ascii="Times New Roman" w:eastAsia="Times New Roman" w:hAnsi="Times New Roman" w:cs="Times New Roman"/>
          <w:b w:val="0"/>
          <w:i w:val="0"/>
          <w:color w:val="000000"/>
          <w:sz w:val="20"/>
          <w:u w:val="none"/>
        </w:rPr>
        <w:t>fourth</w:t>
      </w:r>
      <w:r>
        <w:rPr>
          <w:rFonts w:ascii="Times New Roman" w:eastAsia="Times New Roman" w:hAnsi="Times New Roman" w:cs="Times New Roman"/>
          <w:b w:val="0"/>
          <w:i w:val="0"/>
          <w:color w:val="000000"/>
          <w:sz w:val="20"/>
          <w:u w:val="none"/>
        </w:rPr>
        <w:t xml:space="preserve"> quarter of 2024 parti</w:t>
      </w:r>
      <w:r>
        <w:rPr>
          <w:rFonts w:ascii="Times New Roman" w:eastAsia="Times New Roman" w:hAnsi="Times New Roman" w:cs="Times New Roman"/>
          <w:b w:val="0"/>
          <w:i w:val="0"/>
          <w:color w:val="000000"/>
          <w:sz w:val="20"/>
          <w:u w:val="none"/>
        </w:rPr>
        <w:t xml:space="preserve">ally </w:t>
      </w:r>
      <w:r>
        <w:rPr>
          <w:rFonts w:ascii="Times New Roman" w:eastAsia="Times New Roman" w:hAnsi="Times New Roman" w:cs="Times New Roman"/>
          <w:b w:val="0"/>
          <w:i w:val="0"/>
          <w:color w:val="000000"/>
          <w:sz w:val="20"/>
          <w:u w:val="none"/>
        </w:rPr>
        <w:t>from</w:t>
      </w:r>
      <w:r>
        <w:rPr>
          <w:rFonts w:ascii="Times New Roman" w:eastAsia="Times New Roman" w:hAnsi="Times New Roman" w:cs="Times New Roman"/>
          <w:b w:val="0"/>
          <w:i w:val="0"/>
          <w:color w:val="000000"/>
          <w:sz w:val="20"/>
          <w:u w:val="none"/>
        </w:rPr>
        <w:t xml:space="preserve"> an improving demand outlook in </w:t>
      </w:r>
      <w:r>
        <w:rPr>
          <w:rFonts w:ascii="Times New Roman" w:eastAsia="Times New Roman" w:hAnsi="Times New Roman" w:cs="Times New Roman"/>
          <w:b w:val="0"/>
          <w:i w:val="0"/>
          <w:color w:val="000000"/>
          <w:sz w:val="20"/>
          <w:u w:val="none"/>
        </w:rPr>
        <w:t>Europe</w:t>
      </w:r>
      <w:r>
        <w:rPr>
          <w:rFonts w:ascii="Times New Roman" w:eastAsia="Times New Roman" w:hAnsi="Times New Roman" w:cs="Times New Roman"/>
          <w:b w:val="0"/>
          <w:i w:val="0"/>
          <w:color w:val="000000"/>
          <w:sz w:val="20"/>
          <w:u w:val="none"/>
        </w:rPr>
        <w:t xml:space="preserve"> and China while tighter sanctions on Venezuela, Iran and Russia w</w:t>
      </w:r>
      <w:r>
        <w:rPr>
          <w:rFonts w:ascii="Times New Roman" w:eastAsia="Times New Roman" w:hAnsi="Times New Roman" w:cs="Times New Roman"/>
          <w:b w:val="0"/>
          <w:i w:val="0"/>
          <w:color w:val="000000"/>
          <w:sz w:val="20"/>
          <w:u w:val="none"/>
        </w:rPr>
        <w:t>eighed on t</w:t>
      </w:r>
      <w:r>
        <w:rPr>
          <w:rFonts w:ascii="Times New Roman" w:eastAsia="Times New Roman" w:hAnsi="Times New Roman" w:cs="Times New Roman"/>
          <w:b w:val="0"/>
          <w:i w:val="0"/>
          <w:color w:val="000000"/>
          <w:sz w:val="20"/>
          <w:u w:val="none"/>
        </w:rPr>
        <w:t>he supply-side. Risks associated with trade tensions and geopolitical unrest in the Middle East and the Russia-</w:t>
      </w:r>
      <w:r>
        <w:rPr>
          <w:rFonts w:ascii="Times New Roman" w:eastAsia="Times New Roman" w:hAnsi="Times New Roman" w:cs="Times New Roman"/>
          <w:b w:val="0"/>
          <w:i w:val="0"/>
          <w:color w:val="000000"/>
          <w:sz w:val="20"/>
          <w:u w:val="none"/>
        </w:rPr>
        <w:t>Ukraine confl</w:t>
      </w:r>
      <w:r>
        <w:rPr>
          <w:rFonts w:ascii="Times New Roman" w:eastAsia="Times New Roman" w:hAnsi="Times New Roman" w:cs="Times New Roman"/>
          <w:b w:val="0"/>
          <w:i w:val="0"/>
          <w:color w:val="000000"/>
          <w:sz w:val="20"/>
          <w:u w:val="none"/>
        </w:rPr>
        <w:t>ict continue to be major sources of volatility for t</w:t>
      </w:r>
      <w:r>
        <w:rPr>
          <w:rFonts w:ascii="Times New Roman" w:eastAsia="Times New Roman" w:hAnsi="Times New Roman" w:cs="Times New Roman"/>
          <w:b w:val="0"/>
          <w:i w:val="0"/>
          <w:color w:val="000000"/>
          <w:sz w:val="20"/>
          <w:u w:val="none"/>
        </w:rPr>
        <w:t xml:space="preserve">he oil and </w:t>
      </w:r>
      <w:r>
        <w:rPr>
          <w:rFonts w:ascii="Times New Roman" w:eastAsia="Times New Roman" w:hAnsi="Times New Roman" w:cs="Times New Roman"/>
          <w:b w:val="0"/>
          <w:i w:val="0"/>
          <w:color w:val="000000"/>
          <w:sz w:val="20"/>
          <w:u w:val="none"/>
        </w:rPr>
        <w:t xml:space="preserve">natural </w:t>
      </w:r>
      <w:r>
        <w:rPr>
          <w:rFonts w:ascii="Times New Roman" w:eastAsia="Times New Roman" w:hAnsi="Times New Roman" w:cs="Times New Roman"/>
          <w:b w:val="0"/>
          <w:i w:val="0"/>
          <w:color w:val="000000"/>
          <w:sz w:val="20"/>
          <w:u w:val="none"/>
        </w:rPr>
        <w:t>gas markets</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 xml:space="preserve">During the first </w:t>
      </w:r>
      <w:r>
        <w:rPr>
          <w:rFonts w:ascii="Times New Roman" w:eastAsia="Times New Roman" w:hAnsi="Times New Roman" w:cs="Times New Roman"/>
          <w:b w:val="0"/>
          <w:i w:val="0"/>
          <w:color w:val="000000"/>
          <w:sz w:val="20"/>
          <w:u w:val="none"/>
        </w:rPr>
        <w:t>quarter of 2025, th</w:t>
      </w:r>
      <w:r>
        <w:rPr>
          <w:rFonts w:ascii="Times New Roman" w:eastAsia="Times New Roman" w:hAnsi="Times New Roman" w:cs="Times New Roman"/>
          <w:b w:val="0"/>
          <w:i w:val="0"/>
          <w:color w:val="000000"/>
          <w:sz w:val="20"/>
          <w:u w:val="none"/>
        </w:rPr>
        <w:t>e U.S. active rig count increased slightly</w:t>
      </w:r>
      <w:r>
        <w:rPr>
          <w:rFonts w:ascii="Times New Roman" w:eastAsia="Times New Roman" w:hAnsi="Times New Roman" w:cs="Times New Roman"/>
          <w:b w:val="0"/>
          <w:i w:val="0"/>
          <w:color w:val="000000"/>
          <w:sz w:val="20"/>
          <w:u w:val="none"/>
        </w:rPr>
        <w:t xml:space="preserve"> as compared to </w:t>
      </w:r>
      <w:r>
        <w:rPr>
          <w:rFonts w:ascii="Times New Roman" w:eastAsia="Times New Roman" w:hAnsi="Times New Roman" w:cs="Times New Roman"/>
          <w:b w:val="0"/>
          <w:i w:val="0"/>
          <w:color w:val="000000"/>
          <w:sz w:val="20"/>
          <w:u w:val="none"/>
        </w:rPr>
        <w:t xml:space="preserve">the </w:t>
      </w:r>
      <w:r>
        <w:rPr>
          <w:rFonts w:ascii="Times New Roman" w:eastAsia="Times New Roman" w:hAnsi="Times New Roman" w:cs="Times New Roman"/>
          <w:b w:val="0"/>
          <w:i w:val="0"/>
          <w:color w:val="000000"/>
          <w:sz w:val="20"/>
          <w:u w:val="none"/>
        </w:rPr>
        <w:t>three months</w:t>
      </w:r>
      <w:r>
        <w:rPr>
          <w:rFonts w:ascii="Times New Roman" w:eastAsia="Times New Roman" w:hAnsi="Times New Roman" w:cs="Times New Roman"/>
          <w:b w:val="0"/>
          <w:i w:val="0"/>
          <w:color w:val="000000"/>
          <w:sz w:val="20"/>
          <w:u w:val="none"/>
        </w:rPr>
        <w:t xml:space="preserve"> ended</w:t>
      </w:r>
      <w:r>
        <w:rPr>
          <w:rFonts w:ascii="Times New Roman" w:eastAsia="Times New Roman" w:hAnsi="Times New Roman" w:cs="Times New Roman"/>
          <w:b w:val="0"/>
          <w:i w:val="0"/>
          <w:color w:val="000000"/>
          <w:sz w:val="20"/>
          <w:u w:val="none"/>
        </w:rPr>
        <w:t xml:space="preserve"> December 31, 2024</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 xml:space="preserve">as oil basins saw a small increase while </w:t>
      </w:r>
      <w:r>
        <w:rPr>
          <w:rFonts w:ascii="Times New Roman" w:eastAsia="Times New Roman" w:hAnsi="Times New Roman" w:cs="Times New Roman"/>
          <w:b w:val="0"/>
          <w:i w:val="0"/>
          <w:color w:val="000000"/>
          <w:sz w:val="20"/>
          <w:u w:val="none"/>
        </w:rPr>
        <w:t xml:space="preserve">natural </w:t>
      </w:r>
      <w:r>
        <w:rPr>
          <w:rFonts w:ascii="Times New Roman" w:eastAsia="Times New Roman" w:hAnsi="Times New Roman" w:cs="Times New Roman"/>
          <w:b w:val="0"/>
          <w:i w:val="0"/>
          <w:color w:val="000000"/>
          <w:sz w:val="20"/>
          <w:u w:val="none"/>
        </w:rPr>
        <w:t xml:space="preserve">gas basins declined. The international rig count declined in the first </w:t>
      </w:r>
      <w:r>
        <w:rPr>
          <w:rFonts w:ascii="Times New Roman" w:eastAsia="Times New Roman" w:hAnsi="Times New Roman" w:cs="Times New Roman"/>
          <w:b w:val="0"/>
          <w:i w:val="0"/>
          <w:color w:val="000000"/>
          <w:sz w:val="20"/>
          <w:u w:val="none"/>
        </w:rPr>
        <w:t>q</w:t>
      </w:r>
      <w:r>
        <w:rPr>
          <w:rFonts w:ascii="Times New Roman" w:eastAsia="Times New Roman" w:hAnsi="Times New Roman" w:cs="Times New Roman"/>
          <w:b w:val="0"/>
          <w:i w:val="0"/>
          <w:color w:val="000000"/>
          <w:sz w:val="20"/>
          <w:u w:val="none"/>
        </w:rPr>
        <w:t>uarter of 2025 from the fourth quarter of 2024 drive</w:t>
      </w:r>
      <w:r>
        <w:rPr>
          <w:rFonts w:ascii="Times New Roman" w:eastAsia="Times New Roman" w:hAnsi="Times New Roman" w:cs="Times New Roman"/>
          <w:b w:val="0"/>
          <w:i w:val="0"/>
          <w:color w:val="000000"/>
          <w:sz w:val="20"/>
          <w:u w:val="none"/>
        </w:rPr>
        <w:t xml:space="preserve">n by </w:t>
      </w:r>
      <w:r>
        <w:rPr>
          <w:rFonts w:ascii="Times New Roman" w:eastAsia="Times New Roman" w:hAnsi="Times New Roman" w:cs="Times New Roman"/>
          <w:b w:val="0"/>
          <w:i w:val="0"/>
          <w:color w:val="000000"/>
          <w:sz w:val="20"/>
          <w:u w:val="none"/>
        </w:rPr>
        <w:t xml:space="preserve">declines in </w:t>
      </w:r>
      <w:r>
        <w:rPr>
          <w:rFonts w:ascii="Times New Roman" w:eastAsia="Times New Roman" w:hAnsi="Times New Roman" w:cs="Times New Roman"/>
          <w:b w:val="0"/>
          <w:i w:val="0"/>
          <w:color w:val="000000"/>
          <w:sz w:val="20"/>
          <w:u w:val="none"/>
        </w:rPr>
        <w:t>Latin America, Asia-Pacific, and Afri</w:t>
      </w:r>
      <w:r>
        <w:rPr>
          <w:rFonts w:ascii="Times New Roman" w:eastAsia="Times New Roman" w:hAnsi="Times New Roman" w:cs="Times New Roman"/>
          <w:b w:val="0"/>
          <w:i w:val="0"/>
          <w:color w:val="000000"/>
          <w:sz w:val="20"/>
          <w:u w:val="none"/>
        </w:rPr>
        <w:t>ca.</w:t>
      </w:r>
    </w:p>
    <w:p>
      <w:pPr>
        <w:keepNext/>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Since</w:t>
      </w:r>
      <w:r>
        <w:rPr>
          <w:rFonts w:ascii="Times New Roman" w:eastAsia="Times New Roman" w:hAnsi="Times New Roman" w:cs="Times New Roman"/>
          <w:b w:val="0"/>
          <w:i w:val="0"/>
          <w:color w:val="000000"/>
          <w:sz w:val="20"/>
          <w:u w:val="none"/>
        </w:rPr>
        <w:t xml:space="preserve"> the end of the first quarter of 2025,</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the</w:t>
      </w:r>
      <w:r>
        <w:rPr>
          <w:rFonts w:ascii="Times New Roman" w:eastAsia="Times New Roman" w:hAnsi="Times New Roman" w:cs="Times New Roman"/>
          <w:b w:val="0"/>
          <w:i w:val="0"/>
          <w:color w:val="000000"/>
          <w:sz w:val="20"/>
          <w:u w:val="none"/>
        </w:rPr>
        <w:t xml:space="preserve"> macro environment for oil and </w:t>
      </w:r>
      <w:r>
        <w:rPr>
          <w:rFonts w:ascii="Times New Roman" w:eastAsia="Times New Roman" w:hAnsi="Times New Roman" w:cs="Times New Roman"/>
          <w:b w:val="0"/>
          <w:i w:val="0"/>
          <w:color w:val="000000"/>
          <w:sz w:val="20"/>
          <w:u w:val="none"/>
        </w:rPr>
        <w:t xml:space="preserve">natural </w:t>
      </w:r>
      <w:r>
        <w:rPr>
          <w:rFonts w:ascii="Times New Roman" w:eastAsia="Times New Roman" w:hAnsi="Times New Roman" w:cs="Times New Roman"/>
          <w:b w:val="0"/>
          <w:i w:val="0"/>
          <w:color w:val="000000"/>
          <w:sz w:val="20"/>
          <w:u w:val="none"/>
        </w:rPr>
        <w:t>gas</w:t>
      </w:r>
      <w:r>
        <w:rPr>
          <w:rFonts w:ascii="Times New Roman" w:eastAsia="Times New Roman" w:hAnsi="Times New Roman" w:cs="Times New Roman"/>
          <w:b w:val="0"/>
          <w:i w:val="0"/>
          <w:color w:val="000000"/>
          <w:sz w:val="20"/>
          <w:u w:val="none"/>
        </w:rPr>
        <w:t xml:space="preserve"> has seen significant fluctuations</w:t>
      </w:r>
      <w:r>
        <w:rPr>
          <w:rFonts w:ascii="Times New Roman" w:eastAsia="Times New Roman" w:hAnsi="Times New Roman" w:cs="Times New Roman"/>
          <w:b w:val="0"/>
          <w:i w:val="0"/>
          <w:color w:val="000000"/>
          <w:sz w:val="20"/>
          <w:u w:val="none"/>
        </w:rPr>
        <w:t xml:space="preserve">, as the trade environment injected uncertainty into markets, raised </w:t>
      </w:r>
      <w:r>
        <w:rPr>
          <w:rFonts w:ascii="Times New Roman" w:eastAsia="Times New Roman" w:hAnsi="Times New Roman" w:cs="Times New Roman"/>
          <w:b w:val="0"/>
          <w:i w:val="0"/>
          <w:color w:val="000000"/>
          <w:sz w:val="20"/>
          <w:u w:val="none"/>
        </w:rPr>
        <w:t>b</w:t>
      </w:r>
      <w:r>
        <w:rPr>
          <w:rFonts w:ascii="Times New Roman" w:eastAsia="Times New Roman" w:hAnsi="Times New Roman" w:cs="Times New Roman"/>
          <w:b w:val="0"/>
          <w:i w:val="0"/>
          <w:color w:val="000000"/>
          <w:sz w:val="20"/>
          <w:u w:val="none"/>
        </w:rPr>
        <w:t>r</w:t>
      </w:r>
      <w:r>
        <w:rPr>
          <w:rFonts w:ascii="Times New Roman" w:eastAsia="Times New Roman" w:hAnsi="Times New Roman" w:cs="Times New Roman"/>
          <w:b w:val="0"/>
          <w:i w:val="0"/>
          <w:color w:val="000000"/>
          <w:sz w:val="20"/>
          <w:u w:val="none"/>
        </w:rPr>
        <w:t>oad economic concerns, and along with the faster-than-expected return of OPEC production, weighed on commodity prices.</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 xml:space="preserve">As of </w:t>
      </w:r>
      <w:r>
        <w:rPr>
          <w:rFonts w:ascii="Times New Roman" w:eastAsia="Times New Roman" w:hAnsi="Times New Roman" w:cs="Times New Roman"/>
          <w:b w:val="0"/>
          <w:i w:val="0"/>
          <w:color w:val="000000"/>
          <w:sz w:val="20"/>
          <w:u w:val="none"/>
        </w:rPr>
        <w:t>April 2</w:t>
      </w:r>
      <w:r>
        <w:rPr>
          <w:rFonts w:ascii="Times New Roman" w:eastAsia="Times New Roman" w:hAnsi="Times New Roman" w:cs="Times New Roman"/>
          <w:b w:val="0"/>
          <w:i w:val="0"/>
          <w:color w:val="000000"/>
          <w:sz w:val="20"/>
          <w:u w:val="none"/>
        </w:rPr>
        <w:t>2</w:t>
      </w:r>
      <w:r>
        <w:rPr>
          <w:rFonts w:ascii="Times New Roman" w:eastAsia="Times New Roman" w:hAnsi="Times New Roman" w:cs="Times New Roman"/>
          <w:b w:val="0"/>
          <w:i w:val="0"/>
          <w:color w:val="000000"/>
          <w:sz w:val="20"/>
          <w:u w:val="none"/>
        </w:rPr>
        <w:t>, 2025</w:t>
      </w:r>
      <w:r>
        <w:rPr>
          <w:rFonts w:ascii="Times New Roman" w:eastAsia="Times New Roman" w:hAnsi="Times New Roman" w:cs="Times New Roman"/>
          <w:b w:val="0"/>
          <w:i w:val="0"/>
          <w:color w:val="000000"/>
          <w:sz w:val="20"/>
          <w:u w:val="none"/>
        </w:rPr>
        <w:t>, b</w:t>
      </w:r>
      <w:r>
        <w:rPr>
          <w:rFonts w:ascii="Times New Roman" w:eastAsia="Times New Roman" w:hAnsi="Times New Roman" w:cs="Times New Roman"/>
          <w:b w:val="0"/>
          <w:i w:val="0"/>
          <w:color w:val="000000"/>
          <w:sz w:val="20"/>
          <w:u w:val="none"/>
        </w:rPr>
        <w:t xml:space="preserve">oth </w:t>
      </w:r>
      <w:r>
        <w:rPr>
          <w:rFonts w:ascii="Times New Roman" w:eastAsia="Times New Roman" w:hAnsi="Times New Roman" w:cs="Times New Roman"/>
          <w:b w:val="0"/>
          <w:i w:val="0"/>
          <w:color w:val="000000"/>
          <w:sz w:val="20"/>
          <w:u w:val="none"/>
        </w:rPr>
        <w:t xml:space="preserve">West Texas Intermediate (WTI) </w:t>
      </w:r>
      <w:r>
        <w:rPr>
          <w:rFonts w:ascii="Times New Roman" w:eastAsia="Times New Roman" w:hAnsi="Times New Roman" w:cs="Times New Roman"/>
          <w:b w:val="0"/>
          <w:i w:val="0"/>
          <w:color w:val="000000"/>
          <w:sz w:val="20"/>
          <w:u w:val="none"/>
        </w:rPr>
        <w:t xml:space="preserve">and </w:t>
      </w:r>
      <w:r>
        <w:rPr>
          <w:rFonts w:ascii="Times New Roman" w:eastAsia="Times New Roman" w:hAnsi="Times New Roman" w:cs="Times New Roman"/>
          <w:b w:val="0"/>
          <w:i w:val="0"/>
          <w:color w:val="000000"/>
          <w:sz w:val="20"/>
          <w:u w:val="none"/>
        </w:rPr>
        <w:t>United Kingdom Brent crude oil</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prices</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decrease</w:t>
      </w:r>
      <w:r>
        <w:rPr>
          <w:rFonts w:ascii="Times New Roman" w:eastAsia="Times New Roman" w:hAnsi="Times New Roman" w:cs="Times New Roman"/>
          <w:b w:val="0"/>
          <w:i w:val="0"/>
          <w:color w:val="000000"/>
          <w:sz w:val="20"/>
          <w:u w:val="none"/>
        </w:rPr>
        <w:t>d by</w:t>
      </w:r>
      <w:r>
        <w:rPr>
          <w:rFonts w:ascii="Times New Roman" w:eastAsia="Times New Roman" w:hAnsi="Times New Roman" w:cs="Times New Roman"/>
          <w:b w:val="0"/>
          <w:i w:val="0"/>
          <w:color w:val="000000"/>
          <w:sz w:val="20"/>
          <w:u w:val="none"/>
        </w:rPr>
        <w:t xml:space="preserve"> approximately </w:t>
      </w:r>
      <w:r>
        <w:rPr>
          <w:rFonts w:ascii="Times New Roman" w:eastAsia="Times New Roman" w:hAnsi="Times New Roman" w:cs="Times New Roman"/>
          <w:b w:val="0"/>
          <w:i w:val="0"/>
          <w:color w:val="000000"/>
          <w:sz w:val="20"/>
          <w:u w:val="none"/>
        </w:rPr>
        <w:t>1</w:t>
      </w:r>
      <w:r>
        <w:rPr>
          <w:rFonts w:ascii="Times New Roman" w:eastAsia="Times New Roman" w:hAnsi="Times New Roman" w:cs="Times New Roman"/>
          <w:b w:val="0"/>
          <w:i w:val="0"/>
          <w:color w:val="000000"/>
          <w:sz w:val="20"/>
          <w:u w:val="none"/>
        </w:rPr>
        <w:t>0</w:t>
      </w:r>
      <w:r>
        <w:rPr>
          <w:rFonts w:ascii="Times New Roman" w:eastAsia="Times New Roman" w:hAnsi="Times New Roman" w:cs="Times New Roman"/>
          <w:b w:val="0"/>
          <w:i w:val="0"/>
          <w:color w:val="000000"/>
          <w:sz w:val="20"/>
          <w:u w:val="none"/>
        </w:rPr>
        <w:t>%</w:t>
      </w:r>
      <w:r>
        <w:rPr>
          <w:rFonts w:ascii="Times New Roman" w:eastAsia="Times New Roman" w:hAnsi="Times New Roman" w:cs="Times New Roman"/>
          <w:b w:val="0"/>
          <w:i w:val="0"/>
          <w:color w:val="000000"/>
          <w:sz w:val="20"/>
          <w:u w:val="none"/>
        </w:rPr>
        <w:t xml:space="preserve"> since the end of the </w:t>
      </w:r>
      <w:r>
        <w:rPr>
          <w:rFonts w:ascii="Times New Roman" w:eastAsia="Times New Roman" w:hAnsi="Times New Roman" w:cs="Times New Roman"/>
          <w:b w:val="0"/>
          <w:i w:val="0"/>
          <w:color w:val="000000"/>
          <w:sz w:val="20"/>
          <w:u w:val="none"/>
        </w:rPr>
        <w:t xml:space="preserve">first </w:t>
      </w:r>
      <w:r>
        <w:rPr>
          <w:rFonts w:ascii="Times New Roman" w:eastAsia="Times New Roman" w:hAnsi="Times New Roman" w:cs="Times New Roman"/>
          <w:b w:val="0"/>
          <w:i w:val="0"/>
          <w:color w:val="000000"/>
          <w:sz w:val="20"/>
          <w:u w:val="none"/>
        </w:rPr>
        <w:t>quarter</w:t>
      </w:r>
      <w:r>
        <w:rPr>
          <w:rFonts w:ascii="Times New Roman" w:eastAsia="Times New Roman" w:hAnsi="Times New Roman" w:cs="Times New Roman"/>
          <w:b w:val="0"/>
          <w:i w:val="0"/>
          <w:color w:val="000000"/>
          <w:sz w:val="20"/>
          <w:u w:val="none"/>
        </w:rPr>
        <w:t xml:space="preserve"> of 2025</w:t>
      </w:r>
      <w:r>
        <w:rPr>
          <w:rFonts w:ascii="Times New Roman" w:eastAsia="Times New Roman" w:hAnsi="Times New Roman" w:cs="Times New Roman"/>
          <w:b w:val="0"/>
          <w:i w:val="0"/>
          <w:color w:val="000000"/>
          <w:sz w:val="20"/>
          <w:u w:val="none"/>
        </w:rPr>
        <w:t>.</w:t>
      </w:r>
    </w:p>
    <w:p>
      <w:pPr>
        <w:keepNext/>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00"/>
          <w:sz w:val="20"/>
          <w:u w:val="none"/>
        </w:rPr>
        <w:t>We continue to monitor and assess the potential impact of newly imple</w:t>
      </w:r>
      <w:r>
        <w:rPr>
          <w:rFonts w:ascii="Times New Roman" w:eastAsia="Times New Roman" w:hAnsi="Times New Roman" w:cs="Times New Roman"/>
          <w:b w:val="0"/>
          <w:i w:val="0"/>
          <w:color w:val="000000"/>
          <w:sz w:val="20"/>
          <w:u w:val="none"/>
        </w:rPr>
        <w:t xml:space="preserve">mented tariffs on goods being imported </w:t>
      </w:r>
      <w:r>
        <w:rPr>
          <w:rFonts w:ascii="Times New Roman" w:eastAsia="Times New Roman" w:hAnsi="Times New Roman" w:cs="Times New Roman"/>
          <w:b w:val="0"/>
          <w:i w:val="0"/>
          <w:color w:val="000000"/>
          <w:sz w:val="20"/>
          <w:u w:val="none"/>
        </w:rPr>
        <w:t xml:space="preserve">into the </w:t>
      </w:r>
      <w:r>
        <w:rPr>
          <w:rFonts w:ascii="Times New Roman" w:eastAsia="Times New Roman" w:hAnsi="Times New Roman" w:cs="Times New Roman"/>
          <w:b w:val="0"/>
          <w:i w:val="0"/>
          <w:color w:val="000000"/>
          <w:sz w:val="20"/>
          <w:u w:val="none"/>
        </w:rPr>
        <w:t xml:space="preserve">United States. </w:t>
      </w:r>
      <w:r>
        <w:rPr>
          <w:rFonts w:ascii="Times New Roman" w:eastAsia="Times New Roman" w:hAnsi="Times New Roman" w:cs="Times New Roman"/>
          <w:b w:val="0"/>
          <w:i w:val="0"/>
          <w:color w:val="000000"/>
          <w:sz w:val="20"/>
          <w:u w:val="none"/>
        </w:rPr>
        <w:t xml:space="preserve">Our global supply chain organization continuously </w:t>
      </w:r>
      <w:r>
        <w:rPr>
          <w:rFonts w:ascii="Times New Roman" w:eastAsia="Times New Roman" w:hAnsi="Times New Roman" w:cs="Times New Roman"/>
          <w:b w:val="0"/>
          <w:i w:val="0"/>
          <w:color w:val="000000"/>
          <w:sz w:val="20"/>
          <w:u w:val="none"/>
        </w:rPr>
        <w:t xml:space="preserve">monitors market trends and </w:t>
      </w:r>
      <w:r>
        <w:rPr>
          <w:rFonts w:ascii="Times New Roman" w:eastAsia="Times New Roman" w:hAnsi="Times New Roman" w:cs="Times New Roman"/>
          <w:b w:val="0"/>
          <w:i w:val="0"/>
          <w:color w:val="000000"/>
          <w:sz w:val="20"/>
          <w:u w:val="none"/>
        </w:rPr>
        <w:t xml:space="preserve">works to mitigate those </w:t>
      </w:r>
      <w:r>
        <w:rPr>
          <w:rFonts w:ascii="Times New Roman" w:eastAsia="Times New Roman" w:hAnsi="Times New Roman" w:cs="Times New Roman"/>
          <w:b w:val="0"/>
          <w:i w:val="0"/>
          <w:color w:val="000000"/>
          <w:sz w:val="20"/>
          <w:u w:val="none"/>
        </w:rPr>
        <w:t xml:space="preserve">and other </w:t>
      </w:r>
      <w:r>
        <w:rPr>
          <w:rFonts w:ascii="Times New Roman" w:eastAsia="Times New Roman" w:hAnsi="Times New Roman" w:cs="Times New Roman"/>
          <w:b w:val="0"/>
          <w:i w:val="0"/>
          <w:color w:val="000000"/>
          <w:sz w:val="20"/>
          <w:u w:val="none"/>
        </w:rPr>
        <w:t xml:space="preserve">cost increases through economies of scale in global procurement, technology modifications, and efficient sourcing practices. </w:t>
      </w:r>
      <w:r>
        <w:rPr>
          <w:rFonts w:ascii="Times New Roman" w:eastAsia="Times New Roman" w:hAnsi="Times New Roman" w:cs="Times New Roman"/>
          <w:b w:val="0"/>
          <w:i w:val="0"/>
          <w:color w:val="000000"/>
          <w:sz w:val="20"/>
          <w:u w:val="none"/>
        </w:rPr>
        <w:t xml:space="preserve">Globally, we continue to be impacted by extended supply chain lead times for the supply of select raw materials. </w:t>
      </w:r>
      <w:r>
        <w:rPr>
          <w:rFonts w:ascii="Times New Roman" w:eastAsia="Times New Roman" w:hAnsi="Times New Roman" w:cs="Times New Roman"/>
          <w:b w:val="0"/>
          <w:i w:val="0"/>
          <w:color w:val="000000"/>
          <w:sz w:val="20"/>
          <w:u w:val="none"/>
        </w:rPr>
        <w:t>Also, while we have been impacted by inflationary cost increases</w:t>
      </w:r>
      <w:r>
        <w:rPr>
          <w:rFonts w:ascii="Times New Roman" w:eastAsia="Times New Roman" w:hAnsi="Times New Roman" w:cs="Times New Roman"/>
          <w:b w:val="0"/>
          <w:i w:val="0"/>
          <w:color w:val="000000"/>
          <w:sz w:val="20"/>
          <w:u w:val="none"/>
        </w:rPr>
        <w:t>, we generally try to pass much of those increases on to our customers and we believe we have effective solutions to minimize their operational impact</w:t>
      </w:r>
      <w:r>
        <w:rPr>
          <w:rFonts w:ascii="Times New Roman" w:eastAsia="Times New Roman" w:hAnsi="Times New Roman" w:cs="Times New Roman"/>
          <w:b w:val="0"/>
          <w:i w:val="0"/>
          <w:color w:val="000000"/>
          <w:sz w:val="20"/>
          <w:u w:val="none"/>
        </w:rPr>
        <w:t>.</w:t>
      </w:r>
    </w:p>
    <w:p>
      <w:pPr>
        <w:keepNext/>
        <w:keepLines/>
        <w:pageBreakBefore w:val="0"/>
        <w:widowControl w:val="0"/>
        <w:numPr>
          <w:ilvl w:val="0"/>
          <w:numId w:val="0"/>
        </w:numPr>
        <w:spacing w:before="0" w:after="160" w:line="288" w:lineRule="auto"/>
        <w:ind w:left="0" w:right="0" w:firstLine="720"/>
        <w:jc w:val="both"/>
        <w:outlineLvl w:val="9"/>
        <w:sectPr>
          <w:footerReference w:type="default" r:id="rId76"/>
          <w:type w:val="continuous"/>
          <w:pgSz w:w="12240" w:h="15840"/>
          <w:pgMar w:top="900" w:right="990" w:bottom="900" w:left="990" w:header="0" w:footer="270"/>
          <w:cols w:space="708"/>
        </w:sect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2"/>
        </w:rPr>
      </w:pPr>
      <w:bookmarkStart w:id="37" w:name="Section38"/>
      <w:bookmarkEnd w:id="37"/>
    </w:p>
    <w:p>
      <w:pPr>
        <w:keepNext/>
        <w:keepLines/>
        <w:pageBreakBefore w:val="0"/>
        <w:widowControl w:val="0"/>
        <w:numPr>
          <w:ilvl w:val="0"/>
          <w:numId w:val="0"/>
        </w:numPr>
        <w:spacing w:before="0" w:after="0" w:line="288" w:lineRule="auto"/>
        <w:ind w:left="0" w:right="0" w:firstLine="720"/>
        <w:jc w:val="both"/>
        <w:outlineLvl w:val="2"/>
        <w:rPr>
          <w:rFonts w:ascii="Times New Roman" w:eastAsia="Times New Roman" w:hAnsi="Times New Roman" w:cs="Times New Roman"/>
          <w:b/>
          <w:i/>
          <w:sz w:val="20"/>
        </w:rPr>
      </w:pPr>
      <w:r>
        <w:rPr>
          <w:rFonts w:ascii="Times New Roman" w:eastAsia="Times New Roman" w:hAnsi="Times New Roman" w:cs="Times New Roman"/>
          <w:b/>
          <w:i/>
          <w:color w:val="000000"/>
          <w:sz w:val="20"/>
          <w:u w:val="none"/>
        </w:rPr>
        <w:t>Financial results</w:t>
      </w:r>
    </w:p>
    <w:p>
      <w:pPr>
        <w:keepNext/>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i/>
          <w:color w:val="000000"/>
          <w:sz w:val="20"/>
          <w:u w:val="none"/>
          <w:shd w:val="clear" w:color="auto" w:fill="FFFF00"/>
        </w:rPr>
      </w:pPr>
      <w:r>
        <w:rPr>
          <w:rFonts w:ascii="Times New Roman" w:eastAsia="Times New Roman" w:hAnsi="Times New Roman" w:cs="Times New Roman"/>
          <w:b w:val="0"/>
          <w:i w:val="0"/>
          <w:sz w:val="20"/>
        </w:rPr>
        <w:t xml:space="preserve">The following graph illustrates our revenue and operating margins for each operating segment for the </w:t>
      </w:r>
      <w:r>
        <w:rPr>
          <w:rFonts w:ascii="Times New Roman" w:eastAsia="Times New Roman" w:hAnsi="Times New Roman" w:cs="Times New Roman"/>
          <w:b w:val="0"/>
          <w:i w:val="0"/>
          <w:color w:val="000000"/>
          <w:sz w:val="20"/>
          <w:u w:val="none"/>
        </w:rPr>
        <w:t>first</w:t>
      </w:r>
      <w:r>
        <w:rPr>
          <w:rFonts w:ascii="Times New Roman" w:eastAsia="Times New Roman" w:hAnsi="Times New Roman" w:cs="Times New Roman"/>
          <w:b w:val="0"/>
          <w:i w:val="0"/>
          <w:sz w:val="20"/>
        </w:rPr>
        <w:t xml:space="preserve"> quarter of </w:t>
      </w:r>
      <w:r>
        <w:rPr>
          <w:rFonts w:ascii="Times New Roman" w:eastAsia="Times New Roman" w:hAnsi="Times New Roman" w:cs="Times New Roman"/>
          <w:b w:val="0"/>
          <w:i w:val="0"/>
          <w:color w:val="000000"/>
          <w:sz w:val="20"/>
          <w:u w:val="none"/>
        </w:rPr>
        <w:t>2024</w:t>
      </w:r>
      <w:r>
        <w:rPr>
          <w:rFonts w:ascii="Times New Roman" w:eastAsia="Times New Roman" w:hAnsi="Times New Roman" w:cs="Times New Roman"/>
          <w:b w:val="0"/>
          <w:i w:val="0"/>
          <w:sz w:val="20"/>
        </w:rPr>
        <w:t xml:space="preserve"> and </w:t>
      </w:r>
      <w:r>
        <w:rPr>
          <w:rFonts w:ascii="Times New Roman" w:eastAsia="Times New Roman" w:hAnsi="Times New Roman" w:cs="Times New Roman"/>
          <w:b w:val="0"/>
          <w:i w:val="0"/>
          <w:color w:val="000000"/>
          <w:sz w:val="20"/>
          <w:u w:val="none"/>
        </w:rPr>
        <w:t>2025</w:t>
      </w:r>
      <w:r>
        <w:rPr>
          <w:rFonts w:ascii="Times New Roman" w:eastAsia="Times New Roman" w:hAnsi="Times New Roman" w:cs="Times New Roman"/>
          <w:b w:val="0"/>
          <w:i w:val="0"/>
          <w:sz w:val="20"/>
        </w:rPr>
        <w:t>.</w:t>
      </w:r>
    </w:p>
    <w:p>
      <w:pPr>
        <w:keepNext/>
        <w:keepLines/>
        <w:pageBreakBefore w:val="0"/>
        <w:widowControl w:val="0"/>
        <w:numPr>
          <w:ilvl w:val="0"/>
          <w:numId w:val="0"/>
        </w:numPr>
        <w:spacing w:before="0" w:after="16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160" w:line="288" w:lineRule="auto"/>
        <w:ind w:left="0" w:right="0" w:firstLine="0"/>
        <w:jc w:val="center"/>
        <w:outlineLvl w:val="9"/>
        <w:rPr>
          <w:rFonts w:ascii="Times New Roman" w:eastAsia="Times New Roman" w:hAnsi="Times New Roman" w:cs="Times New Roman"/>
          <w:b w:val="0"/>
          <w:i w:val="0"/>
          <w:sz w:val="20"/>
        </w:rPr>
      </w:pPr>
      <w:r>
        <w:drawing>
          <wp:inline>
            <wp:extent cx="4572000" cy="2181225"/>
            <wp:docPr id="10000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175132" name=""/>
                    <pic:cNvPicPr>
                      <a:picLocks noChangeAspect="1"/>
                    </pic:cNvPicPr>
                  </pic:nvPicPr>
                  <pic:blipFill>
                    <a:blip xmlns:r="http://schemas.openxmlformats.org/officeDocument/2006/relationships" r:embed="rId77"/>
                    <a:stretch>
                      <a:fillRect/>
                    </a:stretch>
                  </pic:blipFill>
                  <pic:spPr>
                    <a:xfrm>
                      <a:off x="0" y="0"/>
                      <a:ext cx="4572000" cy="2181225"/>
                    </a:xfrm>
                    <a:prstGeom prst="rect">
                      <a:avLst/>
                    </a:prstGeom>
                  </pic:spPr>
                </pic:pic>
              </a:graphicData>
            </a:graphic>
          </wp:inline>
        </w:drawing>
      </w:r>
    </w:p>
    <w:p>
      <w:pPr>
        <w:keepNext w:val="0"/>
        <w:keepLines/>
        <w:pageBreakBefore w:val="0"/>
        <w:widowControl w:val="0"/>
        <w:numPr>
          <w:ilvl w:val="0"/>
          <w:numId w:val="0"/>
        </w:numPr>
        <w:spacing w:before="0" w:after="160" w:line="288" w:lineRule="auto"/>
        <w:ind w:left="0" w:right="0" w:firstLine="720"/>
        <w:jc w:val="both"/>
        <w:outlineLvl w:val="9"/>
        <w:rPr>
          <w:rFonts w:ascii="Calibri" w:eastAsia="Calibri" w:hAnsi="Calibri" w:cs="Calibri"/>
          <w:b/>
          <w:i/>
          <w:color w:val="000000"/>
          <w:sz w:val="22"/>
          <w:u w:val="none"/>
          <w:shd w:val="clear" w:color="auto" w:fill="FFF7C3"/>
        </w:rPr>
      </w:pPr>
      <w:r>
        <w:rPr>
          <w:rFonts w:ascii="Times New Roman" w:eastAsia="Times New Roman" w:hAnsi="Times New Roman" w:cs="Times New Roman"/>
          <w:b w:val="0"/>
          <w:i w:val="0"/>
          <w:sz w:val="20"/>
        </w:rPr>
        <w:t>D</w:t>
      </w:r>
      <w:r>
        <w:rPr>
          <w:rFonts w:ascii="Times New Roman" w:eastAsia="Times New Roman" w:hAnsi="Times New Roman" w:cs="Times New Roman"/>
          <w:b w:val="0"/>
          <w:i w:val="0"/>
          <w:sz w:val="20"/>
        </w:rPr>
        <w:t xml:space="preserve">uring the </w:t>
      </w:r>
      <w:r>
        <w:rPr>
          <w:rFonts w:ascii="Times New Roman" w:eastAsia="Times New Roman" w:hAnsi="Times New Roman" w:cs="Times New Roman"/>
          <w:b w:val="0"/>
          <w:i w:val="0"/>
          <w:color w:val="000000"/>
          <w:sz w:val="20"/>
          <w:u w:val="none"/>
        </w:rPr>
        <w:t>first</w:t>
      </w:r>
      <w:r>
        <w:rPr>
          <w:rFonts w:ascii="Times New Roman" w:eastAsia="Times New Roman" w:hAnsi="Times New Roman" w:cs="Times New Roman"/>
          <w:b w:val="0"/>
          <w:i w:val="0"/>
          <w:sz w:val="20"/>
        </w:rPr>
        <w:t xml:space="preserve"> quarter of </w:t>
      </w:r>
      <w:r>
        <w:rPr>
          <w:rFonts w:ascii="Times New Roman" w:eastAsia="Times New Roman" w:hAnsi="Times New Roman" w:cs="Times New Roman"/>
          <w:b w:val="0"/>
          <w:i w:val="0"/>
          <w:color w:val="000000"/>
          <w:sz w:val="20"/>
          <w:u w:val="none"/>
        </w:rPr>
        <w:t>2025</w:t>
      </w:r>
      <w:r>
        <w:rPr>
          <w:rFonts w:ascii="Times New Roman" w:eastAsia="Times New Roman" w:hAnsi="Times New Roman" w:cs="Times New Roman"/>
          <w:b w:val="0"/>
          <w:i w:val="0"/>
          <w:sz w:val="20"/>
        </w:rPr>
        <w:t xml:space="preserve">, we generated total company revenue of </w:t>
      </w:r>
      <w:r>
        <w:rPr>
          <w:rFonts w:ascii="Times New Roman" w:eastAsia="Times New Roman" w:hAnsi="Times New Roman" w:cs="Times New Roman"/>
          <w:b w:val="0"/>
          <w:i w:val="0"/>
          <w:color w:val="000000"/>
          <w:sz w:val="20"/>
          <w:u w:val="none"/>
        </w:rPr>
        <w:t>$5.4 billion</w:t>
      </w:r>
      <w:r>
        <w:rPr>
          <w:rFonts w:ascii="Times New Roman" w:eastAsia="Times New Roman" w:hAnsi="Times New Roman" w:cs="Times New Roman"/>
          <w:b w:val="0"/>
          <w:i w:val="0"/>
          <w:sz w:val="20"/>
        </w:rPr>
        <w:t xml:space="preserve">, a </w:t>
      </w:r>
      <w:r>
        <w:rPr>
          <w:rFonts w:ascii="Times New Roman" w:eastAsia="Times New Roman" w:hAnsi="Times New Roman" w:cs="Times New Roman"/>
          <w:b w:val="0"/>
          <w:i w:val="0"/>
          <w:color w:val="000000"/>
          <w:sz w:val="20"/>
          <w:u w:val="none"/>
        </w:rPr>
        <w:t>7%</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color w:val="000000"/>
          <w:sz w:val="20"/>
          <w:u w:val="none"/>
        </w:rPr>
        <w:t>decrease</w:t>
      </w:r>
      <w:r>
        <w:rPr>
          <w:rFonts w:ascii="Times New Roman" w:eastAsia="Times New Roman" w:hAnsi="Times New Roman" w:cs="Times New Roman"/>
          <w:b w:val="0"/>
          <w:i w:val="0"/>
          <w:sz w:val="20"/>
        </w:rPr>
        <w:t xml:space="preserve"> as compared to the </w:t>
      </w:r>
      <w:r>
        <w:rPr>
          <w:rFonts w:ascii="Times New Roman" w:eastAsia="Times New Roman" w:hAnsi="Times New Roman" w:cs="Times New Roman"/>
          <w:b w:val="0"/>
          <w:i w:val="0"/>
          <w:color w:val="000000"/>
          <w:sz w:val="20"/>
          <w:u w:val="none"/>
        </w:rPr>
        <w:t>first</w:t>
      </w:r>
      <w:r>
        <w:rPr>
          <w:rFonts w:ascii="Times New Roman" w:eastAsia="Times New Roman" w:hAnsi="Times New Roman" w:cs="Times New Roman"/>
          <w:b w:val="0"/>
          <w:i w:val="0"/>
          <w:sz w:val="20"/>
        </w:rPr>
        <w:t xml:space="preserve"> quarter of </w:t>
      </w:r>
      <w:r>
        <w:rPr>
          <w:rFonts w:ascii="Times New Roman" w:eastAsia="Times New Roman" w:hAnsi="Times New Roman" w:cs="Times New Roman"/>
          <w:b w:val="0"/>
          <w:i w:val="0"/>
          <w:color w:val="000000"/>
          <w:sz w:val="20"/>
          <w:u w:val="none"/>
        </w:rPr>
        <w:t>2024</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color w:val="000000"/>
          <w:sz w:val="20"/>
          <w:u w:val="none"/>
        </w:rPr>
        <w:t>We reported operating income of</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$431 million</w:t>
      </w:r>
      <w:r>
        <w:rPr>
          <w:rFonts w:ascii="Times New Roman" w:eastAsia="Times New Roman" w:hAnsi="Times New Roman" w:cs="Times New Roman"/>
          <w:b w:val="0"/>
          <w:i w:val="0"/>
          <w:color w:val="000000"/>
          <w:sz w:val="20"/>
          <w:u w:val="none"/>
        </w:rPr>
        <w:t>,</w:t>
      </w:r>
      <w:r>
        <w:rPr>
          <w:rFonts w:ascii="Times New Roman" w:eastAsia="Times New Roman" w:hAnsi="Times New Roman" w:cs="Times New Roman"/>
          <w:b w:val="0"/>
          <w:i w:val="0"/>
          <w:color w:val="000000"/>
          <w:sz w:val="20"/>
          <w:u w:val="none"/>
        </w:rPr>
        <w:t xml:space="preserve"> including impairments and other charges of </w:t>
      </w:r>
      <w:r>
        <w:rPr>
          <w:rFonts w:ascii="Times New Roman" w:eastAsia="Times New Roman" w:hAnsi="Times New Roman" w:cs="Times New Roman"/>
          <w:b w:val="0"/>
          <w:i w:val="0"/>
          <w:color w:val="000000"/>
          <w:sz w:val="20"/>
          <w:u w:val="none"/>
        </w:rPr>
        <w:t>$356 million</w:t>
      </w:r>
      <w:r>
        <w:rPr>
          <w:rFonts w:ascii="Times New Roman" w:eastAsia="Times New Roman" w:hAnsi="Times New Roman" w:cs="Times New Roman"/>
          <w:b w:val="0"/>
          <w:i w:val="0"/>
          <w:color w:val="000000"/>
          <w:sz w:val="20"/>
          <w:u w:val="none"/>
        </w:rPr>
        <w:t xml:space="preserve">, in the </w:t>
      </w:r>
      <w:r>
        <w:rPr>
          <w:rFonts w:ascii="Times New Roman" w:eastAsia="Times New Roman" w:hAnsi="Times New Roman" w:cs="Times New Roman"/>
          <w:b w:val="0"/>
          <w:i w:val="0"/>
          <w:color w:val="000000"/>
          <w:sz w:val="20"/>
          <w:u w:val="none"/>
        </w:rPr>
        <w:t>first</w:t>
      </w:r>
      <w:r>
        <w:rPr>
          <w:rFonts w:ascii="Times New Roman" w:eastAsia="Times New Roman" w:hAnsi="Times New Roman" w:cs="Times New Roman"/>
          <w:b w:val="0"/>
          <w:i w:val="0"/>
          <w:color w:val="000000"/>
          <w:sz w:val="20"/>
          <w:u w:val="none"/>
        </w:rPr>
        <w:t xml:space="preserve"> quarter of </w:t>
      </w:r>
      <w:r>
        <w:rPr>
          <w:rFonts w:ascii="Times New Roman" w:eastAsia="Times New Roman" w:hAnsi="Times New Roman" w:cs="Times New Roman"/>
          <w:b w:val="0"/>
          <w:i w:val="0"/>
          <w:color w:val="000000"/>
          <w:sz w:val="20"/>
          <w:u w:val="none"/>
        </w:rPr>
        <w:t>2025</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this compares to operati</w:t>
      </w:r>
      <w:r>
        <w:rPr>
          <w:rFonts w:ascii="Times New Roman" w:eastAsia="Times New Roman" w:hAnsi="Times New Roman" w:cs="Times New Roman"/>
          <w:b w:val="0"/>
          <w:i w:val="0"/>
          <w:color w:val="000000"/>
          <w:sz w:val="20"/>
          <w:u w:val="none"/>
        </w:rPr>
        <w:t>ng income of</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$987 million</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 xml:space="preserve">in the </w:t>
      </w:r>
      <w:r>
        <w:rPr>
          <w:rFonts w:ascii="Times New Roman" w:eastAsia="Times New Roman" w:hAnsi="Times New Roman" w:cs="Times New Roman"/>
          <w:b w:val="0"/>
          <w:i w:val="0"/>
          <w:color w:val="000000"/>
          <w:sz w:val="20"/>
          <w:u w:val="none"/>
        </w:rPr>
        <w:t>first</w:t>
      </w:r>
      <w:r>
        <w:rPr>
          <w:rFonts w:ascii="Times New Roman" w:eastAsia="Times New Roman" w:hAnsi="Times New Roman" w:cs="Times New Roman"/>
          <w:b w:val="0"/>
          <w:i w:val="0"/>
          <w:color w:val="000000"/>
          <w:sz w:val="20"/>
          <w:u w:val="none"/>
        </w:rPr>
        <w:t xml:space="preserve"> quarter of</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2024</w:t>
      </w:r>
      <w:r>
        <w:rPr>
          <w:rFonts w:ascii="Times New Roman" w:eastAsia="Times New Roman" w:hAnsi="Times New Roman" w:cs="Times New Roman"/>
          <w:b w:val="0"/>
          <w:i w:val="0"/>
          <w:color w:val="000000"/>
          <w:sz w:val="20"/>
          <w:u w:val="none"/>
        </w:rPr>
        <w:t xml:space="preserve">. </w:t>
      </w:r>
    </w:p>
    <w:p>
      <w:pPr>
        <w:keepNext w:val="0"/>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Our Completion and Production segment revenue </w:t>
      </w:r>
      <w:r>
        <w:rPr>
          <w:rFonts w:ascii="Times New Roman" w:eastAsia="Times New Roman" w:hAnsi="Times New Roman" w:cs="Times New Roman"/>
          <w:b w:val="0"/>
          <w:i w:val="0"/>
          <w:color w:val="000000"/>
          <w:sz w:val="20"/>
          <w:u w:val="none"/>
        </w:rPr>
        <w:t>decreased</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8%</w:t>
      </w:r>
      <w:r>
        <w:rPr>
          <w:rFonts w:ascii="Times New Roman" w:eastAsia="Times New Roman" w:hAnsi="Times New Roman" w:cs="Times New Roman"/>
          <w:b w:val="0"/>
          <w:i w:val="0"/>
          <w:color w:val="000000"/>
          <w:sz w:val="20"/>
          <w:u w:val="none"/>
        </w:rPr>
        <w:t xml:space="preserve"> in the </w:t>
      </w:r>
      <w:r>
        <w:rPr>
          <w:rFonts w:ascii="Times New Roman" w:eastAsia="Times New Roman" w:hAnsi="Times New Roman" w:cs="Times New Roman"/>
          <w:b w:val="0"/>
          <w:i w:val="0"/>
          <w:color w:val="000000"/>
          <w:sz w:val="20"/>
          <w:u w:val="none"/>
        </w:rPr>
        <w:t>first</w:t>
      </w:r>
      <w:r>
        <w:rPr>
          <w:rFonts w:ascii="Times New Roman" w:eastAsia="Times New Roman" w:hAnsi="Times New Roman" w:cs="Times New Roman"/>
          <w:b w:val="0"/>
          <w:i w:val="0"/>
          <w:color w:val="000000"/>
          <w:sz w:val="20"/>
          <w:u w:val="none"/>
        </w:rPr>
        <w:t xml:space="preserve"> quarter of </w:t>
      </w:r>
      <w:r>
        <w:rPr>
          <w:rFonts w:ascii="Times New Roman" w:eastAsia="Times New Roman" w:hAnsi="Times New Roman" w:cs="Times New Roman"/>
          <w:b w:val="0"/>
          <w:i w:val="0"/>
          <w:color w:val="000000"/>
          <w:sz w:val="20"/>
          <w:u w:val="none"/>
        </w:rPr>
        <w:t>2025</w:t>
      </w:r>
      <w:r>
        <w:rPr>
          <w:rFonts w:ascii="Times New Roman" w:eastAsia="Times New Roman" w:hAnsi="Times New Roman" w:cs="Times New Roman"/>
          <w:b w:val="0"/>
          <w:i w:val="0"/>
          <w:color w:val="000000"/>
          <w:sz w:val="20"/>
          <w:u w:val="none"/>
        </w:rPr>
        <w:t xml:space="preserve"> as compared to the </w:t>
      </w:r>
      <w:r>
        <w:rPr>
          <w:rFonts w:ascii="Times New Roman" w:eastAsia="Times New Roman" w:hAnsi="Times New Roman" w:cs="Times New Roman"/>
          <w:b w:val="0"/>
          <w:i w:val="0"/>
          <w:color w:val="000000"/>
          <w:sz w:val="20"/>
          <w:u w:val="none"/>
        </w:rPr>
        <w:t>first</w:t>
      </w:r>
      <w:r>
        <w:rPr>
          <w:rFonts w:ascii="Times New Roman" w:eastAsia="Times New Roman" w:hAnsi="Times New Roman" w:cs="Times New Roman"/>
          <w:b w:val="0"/>
          <w:i w:val="0"/>
          <w:color w:val="000000"/>
          <w:sz w:val="20"/>
          <w:u w:val="none"/>
        </w:rPr>
        <w:t xml:space="preserve"> quarter of </w:t>
      </w:r>
      <w:r>
        <w:rPr>
          <w:rFonts w:ascii="Times New Roman" w:eastAsia="Times New Roman" w:hAnsi="Times New Roman" w:cs="Times New Roman"/>
          <w:b w:val="0"/>
          <w:i w:val="0"/>
          <w:color w:val="000000"/>
          <w:sz w:val="20"/>
          <w:u w:val="none"/>
        </w:rPr>
        <w:t>2024</w:t>
      </w:r>
      <w:r>
        <w:rPr>
          <w:rFonts w:ascii="Times New Roman" w:eastAsia="Times New Roman" w:hAnsi="Times New Roman" w:cs="Times New Roman"/>
          <w:b w:val="0"/>
          <w:i w:val="0"/>
          <w:color w:val="000000"/>
          <w:sz w:val="20"/>
          <w:u w:val="none"/>
        </w:rPr>
        <w:t>.</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The</w:t>
      </w:r>
      <w:r>
        <w:rPr>
          <w:rFonts w:ascii="Times New Roman" w:eastAsia="Times New Roman" w:hAnsi="Times New Roman" w:cs="Times New Roman"/>
          <w:b w:val="0"/>
          <w:i w:val="0"/>
          <w:color w:val="000000"/>
          <w:sz w:val="20"/>
          <w:u w:val="none"/>
        </w:rPr>
        <w:t>se results</w:t>
      </w:r>
      <w:r>
        <w:rPr>
          <w:rFonts w:ascii="Times New Roman" w:eastAsia="Times New Roman" w:hAnsi="Times New Roman" w:cs="Times New Roman"/>
          <w:b w:val="0"/>
          <w:i w:val="0"/>
          <w:color w:val="000000"/>
          <w:sz w:val="20"/>
          <w:u w:val="none"/>
        </w:rPr>
        <w:t xml:space="preserve"> w</w:t>
      </w:r>
      <w:r>
        <w:rPr>
          <w:rFonts w:ascii="Times New Roman" w:eastAsia="Times New Roman" w:hAnsi="Times New Roman" w:cs="Times New Roman"/>
          <w:b w:val="0"/>
          <w:i w:val="0"/>
          <w:color w:val="000000"/>
          <w:sz w:val="20"/>
          <w:u w:val="none"/>
        </w:rPr>
        <w:t>ere</w:t>
      </w:r>
      <w:r>
        <w:rPr>
          <w:rFonts w:ascii="Times New Roman" w:eastAsia="Times New Roman" w:hAnsi="Times New Roman" w:cs="Times New Roman"/>
          <w:b w:val="0"/>
          <w:i w:val="0"/>
          <w:color w:val="000000"/>
          <w:sz w:val="20"/>
          <w:u w:val="none"/>
        </w:rPr>
        <w:t xml:space="preserve"> primarily</w:t>
      </w:r>
      <w:r>
        <w:rPr>
          <w:rFonts w:ascii="Times New Roman" w:eastAsia="Times New Roman" w:hAnsi="Times New Roman" w:cs="Times New Roman"/>
          <w:b w:val="0"/>
          <w:i w:val="0"/>
          <w:color w:val="000000"/>
          <w:sz w:val="20"/>
          <w:u w:val="none"/>
        </w:rPr>
        <w:t xml:space="preserve"> driven by decreased pressure pumping services and lower completion tool sales in the Western Hemisphere. Partially offsetting these decreases were increased completion tool sales and improved stimulation activity in the Middle East.</w:t>
      </w:r>
    </w:p>
    <w:p>
      <w:pPr>
        <w:keepNext w:val="0"/>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00"/>
          <w:sz w:val="20"/>
          <w:u w:val="none"/>
        </w:rPr>
        <w:t>O</w:t>
      </w:r>
      <w:r>
        <w:rPr>
          <w:rFonts w:ascii="Times New Roman" w:eastAsia="Times New Roman" w:hAnsi="Times New Roman" w:cs="Times New Roman"/>
          <w:b w:val="0"/>
          <w:i w:val="0"/>
          <w:color w:val="000000"/>
          <w:sz w:val="20"/>
          <w:u w:val="none"/>
        </w:rPr>
        <w:t>ur Drilling and Evaluation segment revenue</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decreased</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6%</w:t>
      </w:r>
      <w:r>
        <w:rPr>
          <w:rFonts w:ascii="Times New Roman" w:eastAsia="Times New Roman" w:hAnsi="Times New Roman" w:cs="Times New Roman"/>
          <w:b w:val="0"/>
          <w:i w:val="0"/>
          <w:color w:val="000000"/>
          <w:sz w:val="20"/>
          <w:u w:val="none"/>
        </w:rPr>
        <w:t xml:space="preserve"> in the </w:t>
      </w:r>
      <w:r>
        <w:rPr>
          <w:rFonts w:ascii="Times New Roman" w:eastAsia="Times New Roman" w:hAnsi="Times New Roman" w:cs="Times New Roman"/>
          <w:b w:val="0"/>
          <w:i w:val="0"/>
          <w:color w:val="000000"/>
          <w:sz w:val="20"/>
          <w:u w:val="none"/>
        </w:rPr>
        <w:t>first</w:t>
      </w:r>
      <w:r>
        <w:rPr>
          <w:rFonts w:ascii="Times New Roman" w:eastAsia="Times New Roman" w:hAnsi="Times New Roman" w:cs="Times New Roman"/>
          <w:b w:val="0"/>
          <w:i w:val="0"/>
          <w:color w:val="000000"/>
          <w:sz w:val="20"/>
          <w:u w:val="none"/>
        </w:rPr>
        <w:t xml:space="preserve"> quarter of </w:t>
      </w:r>
      <w:r>
        <w:rPr>
          <w:rFonts w:ascii="Times New Roman" w:eastAsia="Times New Roman" w:hAnsi="Times New Roman" w:cs="Times New Roman"/>
          <w:b w:val="0"/>
          <w:i w:val="0"/>
          <w:color w:val="000000"/>
          <w:sz w:val="20"/>
          <w:u w:val="none"/>
        </w:rPr>
        <w:t>2025</w:t>
      </w:r>
      <w:r>
        <w:rPr>
          <w:rFonts w:ascii="Times New Roman" w:eastAsia="Times New Roman" w:hAnsi="Times New Roman" w:cs="Times New Roman"/>
          <w:b w:val="0"/>
          <w:i w:val="0"/>
          <w:color w:val="000000"/>
          <w:sz w:val="20"/>
          <w:u w:val="none"/>
        </w:rPr>
        <w:t xml:space="preserve"> as compared to the </w:t>
      </w:r>
      <w:r>
        <w:rPr>
          <w:rFonts w:ascii="Times New Roman" w:eastAsia="Times New Roman" w:hAnsi="Times New Roman" w:cs="Times New Roman"/>
          <w:b w:val="0"/>
          <w:i w:val="0"/>
          <w:color w:val="000000"/>
          <w:sz w:val="20"/>
          <w:u w:val="none"/>
        </w:rPr>
        <w:t>first</w:t>
      </w:r>
      <w:r>
        <w:rPr>
          <w:rFonts w:ascii="Times New Roman" w:eastAsia="Times New Roman" w:hAnsi="Times New Roman" w:cs="Times New Roman"/>
          <w:b w:val="0"/>
          <w:i w:val="0"/>
          <w:color w:val="000000"/>
          <w:sz w:val="20"/>
          <w:u w:val="none"/>
        </w:rPr>
        <w:t xml:space="preserve"> quarter of </w:t>
      </w:r>
      <w:r>
        <w:rPr>
          <w:rFonts w:ascii="Times New Roman" w:eastAsia="Times New Roman" w:hAnsi="Times New Roman" w:cs="Times New Roman"/>
          <w:b w:val="0"/>
          <w:i w:val="0"/>
          <w:color w:val="000000"/>
          <w:sz w:val="20"/>
          <w:u w:val="none"/>
        </w:rPr>
        <w:t>2024</w:t>
      </w:r>
      <w:r>
        <w:rPr>
          <w:rFonts w:ascii="Times New Roman" w:eastAsia="Times New Roman" w:hAnsi="Times New Roman" w:cs="Times New Roman"/>
          <w:b w:val="0"/>
          <w:i w:val="0"/>
          <w:color w:val="000000"/>
          <w:sz w:val="20"/>
          <w:u w:val="none"/>
        </w:rPr>
        <w:t>.</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These results were primarily driven by decreased drilling services in Mexico and the Middle East, reduced project management activity in Mexico, and lower wireline activity in the Middle East/Asia. Partially offsetting these decreases was increased fluid services in the Middle East.</w:t>
      </w:r>
    </w:p>
    <w:p>
      <w:pPr>
        <w:keepNext w:val="0"/>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i/>
          <w:sz w:val="20"/>
        </w:rPr>
      </w:pPr>
      <w:r>
        <w:rPr>
          <w:rFonts w:ascii="Times New Roman" w:eastAsia="Times New Roman" w:hAnsi="Times New Roman" w:cs="Times New Roman"/>
          <w:b w:val="0"/>
          <w:i w:val="0"/>
          <w:sz w:val="20"/>
        </w:rPr>
        <w:t xml:space="preserve">Our North America revenue </w:t>
      </w:r>
      <w:r>
        <w:rPr>
          <w:rFonts w:ascii="Times New Roman" w:eastAsia="Times New Roman" w:hAnsi="Times New Roman" w:cs="Times New Roman"/>
          <w:b w:val="0"/>
          <w:i w:val="0"/>
          <w:color w:val="000000"/>
          <w:sz w:val="20"/>
          <w:u w:val="none"/>
        </w:rPr>
        <w:t>decreased</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color w:val="000000"/>
          <w:sz w:val="20"/>
          <w:u w:val="none"/>
        </w:rPr>
        <w:t>12%</w:t>
      </w:r>
      <w:r>
        <w:rPr>
          <w:rFonts w:ascii="Times New Roman" w:eastAsia="Times New Roman" w:hAnsi="Times New Roman" w:cs="Times New Roman"/>
          <w:b w:val="0"/>
          <w:i w:val="0"/>
          <w:sz w:val="20"/>
        </w:rPr>
        <w:t xml:space="preserve"> in the </w:t>
      </w:r>
      <w:r>
        <w:rPr>
          <w:rFonts w:ascii="Times New Roman" w:eastAsia="Times New Roman" w:hAnsi="Times New Roman" w:cs="Times New Roman"/>
          <w:b w:val="0"/>
          <w:i w:val="0"/>
          <w:color w:val="000000"/>
          <w:sz w:val="20"/>
          <w:u w:val="none"/>
        </w:rPr>
        <w:t>first</w:t>
      </w:r>
      <w:r>
        <w:rPr>
          <w:rFonts w:ascii="Times New Roman" w:eastAsia="Times New Roman" w:hAnsi="Times New Roman" w:cs="Times New Roman"/>
          <w:b w:val="0"/>
          <w:i w:val="0"/>
          <w:sz w:val="20"/>
        </w:rPr>
        <w:t xml:space="preserve"> quarter of </w:t>
      </w:r>
      <w:r>
        <w:rPr>
          <w:rFonts w:ascii="Times New Roman" w:eastAsia="Times New Roman" w:hAnsi="Times New Roman" w:cs="Times New Roman"/>
          <w:b w:val="0"/>
          <w:i w:val="0"/>
          <w:color w:val="000000"/>
          <w:sz w:val="20"/>
          <w:u w:val="none"/>
        </w:rPr>
        <w:t>2025</w:t>
      </w:r>
      <w:r>
        <w:rPr>
          <w:rFonts w:ascii="Times New Roman" w:eastAsia="Times New Roman" w:hAnsi="Times New Roman" w:cs="Times New Roman"/>
          <w:b w:val="0"/>
          <w:i w:val="0"/>
          <w:sz w:val="20"/>
        </w:rPr>
        <w:t xml:space="preserve">, as compared to the </w:t>
      </w:r>
      <w:r>
        <w:rPr>
          <w:rFonts w:ascii="Times New Roman" w:eastAsia="Times New Roman" w:hAnsi="Times New Roman" w:cs="Times New Roman"/>
          <w:b w:val="0"/>
          <w:i w:val="0"/>
          <w:color w:val="000000"/>
          <w:sz w:val="20"/>
          <w:u w:val="none"/>
        </w:rPr>
        <w:t>first</w:t>
      </w:r>
      <w:r>
        <w:rPr>
          <w:rFonts w:ascii="Times New Roman" w:eastAsia="Times New Roman" w:hAnsi="Times New Roman" w:cs="Times New Roman"/>
          <w:b w:val="0"/>
          <w:i w:val="0"/>
          <w:sz w:val="20"/>
        </w:rPr>
        <w:t xml:space="preserve"> quarter of </w:t>
      </w:r>
      <w:r>
        <w:rPr>
          <w:rFonts w:ascii="Times New Roman" w:eastAsia="Times New Roman" w:hAnsi="Times New Roman" w:cs="Times New Roman"/>
          <w:b w:val="0"/>
          <w:i w:val="0"/>
          <w:color w:val="000000"/>
          <w:sz w:val="20"/>
          <w:u w:val="none"/>
        </w:rPr>
        <w:t>2024</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color w:val="000000"/>
          <w:sz w:val="20"/>
          <w:u w:val="none"/>
        </w:rPr>
        <w:t>This decrease was primarily driven by lower stimulation activity in US Land and reduced completion tool sales in the Gulf of America. Partially offsetting these decreases were higher artificial lift activity and improved drilling services in US Land and increased stimulation activity in the Gulf of America.</w:t>
      </w:r>
    </w:p>
    <w:p>
      <w:pPr>
        <w:keepNext w:val="0"/>
        <w:keepLines w:val="0"/>
        <w:pageBreakBefore w:val="0"/>
        <w:widowControl/>
        <w:numPr>
          <w:ilvl w:val="0"/>
          <w:numId w:val="0"/>
        </w:numPr>
        <w:spacing w:before="0" w:after="160" w:line="288" w:lineRule="auto"/>
        <w:ind w:left="0" w:right="0" w:firstLine="720"/>
        <w:jc w:val="both"/>
        <w:outlineLvl w:val="9"/>
        <w:rPr>
          <w:rFonts w:ascii="Times New Roman" w:eastAsia="Times New Roman" w:hAnsi="Times New Roman" w:cs="Times New Roman"/>
          <w:b/>
          <w:i/>
          <w:sz w:val="20"/>
        </w:rPr>
      </w:pPr>
      <w:r>
        <w:rPr>
          <w:rFonts w:ascii="Times New Roman" w:eastAsia="Times New Roman" w:hAnsi="Times New Roman" w:cs="Times New Roman"/>
          <w:b w:val="0"/>
          <w:i w:val="0"/>
          <w:color w:val="000000"/>
          <w:sz w:val="20"/>
          <w:u w:val="none"/>
        </w:rPr>
        <w:t>Internationally, revenue</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decreased</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2%</w:t>
      </w:r>
      <w:r>
        <w:rPr>
          <w:rFonts w:ascii="Times New Roman" w:eastAsia="Times New Roman" w:hAnsi="Times New Roman" w:cs="Times New Roman"/>
          <w:b w:val="0"/>
          <w:i w:val="0"/>
          <w:color w:val="000000"/>
          <w:sz w:val="20"/>
          <w:u w:val="none"/>
        </w:rPr>
        <w:t xml:space="preserve"> in the </w:t>
      </w:r>
      <w:r>
        <w:rPr>
          <w:rFonts w:ascii="Times New Roman" w:eastAsia="Times New Roman" w:hAnsi="Times New Roman" w:cs="Times New Roman"/>
          <w:b w:val="0"/>
          <w:i w:val="0"/>
          <w:color w:val="000000"/>
          <w:sz w:val="20"/>
          <w:u w:val="none"/>
        </w:rPr>
        <w:t>first</w:t>
      </w:r>
      <w:r>
        <w:rPr>
          <w:rFonts w:ascii="Times New Roman" w:eastAsia="Times New Roman" w:hAnsi="Times New Roman" w:cs="Times New Roman"/>
          <w:b w:val="0"/>
          <w:i w:val="0"/>
          <w:color w:val="000000"/>
          <w:sz w:val="20"/>
          <w:u w:val="none"/>
        </w:rPr>
        <w:t xml:space="preserve"> quarter of </w:t>
      </w:r>
      <w:r>
        <w:rPr>
          <w:rFonts w:ascii="Times New Roman" w:eastAsia="Times New Roman" w:hAnsi="Times New Roman" w:cs="Times New Roman"/>
          <w:b w:val="0"/>
          <w:i w:val="0"/>
          <w:color w:val="000000"/>
          <w:sz w:val="20"/>
          <w:u w:val="none"/>
        </w:rPr>
        <w:t>2025</w:t>
      </w:r>
      <w:r>
        <w:rPr>
          <w:rFonts w:ascii="Times New Roman" w:eastAsia="Times New Roman" w:hAnsi="Times New Roman" w:cs="Times New Roman"/>
          <w:b w:val="0"/>
          <w:i w:val="0"/>
          <w:color w:val="000000"/>
          <w:sz w:val="20"/>
          <w:u w:val="none"/>
        </w:rPr>
        <w:t xml:space="preserve">, as compared to the </w:t>
      </w:r>
      <w:r>
        <w:rPr>
          <w:rFonts w:ascii="Times New Roman" w:eastAsia="Times New Roman" w:hAnsi="Times New Roman" w:cs="Times New Roman"/>
          <w:b w:val="0"/>
          <w:i w:val="0"/>
          <w:color w:val="000000"/>
          <w:sz w:val="20"/>
          <w:u w:val="none"/>
        </w:rPr>
        <w:t>first</w:t>
      </w:r>
      <w:r>
        <w:rPr>
          <w:rFonts w:ascii="Times New Roman" w:eastAsia="Times New Roman" w:hAnsi="Times New Roman" w:cs="Times New Roman"/>
          <w:b w:val="0"/>
          <w:i w:val="0"/>
          <w:color w:val="000000"/>
          <w:sz w:val="20"/>
          <w:u w:val="none"/>
        </w:rPr>
        <w:t xml:space="preserve"> quarter of </w:t>
      </w:r>
      <w:r>
        <w:rPr>
          <w:rFonts w:ascii="Times New Roman" w:eastAsia="Times New Roman" w:hAnsi="Times New Roman" w:cs="Times New Roman"/>
          <w:b w:val="0"/>
          <w:i w:val="0"/>
          <w:color w:val="000000"/>
          <w:sz w:val="20"/>
          <w:u w:val="none"/>
        </w:rPr>
        <w:t>2024</w:t>
      </w:r>
      <w:r>
        <w:rPr>
          <w:rFonts w:ascii="Times New Roman" w:eastAsia="Times New Roman" w:hAnsi="Times New Roman" w:cs="Times New Roman"/>
          <w:b w:val="0"/>
          <w:i w:val="0"/>
          <w:color w:val="000000"/>
          <w:sz w:val="20"/>
          <w:u w:val="none"/>
        </w:rPr>
        <w:t>,</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largely</w:t>
      </w:r>
      <w:r>
        <w:rPr>
          <w:rFonts w:ascii="Times New Roman" w:eastAsia="Times New Roman" w:hAnsi="Times New Roman" w:cs="Times New Roman"/>
          <w:b w:val="0"/>
          <w:i w:val="0"/>
          <w:color w:val="000000"/>
          <w:sz w:val="20"/>
          <w:u w:val="none"/>
        </w:rPr>
        <w:t xml:space="preserve"> driven by</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 xml:space="preserve">lower activity across multiple product service lines in Mexico, Senegal, and Italy. Partially offsetting these decreases were increased activity across multiple product services lines in Kuwait, higher stimulation activity in Saudi </w:t>
      </w:r>
      <w:r>
        <w:rPr>
          <w:rFonts w:ascii="Times New Roman" w:eastAsia="Times New Roman" w:hAnsi="Times New Roman" w:cs="Times New Roman"/>
          <w:b w:val="0"/>
          <w:i w:val="0"/>
          <w:color w:val="000000"/>
          <w:sz w:val="20"/>
          <w:u w:val="none"/>
        </w:rPr>
        <w:t>Arabia</w:t>
      </w:r>
      <w:r>
        <w:rPr>
          <w:rFonts w:ascii="Times New Roman" w:eastAsia="Times New Roman" w:hAnsi="Times New Roman" w:cs="Times New Roman"/>
          <w:b w:val="0"/>
          <w:i w:val="0"/>
          <w:color w:val="000000"/>
          <w:sz w:val="20"/>
          <w:u w:val="none"/>
        </w:rPr>
        <w:t>,</w:t>
      </w:r>
      <w:r>
        <w:rPr>
          <w:rFonts w:ascii="Times New Roman" w:eastAsia="Times New Roman" w:hAnsi="Times New Roman" w:cs="Times New Roman"/>
          <w:b w:val="0"/>
          <w:i w:val="0"/>
          <w:color w:val="000000"/>
          <w:sz w:val="20"/>
          <w:u w:val="none"/>
        </w:rPr>
        <w:t xml:space="preserve"> improved drilling-related services </w:t>
      </w:r>
      <w:r>
        <w:rPr>
          <w:rFonts w:ascii="Times New Roman" w:eastAsia="Times New Roman" w:hAnsi="Times New Roman" w:cs="Times New Roman"/>
          <w:b w:val="0"/>
          <w:i w:val="0"/>
          <w:color w:val="000000"/>
          <w:sz w:val="20"/>
          <w:u w:val="none"/>
        </w:rPr>
        <w:t>in</w:t>
      </w:r>
      <w:r>
        <w:rPr>
          <w:rFonts w:ascii="Times New Roman" w:eastAsia="Times New Roman" w:hAnsi="Times New Roman" w:cs="Times New Roman"/>
          <w:b w:val="0"/>
          <w:i w:val="0"/>
          <w:color w:val="000000"/>
          <w:sz w:val="20"/>
          <w:u w:val="none"/>
        </w:rPr>
        <w:t xml:space="preserve"> Arge</w:t>
      </w:r>
      <w:r>
        <w:rPr>
          <w:rFonts w:ascii="Times New Roman" w:eastAsia="Times New Roman" w:hAnsi="Times New Roman" w:cs="Times New Roman"/>
          <w:b w:val="0"/>
          <w:i w:val="0"/>
          <w:color w:val="000000"/>
          <w:sz w:val="20"/>
          <w:u w:val="none"/>
        </w:rPr>
        <w:t>ntina, Brazil, and the Caribbean</w:t>
      </w:r>
      <w:r>
        <w:rPr>
          <w:rFonts w:ascii="Times New Roman" w:eastAsia="Times New Roman" w:hAnsi="Times New Roman" w:cs="Times New Roman"/>
          <w:b w:val="0"/>
          <w:i w:val="0"/>
          <w:color w:val="000000"/>
          <w:sz w:val="20"/>
          <w:u w:val="none"/>
        </w:rPr>
        <w:t>, and higher completion tool sales in Europe.</w:t>
      </w:r>
    </w:p>
    <w:p>
      <w:pPr>
        <w:keepNext w:val="0"/>
        <w:keepLines w:val="0"/>
        <w:pageBreakBefore w:val="0"/>
        <w:widowControl/>
        <w:numPr>
          <w:ilvl w:val="0"/>
          <w:numId w:val="0"/>
        </w:numPr>
        <w:spacing w:before="0" w:after="16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w:t>
      </w:r>
      <w:r>
        <w:rPr>
          <w:rFonts w:ascii="Times New Roman" w:eastAsia="Times New Roman" w:hAnsi="Times New Roman" w:cs="Times New Roman"/>
          <w:b w:val="0"/>
          <w:i w:val="0"/>
          <w:sz w:val="20"/>
        </w:rPr>
        <w:t xml:space="preserve"> operating performance and liquidity are described in more detail in “Liquidity and Capital Resources” and “Business Environment and Results of Operations.”</w:t>
      </w:r>
    </w:p>
    <w:p>
      <w:pPr>
        <w:keepNext w:val="0"/>
        <w:keepLines w:val="0"/>
        <w:pageBreakBefore w:val="0"/>
        <w:widowControl/>
        <w:numPr>
          <w:ilvl w:val="0"/>
          <w:numId w:val="0"/>
        </w:numPr>
        <w:spacing w:before="0" w:after="160" w:line="288" w:lineRule="auto"/>
        <w:ind w:left="0" w:right="0" w:firstLine="720"/>
        <w:jc w:val="both"/>
        <w:outlineLvl w:val="9"/>
        <w:sectPr>
          <w:footerReference w:type="default" r:id="rId78"/>
          <w:type w:val="continuous"/>
          <w:pgSz w:w="12240" w:h="15840"/>
          <w:pgMar w:top="900" w:right="990" w:bottom="900" w:left="990" w:header="0" w:footer="270"/>
          <w:cols w:space="708"/>
        </w:sectPr>
      </w:pPr>
    </w:p>
    <w:p>
      <w:pPr>
        <w:keepNext/>
        <w:keepLines/>
        <w:pageBreakBefore w:val="0"/>
        <w:widowControl w:val="0"/>
        <w:numPr>
          <w:ilvl w:val="0"/>
          <w:numId w:val="0"/>
        </w:numPr>
        <w:spacing w:before="0" w:after="0" w:line="288" w:lineRule="auto"/>
        <w:ind w:left="0" w:right="0" w:firstLine="720"/>
        <w:jc w:val="both"/>
        <w:outlineLvl w:val="2"/>
        <w:rPr>
          <w:rFonts w:ascii="Times New Roman" w:eastAsia="Times New Roman" w:hAnsi="Times New Roman" w:cs="Times New Roman"/>
          <w:b/>
          <w:i/>
          <w:sz w:val="24"/>
        </w:rPr>
      </w:pPr>
      <w:bookmarkStart w:id="38" w:name="Section39"/>
      <w:bookmarkEnd w:id="38"/>
      <w:r>
        <w:rPr>
          <w:rFonts w:ascii="Times New Roman" w:eastAsia="Times New Roman" w:hAnsi="Times New Roman" w:cs="Times New Roman"/>
          <w:b/>
          <w:i/>
          <w:color w:val="000000"/>
          <w:sz w:val="20"/>
          <w:u w:val="none"/>
        </w:rPr>
        <w:t xml:space="preserve">Sustainability and Energy </w:t>
      </w:r>
      <w:r>
        <w:rPr>
          <w:rFonts w:ascii="Times New Roman" w:eastAsia="Times New Roman" w:hAnsi="Times New Roman" w:cs="Times New Roman"/>
          <w:b/>
          <w:i/>
          <w:color w:val="000000"/>
          <w:sz w:val="20"/>
          <w:u w:val="none"/>
        </w:rPr>
        <w:t>Mix</w:t>
      </w:r>
      <w:r>
        <w:rPr>
          <w:rFonts w:ascii="Times New Roman" w:eastAsia="Times New Roman" w:hAnsi="Times New Roman" w:cs="Times New Roman"/>
          <w:b/>
          <w:i/>
          <w:color w:val="000000"/>
          <w:sz w:val="20"/>
          <w:u w:val="none"/>
        </w:rPr>
        <w:t xml:space="preserve"> Transition</w:t>
      </w:r>
    </w:p>
    <w:p>
      <w:pPr>
        <w:keepNext/>
        <w:keepLines/>
        <w:pageBreakBefore w:val="0"/>
        <w:widowControl w:val="0"/>
        <w:numPr>
          <w:ilvl w:val="0"/>
          <w:numId w:val="0"/>
        </w:numPr>
        <w:spacing w:before="0" w:after="160" w:line="288" w:lineRule="auto"/>
        <w:ind w:left="0" w:right="0" w:firstLine="720"/>
        <w:jc w:val="both"/>
        <w:outlineLvl w:val="9"/>
        <w:rPr>
          <w:rFonts w:ascii="Calibri" w:eastAsia="Calibri" w:hAnsi="Calibri" w:cs="Calibri"/>
          <w:b w:val="0"/>
          <w:i w:val="0"/>
          <w:color w:val="000000"/>
          <w:sz w:val="22"/>
          <w:u w:val="none"/>
          <w:shd w:val="clear" w:color="auto" w:fill="FFF7C3"/>
        </w:rPr>
      </w:pPr>
      <w:r>
        <w:rPr>
          <w:rFonts w:ascii="Times New Roman" w:eastAsia="Times New Roman" w:hAnsi="Times New Roman" w:cs="Times New Roman"/>
          <w:b w:val="0"/>
          <w:i w:val="0"/>
          <w:color w:val="000000"/>
          <w:sz w:val="20"/>
          <w:u w:val="none"/>
        </w:rPr>
        <w:t xml:space="preserve">In 2021, we announced our target to achieve a 40% reduction in our Scope 1 and 2 emissions by 2035 from the 2018 baseline. </w:t>
      </w:r>
      <w:r>
        <w:rPr>
          <w:rFonts w:ascii="Times New Roman" w:eastAsia="Times New Roman" w:hAnsi="Times New Roman" w:cs="Times New Roman"/>
          <w:b w:val="0"/>
          <w:i w:val="0"/>
          <w:color w:val="000000"/>
          <w:sz w:val="20"/>
          <w:u w:val="none"/>
        </w:rPr>
        <w:t>We</w:t>
      </w:r>
      <w:r>
        <w:rPr>
          <w:rFonts w:ascii="Times New Roman" w:eastAsia="Times New Roman" w:hAnsi="Times New Roman" w:cs="Times New Roman"/>
          <w:b w:val="0"/>
          <w:i w:val="0"/>
          <w:color w:val="000000"/>
          <w:sz w:val="20"/>
          <w:u w:val="none"/>
        </w:rPr>
        <w:t xml:space="preserve"> continue</w:t>
      </w:r>
      <w:r>
        <w:rPr>
          <w:rFonts w:ascii="Times New Roman" w:eastAsia="Times New Roman" w:hAnsi="Times New Roman" w:cs="Times New Roman"/>
          <w:b w:val="0"/>
          <w:i w:val="0"/>
          <w:color w:val="000000"/>
          <w:sz w:val="20"/>
          <w:u w:val="none"/>
        </w:rPr>
        <w:t xml:space="preserve"> to execute on our priorities to drive down our emissions</w:t>
      </w:r>
      <w:r>
        <w:rPr>
          <w:rFonts w:ascii="Times New Roman" w:eastAsia="Times New Roman" w:hAnsi="Times New Roman" w:cs="Times New Roman"/>
          <w:b w:val="0"/>
          <w:i w:val="0"/>
          <w:color w:val="000000"/>
          <w:sz w:val="20"/>
          <w:u w:val="none"/>
        </w:rPr>
        <w:t xml:space="preserve"> intensity</w:t>
      </w:r>
      <w:r>
        <w:rPr>
          <w:rFonts w:ascii="Times New Roman" w:eastAsia="Times New Roman" w:hAnsi="Times New Roman" w:cs="Times New Roman"/>
          <w:b w:val="0"/>
          <w:i w:val="0"/>
          <w:color w:val="000000"/>
          <w:sz w:val="20"/>
          <w:u w:val="none"/>
        </w:rPr>
        <w:t>.</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At the same time, we support our customers in their emissions reduction efforts by continuously developing and deploying goods and services that are accretive to their goals as well as ours. As the energy mix transition unfolds, we seek to apply our expertise and resources in growth sectors adjacent to our traditional oilfield services space, including carbon capture, utilization, and storage</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and geothermal. Finally, we will continue to focus on accelerating the success of clean tech start-ups via Halliburton Labs, which also allows us to participate in the energy mix transition at relatively low risk by investing our expertise, resources, and team without a significant outlay of capital while we learn where we can strategically engage new markets.</w:t>
      </w:r>
      <w:r>
        <w:rPr>
          <w:rFonts w:ascii="Times New Roman" w:eastAsia="Times New Roman" w:hAnsi="Times New Roman" w:cs="Times New Roman"/>
          <w:b w:val="0"/>
          <w:i w:val="0"/>
          <w:color w:val="000000"/>
          <w:sz w:val="20"/>
          <w:u w:val="none"/>
        </w:rPr>
        <w:t xml:space="preserve"> As of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color w:val="000000"/>
          <w:sz w:val="20"/>
          <w:u w:val="none"/>
        </w:rPr>
        <w:t>,</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 xml:space="preserve">Halliburton Labs had </w:t>
      </w:r>
      <w:r>
        <w:rPr>
          <w:rFonts w:ascii="Times New Roman" w:eastAsia="Times New Roman" w:hAnsi="Times New Roman" w:cs="Times New Roman"/>
          <w:b w:val="0"/>
          <w:i w:val="0"/>
          <w:color w:val="000000"/>
          <w:sz w:val="20"/>
          <w:u w:val="none"/>
        </w:rPr>
        <w:t>3</w:t>
      </w:r>
      <w:r>
        <w:rPr>
          <w:rFonts w:ascii="Times New Roman" w:eastAsia="Times New Roman" w:hAnsi="Times New Roman" w:cs="Times New Roman"/>
          <w:b w:val="0"/>
          <w:i w:val="0"/>
          <w:color w:val="000000"/>
          <w:sz w:val="20"/>
          <w:u w:val="none"/>
        </w:rPr>
        <w:t>8</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participating companies and alumni.</w:t>
      </w:r>
    </w:p>
    <w:p>
      <w:pPr>
        <w:keepNext/>
        <w:keepLines/>
        <w:pageBreakBefore w:val="0"/>
        <w:widowControl w:val="0"/>
        <w:numPr>
          <w:ilvl w:val="0"/>
          <w:numId w:val="0"/>
        </w:numPr>
        <w:spacing w:before="0" w:after="160" w:line="288" w:lineRule="auto"/>
        <w:ind w:left="0" w:right="0" w:firstLine="720"/>
        <w:jc w:val="both"/>
        <w:outlineLvl w:val="9"/>
        <w:sectPr>
          <w:footerReference w:type="default" r:id="rId79"/>
          <w:type w:val="continuous"/>
          <w:pgSz w:w="12240" w:h="15840"/>
          <w:pgMar w:top="900" w:right="990" w:bottom="900" w:left="990" w:header="0" w:footer="270"/>
          <w:cols w:space="708"/>
        </w:sectPr>
      </w:pPr>
    </w:p>
    <w:p>
      <w:pPr>
        <w:keepNext/>
        <w:keepLines/>
        <w:pageBreakBefore w:val="0"/>
        <w:widowControl w:val="0"/>
        <w:numPr>
          <w:ilvl w:val="0"/>
          <w:numId w:val="0"/>
        </w:numPr>
        <w:spacing w:before="0" w:after="160" w:line="288" w:lineRule="auto"/>
        <w:ind w:left="0" w:right="0" w:firstLine="0"/>
        <w:jc w:val="left"/>
        <w:outlineLvl w:val="1"/>
        <w:rPr>
          <w:rFonts w:ascii="Times New Roman" w:eastAsia="Times New Roman" w:hAnsi="Times New Roman" w:cs="Times New Roman"/>
          <w:b/>
          <w:i w:val="0"/>
          <w:sz w:val="20"/>
        </w:rPr>
      </w:pPr>
      <w:bookmarkStart w:id="39" w:name="Section40"/>
      <w:bookmarkEnd w:id="39"/>
      <w:r>
        <w:rPr>
          <w:rFonts w:ascii="Times New Roman" w:eastAsia="Times New Roman" w:hAnsi="Times New Roman" w:cs="Times New Roman"/>
          <w:b/>
          <w:i w:val="0"/>
          <w:color w:val="000000"/>
          <w:sz w:val="20"/>
          <w:u w:val="none"/>
        </w:rPr>
        <w:t>LIQUIDITY AND CAPITAL RESOURCES</w:t>
      </w:r>
    </w:p>
    <w:p>
      <w:pPr>
        <w:keepNext w:val="0"/>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As of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sz w:val="20"/>
        </w:rPr>
        <w:t xml:space="preserve">, we had </w:t>
      </w:r>
      <w:r>
        <w:rPr>
          <w:rFonts w:ascii="Times New Roman" w:eastAsia="Times New Roman" w:hAnsi="Times New Roman" w:cs="Times New Roman"/>
          <w:b w:val="0"/>
          <w:i w:val="0"/>
          <w:color w:val="000000"/>
          <w:sz w:val="20"/>
          <w:u w:val="none"/>
        </w:rPr>
        <w:t>$1.8 billion</w:t>
      </w:r>
      <w:r>
        <w:rPr>
          <w:rFonts w:ascii="Times New Roman" w:eastAsia="Times New Roman" w:hAnsi="Times New Roman" w:cs="Times New Roman"/>
          <w:b w:val="0"/>
          <w:i w:val="0"/>
          <w:sz w:val="20"/>
        </w:rPr>
        <w:t xml:space="preserve"> of cash and equivalents, compared to </w:t>
      </w:r>
      <w:r>
        <w:rPr>
          <w:rFonts w:ascii="Times New Roman" w:eastAsia="Times New Roman" w:hAnsi="Times New Roman" w:cs="Times New Roman"/>
          <w:b w:val="0"/>
          <w:i w:val="0"/>
          <w:color w:val="000000"/>
          <w:sz w:val="20"/>
          <w:u w:val="none"/>
        </w:rPr>
        <w:t>$2.6 billion</w:t>
      </w:r>
      <w:r>
        <w:rPr>
          <w:rFonts w:ascii="Times New Roman" w:eastAsia="Times New Roman" w:hAnsi="Times New Roman" w:cs="Times New Roman"/>
          <w:b w:val="0"/>
          <w:i w:val="0"/>
          <w:sz w:val="20"/>
        </w:rPr>
        <w:t xml:space="preserve"> of cash and equivalents at </w:t>
      </w:r>
      <w:r>
        <w:rPr>
          <w:rFonts w:ascii="Times New Roman" w:eastAsia="Times New Roman" w:hAnsi="Times New Roman" w:cs="Times New Roman"/>
          <w:b w:val="0"/>
          <w:i w:val="0"/>
          <w:color w:val="000000"/>
          <w:sz w:val="20"/>
          <w:u w:val="none"/>
        </w:rPr>
        <w:t>December 31, 2024</w:t>
      </w:r>
      <w:r>
        <w:rPr>
          <w:rFonts w:ascii="Times New Roman" w:eastAsia="Times New Roman" w:hAnsi="Times New Roman" w:cs="Times New Roman"/>
          <w:b w:val="0"/>
          <w:i w:val="0"/>
          <w:sz w:val="20"/>
        </w:rPr>
        <w:t>.</w:t>
      </w:r>
    </w:p>
    <w:p>
      <w:pPr>
        <w:keepNext/>
        <w:keepLines/>
        <w:pageBreakBefore w:val="0"/>
        <w:widowControl w:val="0"/>
        <w:numPr>
          <w:ilvl w:val="0"/>
          <w:numId w:val="0"/>
        </w:numPr>
        <w:spacing w:before="0" w:after="60" w:line="288" w:lineRule="auto"/>
        <w:ind w:left="0" w:right="0" w:firstLine="720"/>
        <w:jc w:val="left"/>
        <w:outlineLvl w:val="9"/>
        <w:rPr>
          <w:rFonts w:ascii="Times New Roman" w:eastAsia="Times New Roman" w:hAnsi="Times New Roman" w:cs="Times New Roman"/>
          <w:b/>
          <w:i/>
          <w:sz w:val="20"/>
        </w:rPr>
      </w:pPr>
      <w:r>
        <w:rPr>
          <w:rFonts w:ascii="Times New Roman" w:eastAsia="Times New Roman" w:hAnsi="Times New Roman" w:cs="Times New Roman"/>
          <w:b/>
          <w:i/>
          <w:color w:val="000000"/>
          <w:sz w:val="20"/>
          <w:u w:val="none"/>
        </w:rPr>
        <w:t xml:space="preserve">Significant sources and uses of cash </w:t>
      </w:r>
      <w:r>
        <w:rPr>
          <w:rFonts w:ascii="Times New Roman" w:eastAsia="Times New Roman" w:hAnsi="Times New Roman" w:cs="Times New Roman"/>
          <w:b/>
          <w:i/>
          <w:color w:val="000000"/>
          <w:sz w:val="20"/>
          <w:u w:val="none"/>
        </w:rPr>
        <w:t xml:space="preserve">during the first three months of </w:t>
      </w:r>
      <w:r>
        <w:rPr>
          <w:rFonts w:ascii="Times New Roman" w:eastAsia="Times New Roman" w:hAnsi="Times New Roman" w:cs="Times New Roman"/>
          <w:b/>
          <w:i/>
          <w:color w:val="000000"/>
          <w:sz w:val="20"/>
          <w:u w:val="none"/>
        </w:rPr>
        <w:t xml:space="preserve"> </w:t>
      </w:r>
      <w:r>
        <w:rPr>
          <w:rFonts w:ascii="Times New Roman" w:eastAsia="Times New Roman" w:hAnsi="Times New Roman" w:cs="Times New Roman"/>
          <w:b/>
          <w:i/>
          <w:color w:val="000000"/>
          <w:sz w:val="20"/>
          <w:u w:val="none"/>
        </w:rPr>
        <w:t>2025</w:t>
      </w:r>
    </w:p>
    <w:p>
      <w:pPr>
        <w:keepNext/>
        <w:keepLines/>
        <w:pageBreakBefore w:val="0"/>
        <w:widowControl w:val="0"/>
        <w:numPr>
          <w:ilvl w:val="0"/>
          <w:numId w:val="0"/>
        </w:numPr>
        <w:spacing w:before="60" w:after="60" w:line="288" w:lineRule="auto"/>
        <w:ind w:left="720" w:right="0" w:firstLine="0"/>
        <w:jc w:val="left"/>
        <w:outlineLvl w:val="9"/>
        <w:rPr>
          <w:rFonts w:ascii="Times New Roman" w:eastAsia="Times New Roman" w:hAnsi="Times New Roman" w:cs="Times New Roman"/>
          <w:b w:val="0"/>
          <w:i/>
          <w:sz w:val="20"/>
        </w:rPr>
      </w:pPr>
      <w:r>
        <w:rPr>
          <w:rFonts w:ascii="Times New Roman" w:eastAsia="Times New Roman" w:hAnsi="Times New Roman" w:cs="Times New Roman"/>
          <w:b w:val="0"/>
          <w:i/>
          <w:sz w:val="20"/>
        </w:rPr>
        <w:t>Sources of cash:</w:t>
      </w:r>
    </w:p>
    <w:p>
      <w:pPr>
        <w:keepNext/>
        <w:keepLines/>
        <w:pageBreakBefore w:val="0"/>
        <w:widowControl w:val="0"/>
        <w:numPr>
          <w:ilvl w:val="0"/>
          <w:numId w:val="18"/>
        </w:numPr>
        <w:spacing w:before="60" w:after="160" w:line="288" w:lineRule="auto"/>
        <w:ind w:left="990" w:right="0" w:hanging="270"/>
        <w:jc w:val="both"/>
        <w:outlineLvl w:val="9"/>
        <w:rPr>
          <w:rFonts w:ascii="Times New Roman" w:eastAsia="Times New Roman" w:hAnsi="Times New Roman" w:cs="Times New Roman"/>
          <w:b w:val="0"/>
          <w:i/>
          <w:sz w:val="20"/>
        </w:rPr>
      </w:pPr>
      <w:r>
        <w:rPr>
          <w:rFonts w:ascii="Times New Roman" w:eastAsia="Times New Roman" w:hAnsi="Times New Roman" w:cs="Times New Roman"/>
          <w:b w:val="0"/>
          <w:i w:val="0"/>
          <w:sz w:val="20"/>
        </w:rPr>
        <w:t xml:space="preserve">Cash flows from operating activities were </w:t>
      </w:r>
      <w:r>
        <w:rPr>
          <w:rFonts w:ascii="Times New Roman" w:eastAsia="Times New Roman" w:hAnsi="Times New Roman" w:cs="Times New Roman"/>
          <w:b w:val="0"/>
          <w:i w:val="0"/>
          <w:color w:val="000000"/>
          <w:sz w:val="20"/>
          <w:u w:val="none"/>
        </w:rPr>
        <w:t>$377 million</w:t>
      </w:r>
      <w:r>
        <w:rPr>
          <w:rFonts w:ascii="Times New Roman" w:eastAsia="Times New Roman" w:hAnsi="Times New Roman" w:cs="Times New Roman"/>
          <w:b w:val="0"/>
          <w:i w:val="0"/>
          <w:sz w:val="20"/>
        </w:rPr>
        <w:t xml:space="preserve">. Working capital, which consists of receivables, inventories, and accounts payable, had </w:t>
      </w:r>
      <w:r>
        <w:rPr>
          <w:rFonts w:ascii="Times New Roman" w:eastAsia="Times New Roman" w:hAnsi="Times New Roman" w:cs="Times New Roman"/>
          <w:b w:val="0"/>
          <w:i w:val="0"/>
          <w:color w:val="000000"/>
          <w:sz w:val="20"/>
          <w:u w:val="none"/>
        </w:rPr>
        <w:t>a negative</w:t>
      </w:r>
      <w:r>
        <w:rPr>
          <w:rFonts w:ascii="Times New Roman" w:eastAsia="Times New Roman" w:hAnsi="Times New Roman" w:cs="Times New Roman"/>
          <w:b w:val="0"/>
          <w:i w:val="0"/>
          <w:sz w:val="20"/>
        </w:rPr>
        <w:t xml:space="preserve"> impact of </w:t>
      </w:r>
      <w:r>
        <w:rPr>
          <w:rFonts w:ascii="Times New Roman" w:eastAsia="Times New Roman" w:hAnsi="Times New Roman" w:cs="Times New Roman"/>
          <w:b w:val="0"/>
          <w:i w:val="0"/>
          <w:color w:val="000000"/>
          <w:sz w:val="20"/>
          <w:u w:val="none"/>
        </w:rPr>
        <w:t>$154 million</w:t>
      </w:r>
      <w:r>
        <w:rPr>
          <w:rFonts w:ascii="Times New Roman" w:eastAsia="Times New Roman" w:hAnsi="Times New Roman" w:cs="Times New Roman"/>
          <w:b w:val="0"/>
          <w:i w:val="0"/>
          <w:sz w:val="20"/>
        </w:rPr>
        <w:t xml:space="preserve">, primarily due to </w:t>
      </w:r>
      <w:r>
        <w:rPr>
          <w:rFonts w:ascii="Times New Roman" w:eastAsia="Times New Roman" w:hAnsi="Times New Roman" w:cs="Times New Roman"/>
          <w:b w:val="0"/>
          <w:i w:val="0"/>
          <w:sz w:val="20"/>
        </w:rPr>
        <w:t>increased receivables</w:t>
      </w:r>
      <w:r>
        <w:rPr>
          <w:rFonts w:ascii="Times New Roman" w:eastAsia="Times New Roman" w:hAnsi="Times New Roman" w:cs="Times New Roman"/>
          <w:b w:val="0"/>
          <w:i w:val="0"/>
          <w:sz w:val="20"/>
        </w:rPr>
        <w:t xml:space="preserve"> and </w:t>
      </w:r>
      <w:r>
        <w:rPr>
          <w:rFonts w:ascii="Times New Roman" w:eastAsia="Times New Roman" w:hAnsi="Times New Roman" w:cs="Times New Roman"/>
          <w:b w:val="0"/>
          <w:i w:val="0"/>
          <w:sz w:val="20"/>
        </w:rPr>
        <w:t>de</w:t>
      </w:r>
      <w:r>
        <w:rPr>
          <w:rFonts w:ascii="Times New Roman" w:eastAsia="Times New Roman" w:hAnsi="Times New Roman" w:cs="Times New Roman"/>
          <w:b w:val="0"/>
          <w:i w:val="0"/>
          <w:sz w:val="20"/>
        </w:rPr>
        <w:t>creased payab</w:t>
      </w:r>
      <w:r>
        <w:rPr>
          <w:rFonts w:ascii="Times New Roman" w:eastAsia="Times New Roman" w:hAnsi="Times New Roman" w:cs="Times New Roman"/>
          <w:b w:val="0"/>
          <w:i w:val="0"/>
          <w:sz w:val="20"/>
        </w:rPr>
        <w:t>les</w:t>
      </w:r>
      <w:r>
        <w:rPr>
          <w:rFonts w:ascii="Times New Roman" w:eastAsia="Times New Roman" w:hAnsi="Times New Roman" w:cs="Times New Roman"/>
          <w:b w:val="0"/>
          <w:i w:val="0"/>
          <w:sz w:val="20"/>
        </w:rPr>
        <w:t>.</w:t>
      </w:r>
    </w:p>
    <w:p>
      <w:pPr>
        <w:keepNext/>
        <w:keepLines/>
        <w:pageBreakBefore w:val="0"/>
        <w:widowControl w:val="0"/>
        <w:numPr>
          <w:ilvl w:val="0"/>
          <w:numId w:val="0"/>
        </w:numPr>
        <w:spacing w:before="0" w:after="60" w:line="288" w:lineRule="auto"/>
        <w:ind w:left="720" w:right="0" w:firstLine="0"/>
        <w:jc w:val="left"/>
        <w:outlineLvl w:val="9"/>
        <w:rPr>
          <w:rFonts w:ascii="Times New Roman" w:eastAsia="Times New Roman" w:hAnsi="Times New Roman" w:cs="Times New Roman"/>
          <w:b w:val="0"/>
          <w:i/>
          <w:sz w:val="20"/>
        </w:rPr>
      </w:pPr>
      <w:r>
        <w:rPr>
          <w:rFonts w:ascii="Times New Roman" w:eastAsia="Times New Roman" w:hAnsi="Times New Roman" w:cs="Times New Roman"/>
          <w:b w:val="0"/>
          <w:i/>
          <w:color w:val="000000"/>
          <w:sz w:val="20"/>
          <w:u w:val="none"/>
        </w:rPr>
        <w:t>Uses of cash:</w:t>
      </w:r>
    </w:p>
    <w:p>
      <w:pPr>
        <w:keepNext/>
        <w:keepLines/>
        <w:pageBreakBefore w:val="0"/>
        <w:widowControl w:val="0"/>
        <w:numPr>
          <w:ilvl w:val="0"/>
          <w:numId w:val="19"/>
        </w:numPr>
        <w:spacing w:before="0" w:after="120" w:line="288" w:lineRule="auto"/>
        <w:ind w:left="990" w:right="0" w:hanging="270"/>
        <w:jc w:val="both"/>
        <w:outlineLvl w:val="9"/>
        <w:rPr>
          <w:rFonts w:ascii="Times New Roman" w:eastAsia="Times New Roman" w:hAnsi="Times New Roman" w:cs="Times New Roman"/>
          <w:b w:val="0"/>
          <w:i/>
          <w:sz w:val="20"/>
        </w:rPr>
      </w:pPr>
      <w:r>
        <w:rPr>
          <w:rFonts w:ascii="Times New Roman" w:eastAsia="Times New Roman" w:hAnsi="Times New Roman" w:cs="Times New Roman"/>
          <w:b w:val="0"/>
          <w:i w:val="0"/>
          <w:sz w:val="20"/>
        </w:rPr>
        <w:t xml:space="preserve">Capital </w:t>
      </w:r>
      <w:r>
        <w:rPr>
          <w:rFonts w:ascii="Times New Roman" w:eastAsia="Times New Roman" w:hAnsi="Times New Roman" w:cs="Times New Roman"/>
          <w:b w:val="0"/>
          <w:i w:val="0"/>
          <w:color w:val="000000"/>
          <w:sz w:val="20"/>
          <w:u w:val="none"/>
        </w:rPr>
        <w:t>expenditures</w:t>
      </w:r>
      <w:r>
        <w:rPr>
          <w:rFonts w:ascii="Times New Roman" w:eastAsia="Times New Roman" w:hAnsi="Times New Roman" w:cs="Times New Roman"/>
          <w:b w:val="0"/>
          <w:i w:val="0"/>
          <w:sz w:val="20"/>
        </w:rPr>
        <w:t xml:space="preserve"> were </w:t>
      </w:r>
      <w:r>
        <w:rPr>
          <w:rFonts w:ascii="Times New Roman" w:eastAsia="Times New Roman" w:hAnsi="Times New Roman" w:cs="Times New Roman"/>
          <w:b w:val="0"/>
          <w:i w:val="0"/>
          <w:color w:val="000000"/>
          <w:sz w:val="20"/>
          <w:u w:val="none"/>
        </w:rPr>
        <w:t>$302 million</w:t>
      </w:r>
      <w:r>
        <w:rPr>
          <w:rFonts w:ascii="Times New Roman" w:eastAsia="Times New Roman" w:hAnsi="Times New Roman" w:cs="Times New Roman"/>
          <w:b w:val="0"/>
          <w:i w:val="0"/>
          <w:sz w:val="20"/>
        </w:rPr>
        <w:t>.</w:t>
      </w:r>
    </w:p>
    <w:p>
      <w:pPr>
        <w:keepNext/>
        <w:keepLines/>
        <w:pageBreakBefore w:val="0"/>
        <w:widowControl w:val="0"/>
        <w:numPr>
          <w:ilvl w:val="0"/>
          <w:numId w:val="20"/>
        </w:numPr>
        <w:spacing w:before="0" w:after="120" w:line="288" w:lineRule="auto"/>
        <w:ind w:left="990" w:right="0" w:hanging="27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00"/>
          <w:sz w:val="20"/>
          <w:u w:val="none"/>
        </w:rPr>
        <w:t xml:space="preserve">We repurchased </w:t>
      </w:r>
      <w:r>
        <w:rPr>
          <w:rFonts w:ascii="Times New Roman" w:eastAsia="Times New Roman" w:hAnsi="Times New Roman" w:cs="Times New Roman"/>
          <w:b w:val="0"/>
          <w:i w:val="0"/>
          <w:color w:val="000000"/>
          <w:sz w:val="20"/>
          <w:u w:val="none"/>
        </w:rPr>
        <w:t>9.6 million</w:t>
      </w:r>
      <w:r>
        <w:rPr>
          <w:rFonts w:ascii="Times New Roman" w:eastAsia="Times New Roman" w:hAnsi="Times New Roman" w:cs="Times New Roman"/>
          <w:b w:val="0"/>
          <w:i w:val="0"/>
          <w:color w:val="000000"/>
          <w:sz w:val="20"/>
          <w:u w:val="none"/>
        </w:rPr>
        <w:t xml:space="preserve"> shares of our common stock for </w:t>
      </w:r>
      <w:r>
        <w:rPr>
          <w:rFonts w:ascii="Times New Roman" w:eastAsia="Times New Roman" w:hAnsi="Times New Roman" w:cs="Times New Roman"/>
          <w:b w:val="0"/>
          <w:i w:val="0"/>
          <w:color w:val="000000"/>
          <w:sz w:val="20"/>
          <w:u w:val="none"/>
        </w:rPr>
        <w:t>$250 million</w:t>
      </w:r>
      <w:r>
        <w:rPr>
          <w:rFonts w:ascii="Times New Roman" w:eastAsia="Times New Roman" w:hAnsi="Times New Roman" w:cs="Times New Roman"/>
          <w:b w:val="0"/>
          <w:i w:val="0"/>
          <w:color w:val="000000"/>
          <w:sz w:val="20"/>
          <w:u w:val="none"/>
        </w:rPr>
        <w:t>.</w:t>
      </w:r>
    </w:p>
    <w:p>
      <w:pPr>
        <w:keepNext w:val="0"/>
        <w:keepLines w:val="0"/>
        <w:pageBreakBefore w:val="0"/>
        <w:widowControl/>
        <w:numPr>
          <w:ilvl w:val="0"/>
          <w:numId w:val="21"/>
        </w:numPr>
        <w:spacing w:before="0" w:after="120" w:line="288" w:lineRule="auto"/>
        <w:ind w:left="990" w:right="0" w:hanging="27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We paid </w:t>
      </w:r>
      <w:r>
        <w:rPr>
          <w:rFonts w:ascii="Times New Roman" w:eastAsia="Times New Roman" w:hAnsi="Times New Roman" w:cs="Times New Roman"/>
          <w:b w:val="0"/>
          <w:i w:val="0"/>
          <w:color w:val="000000"/>
          <w:sz w:val="20"/>
          <w:u w:val="none"/>
        </w:rPr>
        <w:t>$147 million</w:t>
      </w:r>
      <w:r>
        <w:rPr>
          <w:rFonts w:ascii="Times New Roman" w:eastAsia="Times New Roman" w:hAnsi="Times New Roman" w:cs="Times New Roman"/>
          <w:b w:val="0"/>
          <w:i w:val="0"/>
          <w:sz w:val="20"/>
        </w:rPr>
        <w:t xml:space="preserve"> of dividends to our shareholders</w:t>
      </w:r>
      <w:r>
        <w:rPr>
          <w:rFonts w:ascii="Times New Roman" w:eastAsia="Times New Roman" w:hAnsi="Times New Roman" w:cs="Times New Roman"/>
          <w:b w:val="0"/>
          <w:i w:val="0"/>
          <w:sz w:val="20"/>
        </w:rPr>
        <w:t>.</w:t>
      </w:r>
    </w:p>
    <w:p>
      <w:pPr>
        <w:keepNext w:val="0"/>
        <w:keepLines w:val="0"/>
        <w:pageBreakBefore w:val="0"/>
        <w:widowControl/>
        <w:numPr>
          <w:ilvl w:val="0"/>
          <w:numId w:val="22"/>
        </w:numPr>
        <w:spacing w:before="0" w:after="120" w:line="288" w:lineRule="auto"/>
        <w:ind w:left="990" w:right="0" w:hanging="27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We </w:t>
      </w:r>
      <w:r>
        <w:rPr>
          <w:rFonts w:ascii="Times New Roman" w:eastAsia="Times New Roman" w:hAnsi="Times New Roman" w:cs="Times New Roman"/>
          <w:b w:val="0"/>
          <w:i w:val="0"/>
          <w:sz w:val="20"/>
        </w:rPr>
        <w:t xml:space="preserve">paid $461 million </w:t>
      </w:r>
      <w:r>
        <w:rPr>
          <w:rFonts w:ascii="Times New Roman" w:eastAsia="Times New Roman" w:hAnsi="Times New Roman" w:cs="Times New Roman"/>
          <w:b w:val="0"/>
          <w:i w:val="0"/>
          <w:sz w:val="20"/>
        </w:rPr>
        <w:t>related t</w:t>
      </w:r>
      <w:r>
        <w:rPr>
          <w:rFonts w:ascii="Times New Roman" w:eastAsia="Times New Roman" w:hAnsi="Times New Roman" w:cs="Times New Roman"/>
          <w:b w:val="0"/>
          <w:i w:val="0"/>
          <w:sz w:val="20"/>
        </w:rPr>
        <w:t xml:space="preserve">o </w:t>
      </w:r>
      <w:r>
        <w:rPr>
          <w:rFonts w:ascii="Times New Roman" w:eastAsia="Times New Roman" w:hAnsi="Times New Roman" w:cs="Times New Roman"/>
          <w:b w:val="0"/>
          <w:i w:val="0"/>
          <w:sz w:val="20"/>
        </w:rPr>
        <w:t xml:space="preserve">a </w:t>
      </w:r>
      <w:r>
        <w:rPr>
          <w:rFonts w:ascii="Times New Roman" w:eastAsia="Times New Roman" w:hAnsi="Times New Roman" w:cs="Times New Roman"/>
          <w:b w:val="0"/>
          <w:i w:val="0"/>
          <w:sz w:val="20"/>
        </w:rPr>
        <w:t xml:space="preserve">purchase </w:t>
      </w:r>
      <w:r>
        <w:rPr>
          <w:rFonts w:ascii="Times New Roman" w:eastAsia="Times New Roman" w:hAnsi="Times New Roman" w:cs="Times New Roman"/>
          <w:b w:val="0"/>
          <w:i w:val="0"/>
          <w:sz w:val="20"/>
        </w:rPr>
        <w:t>o</w:t>
      </w:r>
      <w:r>
        <w:rPr>
          <w:rFonts w:ascii="Times New Roman" w:eastAsia="Times New Roman" w:hAnsi="Times New Roman" w:cs="Times New Roman"/>
          <w:b w:val="0"/>
          <w:i w:val="0"/>
          <w:sz w:val="20"/>
        </w:rPr>
        <w:t xml:space="preserve">f </w:t>
      </w:r>
      <w:r>
        <w:rPr>
          <w:rFonts w:ascii="Times New Roman" w:eastAsia="Times New Roman" w:hAnsi="Times New Roman" w:cs="Times New Roman"/>
          <w:b w:val="0"/>
          <w:i w:val="0"/>
          <w:sz w:val="20"/>
        </w:rPr>
        <w:t xml:space="preserve">an </w:t>
      </w:r>
      <w:r>
        <w:rPr>
          <w:rFonts w:ascii="Times New Roman" w:eastAsia="Times New Roman" w:hAnsi="Times New Roman" w:cs="Times New Roman"/>
          <w:b w:val="0"/>
          <w:i w:val="0"/>
          <w:sz w:val="20"/>
        </w:rPr>
        <w:t xml:space="preserve">equity </w:t>
      </w:r>
      <w:r>
        <w:rPr>
          <w:rFonts w:ascii="Times New Roman" w:eastAsia="Times New Roman" w:hAnsi="Times New Roman" w:cs="Times New Roman"/>
          <w:b w:val="0"/>
          <w:i w:val="0"/>
          <w:sz w:val="20"/>
        </w:rPr>
        <w:t>investment</w:t>
      </w:r>
      <w:r>
        <w:rPr>
          <w:rFonts w:ascii="Times New Roman" w:eastAsia="Times New Roman" w:hAnsi="Times New Roman" w:cs="Times New Roman"/>
          <w:b w:val="0"/>
          <w:i w:val="0"/>
          <w:sz w:val="20"/>
        </w:rPr>
        <w:t xml:space="preserve"> and </w:t>
      </w:r>
      <w:r>
        <w:rPr>
          <w:rFonts w:ascii="Times New Roman" w:eastAsia="Times New Roman" w:hAnsi="Times New Roman" w:cs="Times New Roman"/>
          <w:b w:val="0"/>
          <w:i w:val="0"/>
          <w:sz w:val="20"/>
        </w:rPr>
        <w:t xml:space="preserve">payments to </w:t>
      </w:r>
      <w:r>
        <w:rPr>
          <w:rFonts w:ascii="Times New Roman" w:eastAsia="Times New Roman" w:hAnsi="Times New Roman" w:cs="Times New Roman"/>
          <w:b w:val="0"/>
          <w:i w:val="0"/>
          <w:sz w:val="20"/>
        </w:rPr>
        <w:t>acquire businesses.</w:t>
      </w:r>
    </w:p>
    <w:p>
      <w:pPr>
        <w:keepNext/>
        <w:keepLines/>
        <w:pageBreakBefore w:val="0"/>
        <w:widowControl w:val="0"/>
        <w:numPr>
          <w:ilvl w:val="0"/>
          <w:numId w:val="0"/>
        </w:numPr>
        <w:spacing w:before="0" w:after="0" w:line="288" w:lineRule="auto"/>
        <w:ind w:left="270" w:right="0" w:firstLine="450"/>
        <w:jc w:val="both"/>
        <w:outlineLvl w:val="9"/>
        <w:rPr>
          <w:rFonts w:ascii="Times New Roman" w:eastAsia="Times New Roman" w:hAnsi="Times New Roman" w:cs="Times New Roman"/>
          <w:b/>
          <w:i/>
          <w:sz w:val="20"/>
        </w:rPr>
      </w:pPr>
    </w:p>
    <w:p>
      <w:pPr>
        <w:keepNext/>
        <w:keepLines/>
        <w:pageBreakBefore w:val="0"/>
        <w:widowControl w:val="0"/>
        <w:numPr>
          <w:ilvl w:val="0"/>
          <w:numId w:val="0"/>
        </w:numPr>
        <w:spacing w:before="0" w:after="0" w:line="288" w:lineRule="auto"/>
        <w:ind w:left="270" w:right="0" w:firstLine="450"/>
        <w:jc w:val="both"/>
        <w:outlineLvl w:val="9"/>
        <w:rPr>
          <w:rFonts w:ascii="Times New Roman" w:eastAsia="Times New Roman" w:hAnsi="Times New Roman" w:cs="Times New Roman"/>
          <w:b/>
          <w:i/>
          <w:sz w:val="20"/>
        </w:rPr>
      </w:pPr>
      <w:r>
        <w:rPr>
          <w:rFonts w:ascii="Times New Roman" w:eastAsia="Times New Roman" w:hAnsi="Times New Roman" w:cs="Times New Roman"/>
          <w:b/>
          <w:i/>
          <w:color w:val="000000"/>
          <w:sz w:val="20"/>
          <w:u w:val="none"/>
        </w:rPr>
        <w:t>Future sources and uses of cash</w:t>
      </w:r>
    </w:p>
    <w:p>
      <w:pPr>
        <w:keepNext w:val="0"/>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We manufacture most of our own equipment, which provides us with some flexibility to increase or decrease our capital expenditures based on market conditions. We currently expect capital spending for </w:t>
      </w:r>
      <w:r>
        <w:rPr>
          <w:rFonts w:ascii="Times New Roman" w:eastAsia="Times New Roman" w:hAnsi="Times New Roman" w:cs="Times New Roman"/>
          <w:b w:val="0"/>
          <w:i w:val="0"/>
          <w:color w:val="000000"/>
          <w:sz w:val="20"/>
          <w:u w:val="none"/>
        </w:rPr>
        <w:t>2025</w:t>
      </w:r>
      <w:r>
        <w:rPr>
          <w:rFonts w:ascii="Times New Roman" w:eastAsia="Times New Roman" w:hAnsi="Times New Roman" w:cs="Times New Roman"/>
          <w:b w:val="0"/>
          <w:i w:val="0"/>
          <w:color w:val="000000"/>
          <w:sz w:val="20"/>
          <w:u w:val="none"/>
        </w:rPr>
        <w:t xml:space="preserve"> to </w:t>
      </w:r>
      <w:r>
        <w:rPr>
          <w:rFonts w:ascii="Times New Roman" w:eastAsia="Times New Roman" w:hAnsi="Times New Roman" w:cs="Times New Roman"/>
          <w:b w:val="0"/>
          <w:i w:val="0"/>
          <w:color w:val="000000"/>
          <w:sz w:val="20"/>
          <w:u w:val="none"/>
        </w:rPr>
        <w:t>be approximately</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6%</w:t>
      </w:r>
      <w:r>
        <w:rPr>
          <w:rFonts w:ascii="Times New Roman" w:eastAsia="Times New Roman" w:hAnsi="Times New Roman" w:cs="Times New Roman"/>
          <w:b w:val="0"/>
          <w:i w:val="0"/>
          <w:color w:val="000000"/>
          <w:sz w:val="20"/>
          <w:u w:val="none"/>
        </w:rPr>
        <w:t xml:space="preserve"> of revenue. </w:t>
      </w:r>
      <w:r>
        <w:rPr>
          <w:rFonts w:ascii="Times New Roman" w:eastAsia="Times New Roman" w:hAnsi="Times New Roman" w:cs="Times New Roman"/>
          <w:b w:val="0"/>
          <w:i w:val="0"/>
          <w:color w:val="000000"/>
          <w:sz w:val="20"/>
          <w:u w:val="none"/>
        </w:rPr>
        <w:t>We believe this level of spend will allow us to invest in our key strategic technologies</w:t>
      </w:r>
      <w:r>
        <w:rPr>
          <w:rFonts w:ascii="Times New Roman" w:eastAsia="Times New Roman" w:hAnsi="Times New Roman" w:cs="Times New Roman"/>
          <w:b w:val="0"/>
          <w:i w:val="0"/>
          <w:color w:val="000000"/>
          <w:sz w:val="20"/>
          <w:u w:val="none"/>
        </w:rPr>
        <w:t xml:space="preserve"> and businesses</w:t>
      </w:r>
      <w:r>
        <w:rPr>
          <w:rFonts w:ascii="Times New Roman" w:eastAsia="Times New Roman" w:hAnsi="Times New Roman" w:cs="Times New Roman"/>
          <w:b w:val="0"/>
          <w:i w:val="0"/>
          <w:color w:val="000000"/>
          <w:sz w:val="20"/>
          <w:u w:val="none"/>
        </w:rPr>
        <w:t>, including the construction and depl</w:t>
      </w:r>
      <w:r>
        <w:rPr>
          <w:rFonts w:ascii="Times New Roman" w:eastAsia="Times New Roman" w:hAnsi="Times New Roman" w:cs="Times New Roman"/>
          <w:b w:val="0"/>
          <w:i w:val="0"/>
          <w:color w:val="000000"/>
          <w:sz w:val="20"/>
          <w:u w:val="none"/>
        </w:rPr>
        <w:t>oyment of our Zeus electric fracturing systems in North America</w:t>
      </w:r>
      <w:r>
        <w:rPr>
          <w:rFonts w:ascii="Times New Roman" w:eastAsia="Times New Roman" w:hAnsi="Times New Roman" w:cs="Times New Roman"/>
          <w:b w:val="0"/>
          <w:i w:val="0"/>
          <w:color w:val="000000"/>
          <w:sz w:val="20"/>
          <w:u w:val="none"/>
        </w:rPr>
        <w:t xml:space="preserve"> and the international growth of our artificial lift, well intervention, unconventionals, and drilling technol</w:t>
      </w:r>
      <w:r>
        <w:rPr>
          <w:rFonts w:ascii="Times New Roman" w:eastAsia="Times New Roman" w:hAnsi="Times New Roman" w:cs="Times New Roman"/>
          <w:b w:val="0"/>
          <w:i w:val="0"/>
          <w:color w:val="000000"/>
          <w:sz w:val="20"/>
          <w:u w:val="none"/>
        </w:rPr>
        <w:t>ogies.</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 xml:space="preserve">We will </w:t>
      </w:r>
      <w:r>
        <w:rPr>
          <w:rFonts w:ascii="Times New Roman" w:eastAsia="Times New Roman" w:hAnsi="Times New Roman" w:cs="Times New Roman"/>
          <w:b w:val="0"/>
          <w:i w:val="0"/>
          <w:color w:val="000000"/>
          <w:sz w:val="20"/>
          <w:u w:val="none"/>
        </w:rPr>
        <w:t xml:space="preserve">maintain </w:t>
      </w:r>
      <w:r>
        <w:rPr>
          <w:rFonts w:ascii="Times New Roman" w:eastAsia="Times New Roman" w:hAnsi="Times New Roman" w:cs="Times New Roman"/>
          <w:b w:val="0"/>
          <w:i w:val="0"/>
          <w:color w:val="000000"/>
          <w:sz w:val="20"/>
          <w:u w:val="none"/>
        </w:rPr>
        <w:t xml:space="preserve">our </w:t>
      </w:r>
      <w:r>
        <w:rPr>
          <w:rFonts w:ascii="Times New Roman" w:eastAsia="Times New Roman" w:hAnsi="Times New Roman" w:cs="Times New Roman"/>
          <w:b w:val="0"/>
          <w:i w:val="0"/>
          <w:color w:val="000000"/>
          <w:sz w:val="20"/>
          <w:u w:val="none"/>
        </w:rPr>
        <w:t xml:space="preserve">capital discipline and </w:t>
      </w:r>
      <w:r>
        <w:rPr>
          <w:rFonts w:ascii="Times New Roman" w:eastAsia="Times New Roman" w:hAnsi="Times New Roman" w:cs="Times New Roman"/>
          <w:b w:val="0"/>
          <w:i w:val="0"/>
          <w:color w:val="000000"/>
          <w:sz w:val="20"/>
          <w:u w:val="none"/>
        </w:rPr>
        <w:t xml:space="preserve">we may adjust our capital spend </w:t>
      </w:r>
      <w:r>
        <w:rPr>
          <w:rFonts w:ascii="Times New Roman" w:eastAsia="Times New Roman" w:hAnsi="Times New Roman" w:cs="Times New Roman"/>
          <w:b w:val="0"/>
          <w:i w:val="0"/>
          <w:color w:val="000000"/>
          <w:sz w:val="20"/>
          <w:u w:val="none"/>
        </w:rPr>
        <w:t>to address changing market dynamics.</w:t>
      </w:r>
    </w:p>
    <w:p>
      <w:pPr>
        <w:keepNext w:val="0"/>
        <w:keepLines/>
        <w:pageBreakBefore w:val="0"/>
        <w:widowControl w:val="0"/>
        <w:numPr>
          <w:ilvl w:val="0"/>
          <w:numId w:val="0"/>
        </w:numPr>
        <w:spacing w:before="0" w:after="160" w:line="288" w:lineRule="auto"/>
        <w:ind w:left="0" w:right="0" w:firstLine="720"/>
        <w:jc w:val="both"/>
        <w:outlineLvl w:val="9"/>
        <w:sectPr>
          <w:headerReference w:type="default" r:id="rId80"/>
          <w:footerReference w:type="default" r:id="rId81"/>
          <w:headerReference w:type="first" r:id="rId82"/>
          <w:footerReference w:type="first" r:id="rId83"/>
          <w:type w:val="continuous"/>
          <w:pgSz w:w="12240" w:h="15840"/>
          <w:pgMar w:top="900" w:right="990" w:bottom="900" w:left="990" w:header="270" w:footer="270"/>
          <w:cols w:space="708"/>
          <w:titlePg/>
        </w:sectPr>
      </w:pPr>
    </w:p>
    <w:p>
      <w:pPr>
        <w:keepNext/>
        <w:keepLines/>
        <w:pageBreakBefore w:val="0"/>
        <w:widowControl w:val="0"/>
        <w:numPr>
          <w:ilvl w:val="0"/>
          <w:numId w:val="0"/>
        </w:numPr>
        <w:spacing w:before="0" w:after="160" w:line="288" w:lineRule="auto"/>
        <w:ind w:left="0" w:right="0" w:firstLine="720"/>
        <w:jc w:val="both"/>
        <w:outlineLvl w:val="2"/>
        <w:rPr>
          <w:rFonts w:ascii="Times New Roman" w:eastAsia="Times New Roman" w:hAnsi="Times New Roman" w:cs="Times New Roman"/>
          <w:b/>
          <w:i/>
          <w:color w:val="000000"/>
          <w:sz w:val="24"/>
          <w:u w:val="none"/>
          <w:shd w:val="clear" w:color="auto" w:fill="FFFF00"/>
        </w:rPr>
      </w:pPr>
      <w:bookmarkStart w:id="40" w:name="Section41"/>
      <w:bookmarkEnd w:id="40"/>
      <w:r>
        <w:rPr>
          <w:rFonts w:ascii="Times New Roman" w:eastAsia="Times New Roman" w:hAnsi="Times New Roman" w:cs="Times New Roman"/>
          <w:b w:val="0"/>
          <w:i w:val="0"/>
          <w:sz w:val="20"/>
        </w:rPr>
        <w:t xml:space="preserve">While we maintain focus on liquidity and debt reduction, we are also focused on providing cash returns to our shareholders. Our quarterly dividend rate is </w:t>
      </w:r>
      <w:r>
        <w:rPr>
          <w:rFonts w:ascii="Times New Roman" w:eastAsia="Times New Roman" w:hAnsi="Times New Roman" w:cs="Times New Roman"/>
          <w:b w:val="0"/>
          <w:i w:val="0"/>
          <w:color w:val="000000"/>
          <w:sz w:val="20"/>
          <w:u w:val="none"/>
        </w:rPr>
        <w:t>$0.17</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 xml:space="preserve">per common share, or approximately </w:t>
      </w:r>
      <w:r>
        <w:rPr>
          <w:rFonts w:ascii="Times New Roman" w:eastAsia="Times New Roman" w:hAnsi="Times New Roman" w:cs="Times New Roman"/>
          <w:b w:val="0"/>
          <w:i w:val="0"/>
          <w:color w:val="000000"/>
          <w:sz w:val="20"/>
          <w:u w:val="none"/>
        </w:rPr>
        <w:t>$147 million</w:t>
      </w:r>
      <w:r>
        <w:rPr>
          <w:rFonts w:ascii="Times New Roman" w:eastAsia="Times New Roman" w:hAnsi="Times New Roman" w:cs="Times New Roman"/>
          <w:b w:val="0"/>
          <w:i w:val="0"/>
          <w:sz w:val="20"/>
        </w:rPr>
        <w:t xml:space="preserve">. In 2023, our Board approved a capital return framework with a goal of </w:t>
      </w:r>
      <w:r>
        <w:rPr>
          <w:rFonts w:ascii="Times New Roman" w:eastAsia="Times New Roman" w:hAnsi="Times New Roman" w:cs="Times New Roman"/>
          <w:b w:val="0"/>
          <w:i w:val="0"/>
          <w:color w:val="000000"/>
          <w:sz w:val="20"/>
          <w:u w:val="none"/>
        </w:rPr>
        <w:t xml:space="preserve">returning at least 50% of our annual free cash flow to shareholders through dividends and share repurchases and we expect our returns to shareholders will be in line with our capital return framework for </w:t>
      </w:r>
      <w:r>
        <w:rPr>
          <w:rFonts w:ascii="Times New Roman" w:eastAsia="Times New Roman" w:hAnsi="Times New Roman" w:cs="Times New Roman"/>
          <w:b w:val="0"/>
          <w:i w:val="0"/>
          <w:color w:val="000000"/>
          <w:sz w:val="20"/>
          <w:u w:val="none"/>
        </w:rPr>
        <w:t>2025</w:t>
      </w:r>
      <w:r>
        <w:rPr>
          <w:rFonts w:ascii="Times New Roman" w:eastAsia="Times New Roman" w:hAnsi="Times New Roman" w:cs="Times New Roman"/>
          <w:b w:val="0"/>
          <w:i w:val="0"/>
          <w:color w:val="000000"/>
          <w:sz w:val="20"/>
          <w:u w:val="none"/>
        </w:rPr>
        <w:t xml:space="preserve">. </w:t>
      </w:r>
    </w:p>
    <w:p>
      <w:pPr>
        <w:keepNext w:val="0"/>
        <w:keepLines w:val="0"/>
        <w:pageBreakBefore w:val="0"/>
        <w:widowControl/>
        <w:numPr>
          <w:ilvl w:val="0"/>
          <w:numId w:val="0"/>
        </w:numPr>
        <w:spacing w:before="0" w:after="160" w:line="288" w:lineRule="auto"/>
        <w:ind w:left="0" w:right="0" w:firstLine="720"/>
        <w:jc w:val="both"/>
        <w:outlineLvl w:val="9"/>
        <w:rPr>
          <w:rFonts w:ascii="Times New Roman" w:eastAsia="Times New Roman" w:hAnsi="Times New Roman" w:cs="Times New Roman"/>
          <w:b/>
          <w:i/>
          <w:color w:val="000000"/>
          <w:sz w:val="20"/>
          <w:u w:val="none"/>
          <w:shd w:val="clear" w:color="auto" w:fill="FFFF00"/>
        </w:rPr>
      </w:pPr>
      <w:r>
        <w:rPr>
          <w:rFonts w:ascii="Times New Roman" w:eastAsia="Times New Roman" w:hAnsi="Times New Roman" w:cs="Times New Roman"/>
          <w:b w:val="0"/>
          <w:i w:val="0"/>
          <w:sz w:val="20"/>
        </w:rPr>
        <w:t>We may utilize share repurchases as part of our capital return framework.</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 xml:space="preserve">Our Board of Directors has authorized a program to repurchase our common stock from time to time. </w:t>
      </w:r>
      <w:r>
        <w:rPr>
          <w:rFonts w:ascii="Times New Roman" w:eastAsia="Times New Roman" w:hAnsi="Times New Roman" w:cs="Times New Roman"/>
          <w:b w:val="0"/>
          <w:i w:val="0"/>
          <w:color w:val="000000"/>
          <w:sz w:val="20"/>
          <w:u w:val="none"/>
        </w:rPr>
        <w:t xml:space="preserve">We repurchased </w:t>
      </w:r>
      <w:r>
        <w:rPr>
          <w:rFonts w:ascii="Times New Roman" w:eastAsia="Times New Roman" w:hAnsi="Times New Roman" w:cs="Times New Roman"/>
          <w:b w:val="0"/>
          <w:i w:val="0"/>
          <w:color w:val="000000"/>
          <w:sz w:val="20"/>
          <w:u w:val="none"/>
        </w:rPr>
        <w:t>9.6 million</w:t>
      </w:r>
      <w:r>
        <w:rPr>
          <w:rFonts w:ascii="Times New Roman" w:eastAsia="Times New Roman" w:hAnsi="Times New Roman" w:cs="Times New Roman"/>
          <w:b w:val="0"/>
          <w:i w:val="0"/>
          <w:color w:val="000000"/>
          <w:sz w:val="20"/>
          <w:u w:val="none"/>
        </w:rPr>
        <w:t xml:space="preserve"> shares of common stock during the </w:t>
      </w:r>
      <w:r>
        <w:rPr>
          <w:rFonts w:ascii="Times New Roman" w:eastAsia="Times New Roman" w:hAnsi="Times New Roman" w:cs="Times New Roman"/>
          <w:b w:val="0"/>
          <w:i w:val="0"/>
          <w:color w:val="000000"/>
          <w:sz w:val="20"/>
          <w:u w:val="none"/>
        </w:rPr>
        <w:t>first quarter of</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2025</w:t>
      </w:r>
      <w:r>
        <w:rPr>
          <w:rFonts w:ascii="Times New Roman" w:eastAsia="Times New Roman" w:hAnsi="Times New Roman" w:cs="Times New Roman"/>
          <w:b w:val="0"/>
          <w:i w:val="0"/>
          <w:color w:val="000000"/>
          <w:sz w:val="20"/>
          <w:u w:val="none"/>
        </w:rPr>
        <w:t xml:space="preserve"> under this program. Approximately </w:t>
      </w:r>
      <w:r>
        <w:rPr>
          <w:rFonts w:ascii="Times New Roman" w:eastAsia="Times New Roman" w:hAnsi="Times New Roman" w:cs="Times New Roman"/>
          <w:b w:val="0"/>
          <w:i w:val="0"/>
          <w:color w:val="000000"/>
          <w:sz w:val="20"/>
          <w:u w:val="none"/>
        </w:rPr>
        <w:t>$2.8 billion</w:t>
      </w:r>
      <w:r>
        <w:rPr>
          <w:rFonts w:ascii="Times New Roman" w:eastAsia="Times New Roman" w:hAnsi="Times New Roman" w:cs="Times New Roman"/>
          <w:b w:val="0"/>
          <w:i w:val="0"/>
          <w:color w:val="000000"/>
          <w:sz w:val="20"/>
          <w:u w:val="none"/>
        </w:rPr>
        <w:t xml:space="preserve"> remained authorized for repurchases as of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color w:val="000000"/>
          <w:sz w:val="20"/>
          <w:u w:val="none"/>
        </w:rPr>
        <w:t xml:space="preserve"> and may be used for open market and other share purchases.</w:t>
      </w:r>
    </w:p>
    <w:p>
      <w:pPr>
        <w:keepNext/>
        <w:keepLines/>
        <w:pageBreakBefore w:val="0"/>
        <w:widowControl w:val="0"/>
        <w:numPr>
          <w:ilvl w:val="0"/>
          <w:numId w:val="0"/>
        </w:numPr>
        <w:spacing w:before="0" w:after="120" w:line="288" w:lineRule="auto"/>
        <w:ind w:left="0" w:right="0" w:firstLine="720"/>
        <w:jc w:val="both"/>
        <w:outlineLvl w:val="9"/>
        <w:rPr>
          <w:rFonts w:ascii="Times New Roman" w:eastAsia="Times New Roman" w:hAnsi="Times New Roman" w:cs="Times New Roman"/>
          <w:b/>
          <w:i/>
          <w:sz w:val="24"/>
        </w:rPr>
      </w:pPr>
      <w:r>
        <w:rPr>
          <w:rFonts w:ascii="Times New Roman" w:eastAsia="Times New Roman" w:hAnsi="Times New Roman" w:cs="Times New Roman"/>
          <w:b w:val="0"/>
          <w:i w:val="0"/>
          <w:color w:val="000000"/>
          <w:sz w:val="20"/>
          <w:u w:val="none"/>
        </w:rPr>
        <w:t xml:space="preserve">During 2023, we began our migration to SAP S4 which we expect to complete in the first half of </w:t>
      </w:r>
      <w:r>
        <w:rPr>
          <w:rFonts w:ascii="Times New Roman" w:eastAsia="Times New Roman" w:hAnsi="Times New Roman" w:cs="Times New Roman"/>
          <w:b w:val="0"/>
          <w:i w:val="0"/>
          <w:color w:val="000000"/>
          <w:sz w:val="20"/>
          <w:u w:val="none"/>
        </w:rPr>
        <w:t>2026</w:t>
      </w:r>
      <w:r>
        <w:rPr>
          <w:rFonts w:ascii="Times New Roman" w:eastAsia="Times New Roman" w:hAnsi="Times New Roman" w:cs="Times New Roman"/>
          <w:b w:val="0"/>
          <w:i w:val="0"/>
          <w:color w:val="000000"/>
          <w:sz w:val="20"/>
          <w:u w:val="none"/>
        </w:rPr>
        <w:t>.</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 xml:space="preserve">During the </w:t>
      </w:r>
      <w:r>
        <w:rPr>
          <w:rFonts w:ascii="Times New Roman" w:eastAsia="Times New Roman" w:hAnsi="Times New Roman" w:cs="Times New Roman"/>
          <w:b w:val="0"/>
          <w:i w:val="0"/>
          <w:color w:val="000000"/>
          <w:sz w:val="20"/>
          <w:u w:val="none"/>
        </w:rPr>
        <w:t xml:space="preserve">three months ended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color w:val="000000"/>
          <w:sz w:val="20"/>
          <w:u w:val="none"/>
        </w:rPr>
        <w:t xml:space="preserve"> w</w:t>
      </w:r>
      <w:r>
        <w:rPr>
          <w:rFonts w:ascii="Times New Roman" w:eastAsia="Times New Roman" w:hAnsi="Times New Roman" w:cs="Times New Roman"/>
          <w:b w:val="0"/>
          <w:i w:val="0"/>
          <w:color w:val="000000"/>
          <w:sz w:val="20"/>
          <w:u w:val="none"/>
        </w:rPr>
        <w:t xml:space="preserve">e </w:t>
      </w:r>
      <w:r>
        <w:rPr>
          <w:rFonts w:ascii="Times New Roman" w:eastAsia="Times New Roman" w:hAnsi="Times New Roman" w:cs="Times New Roman"/>
          <w:b w:val="0"/>
          <w:i w:val="0"/>
          <w:color w:val="000000"/>
          <w:sz w:val="20"/>
          <w:u w:val="none"/>
        </w:rPr>
        <w:t xml:space="preserve">incurred </w:t>
      </w:r>
      <w:r>
        <w:rPr>
          <w:rFonts w:ascii="Times New Roman" w:eastAsia="Times New Roman" w:hAnsi="Times New Roman" w:cs="Times New Roman"/>
          <w:b w:val="0"/>
          <w:i w:val="0"/>
          <w:color w:val="000000"/>
          <w:sz w:val="20"/>
          <w:u w:val="none"/>
        </w:rPr>
        <w:t>$30 million</w:t>
      </w:r>
      <w:r>
        <w:rPr>
          <w:rFonts w:ascii="Times New Roman" w:eastAsia="Times New Roman" w:hAnsi="Times New Roman" w:cs="Times New Roman"/>
          <w:b w:val="0"/>
          <w:i w:val="0"/>
          <w:color w:val="000000"/>
          <w:sz w:val="20"/>
          <w:u w:val="none"/>
        </w:rPr>
        <w:t xml:space="preserve"> in expense on our</w:t>
      </w:r>
      <w:r>
        <w:rPr>
          <w:rFonts w:ascii="Times New Roman" w:eastAsia="Times New Roman" w:hAnsi="Times New Roman" w:cs="Times New Roman"/>
          <w:b w:val="0"/>
          <w:i w:val="0"/>
          <w:color w:val="000000"/>
          <w:sz w:val="20"/>
          <w:u w:val="none"/>
        </w:rPr>
        <w:t xml:space="preserve"> SAP S4</w:t>
      </w:r>
      <w:r>
        <w:rPr>
          <w:rFonts w:ascii="Times New Roman" w:eastAsia="Times New Roman" w:hAnsi="Times New Roman" w:cs="Times New Roman"/>
          <w:b w:val="0"/>
          <w:i w:val="0"/>
          <w:color w:val="000000"/>
          <w:sz w:val="20"/>
          <w:u w:val="none"/>
        </w:rPr>
        <w:t xml:space="preserve"> mig</w:t>
      </w:r>
      <w:r>
        <w:rPr>
          <w:rFonts w:ascii="Times New Roman" w:eastAsia="Times New Roman" w:hAnsi="Times New Roman" w:cs="Times New Roman"/>
          <w:b w:val="0"/>
          <w:i w:val="0"/>
          <w:color w:val="000000"/>
          <w:sz w:val="20"/>
          <w:u w:val="none"/>
        </w:rPr>
        <w:t>ration</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The total project investment</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 xml:space="preserve">is </w:t>
      </w:r>
      <w:r>
        <w:rPr>
          <w:rFonts w:ascii="Times New Roman" w:eastAsia="Times New Roman" w:hAnsi="Times New Roman" w:cs="Times New Roman"/>
          <w:b w:val="0"/>
          <w:i w:val="0"/>
          <w:color w:val="000000"/>
          <w:sz w:val="20"/>
          <w:u w:val="none"/>
        </w:rPr>
        <w:t>estimated</w:t>
      </w:r>
      <w:r>
        <w:rPr>
          <w:rFonts w:ascii="Times New Roman" w:eastAsia="Times New Roman" w:hAnsi="Times New Roman" w:cs="Times New Roman"/>
          <w:b w:val="0"/>
          <w:i w:val="0"/>
          <w:color w:val="000000"/>
          <w:sz w:val="20"/>
          <w:u w:val="none"/>
        </w:rPr>
        <w:t xml:space="preserve"> to </w:t>
      </w:r>
      <w:r>
        <w:rPr>
          <w:rFonts w:ascii="Times New Roman" w:eastAsia="Times New Roman" w:hAnsi="Times New Roman" w:cs="Times New Roman"/>
          <w:b w:val="0"/>
          <w:i w:val="0"/>
          <w:color w:val="000000"/>
          <w:sz w:val="20"/>
          <w:u w:val="none"/>
        </w:rPr>
        <w:t>cost</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 xml:space="preserve">approximately </w:t>
      </w:r>
      <w:r>
        <w:rPr>
          <w:rFonts w:ascii="Times New Roman" w:eastAsia="Times New Roman" w:hAnsi="Times New Roman" w:cs="Times New Roman"/>
          <w:b w:val="0"/>
          <w:i w:val="0"/>
          <w:color w:val="000000"/>
          <w:sz w:val="20"/>
          <w:u w:val="none"/>
        </w:rPr>
        <w:t>$</w:t>
      </w:r>
      <w:r>
        <w:rPr>
          <w:rFonts w:ascii="Times New Roman" w:eastAsia="Times New Roman" w:hAnsi="Times New Roman" w:cs="Times New Roman"/>
          <w:b w:val="0"/>
          <w:i w:val="0"/>
          <w:color w:val="000000"/>
          <w:sz w:val="20"/>
          <w:u w:val="none"/>
        </w:rPr>
        <w:t>27</w:t>
      </w:r>
      <w:r>
        <w:rPr>
          <w:rFonts w:ascii="Times New Roman" w:eastAsia="Times New Roman" w:hAnsi="Times New Roman" w:cs="Times New Roman"/>
          <w:b w:val="0"/>
          <w:i w:val="0"/>
          <w:color w:val="000000"/>
          <w:sz w:val="20"/>
          <w:u w:val="none"/>
        </w:rPr>
        <w:t>0 millio</w:t>
      </w:r>
      <w:r>
        <w:rPr>
          <w:rFonts w:ascii="Times New Roman" w:eastAsia="Times New Roman" w:hAnsi="Times New Roman" w:cs="Times New Roman"/>
          <w:b w:val="0"/>
          <w:i w:val="0"/>
          <w:color w:val="000000"/>
          <w:sz w:val="20"/>
          <w:u w:val="none"/>
        </w:rPr>
        <w:t>n</w:t>
      </w:r>
      <w:r>
        <w:rPr>
          <w:rFonts w:ascii="Times New Roman" w:eastAsia="Times New Roman" w:hAnsi="Times New Roman" w:cs="Times New Roman"/>
          <w:b w:val="0"/>
          <w:i w:val="0"/>
          <w:color w:val="000000"/>
          <w:sz w:val="20"/>
          <w:u w:val="none"/>
        </w:rPr>
        <w:t>.</w:t>
      </w:r>
      <w:r>
        <w:rPr>
          <w:rFonts w:ascii="Times New Roman" w:eastAsia="Times New Roman" w:hAnsi="Times New Roman" w:cs="Times New Roman"/>
          <w:b w:val="0"/>
          <w:i w:val="0"/>
          <w:color w:val="000000"/>
          <w:sz w:val="20"/>
          <w:u w:val="none"/>
        </w:rPr>
        <w:t xml:space="preserve"> We believe th</w:t>
      </w:r>
      <w:r>
        <w:rPr>
          <w:rFonts w:ascii="Times New Roman" w:eastAsia="Times New Roman" w:hAnsi="Times New Roman" w:cs="Times New Roman"/>
          <w:b w:val="0"/>
          <w:i w:val="0"/>
          <w:color w:val="000000"/>
          <w:sz w:val="20"/>
          <w:u w:val="none"/>
        </w:rPr>
        <w:t xml:space="preserve">e new system will provide important efficiency benefits, cost savings, enhanced visibility to our operations, and advanced analytics that will benefit us and our customers. </w:t>
      </w:r>
    </w:p>
    <w:p>
      <w:pPr>
        <w:keepNext/>
        <w:keepLines/>
        <w:pageBreakBefore w:val="0"/>
        <w:widowControl w:val="0"/>
        <w:numPr>
          <w:ilvl w:val="0"/>
          <w:numId w:val="0"/>
        </w:numPr>
        <w:spacing w:before="0" w:after="120" w:line="288" w:lineRule="auto"/>
        <w:ind w:left="0" w:right="0" w:firstLine="720"/>
        <w:jc w:val="both"/>
        <w:outlineLvl w:val="9"/>
        <w:rPr>
          <w:rFonts w:ascii="Times New Roman" w:eastAsia="Times New Roman" w:hAnsi="Times New Roman" w:cs="Times New Roman"/>
          <w:b/>
          <w:i/>
          <w:color w:val="000000"/>
          <w:sz w:val="20"/>
          <w:u w:val="none"/>
          <w:shd w:val="clear" w:color="auto" w:fill="FFFF00"/>
        </w:rPr>
      </w:pPr>
      <w:r>
        <w:rPr>
          <w:rFonts w:ascii="Times New Roman" w:eastAsia="Times New Roman" w:hAnsi="Times New Roman" w:cs="Times New Roman"/>
          <w:b w:val="0"/>
          <w:i w:val="0"/>
          <w:sz w:val="20"/>
        </w:rPr>
        <w:t xml:space="preserve">Currently, </w:t>
      </w:r>
      <w:r>
        <w:rPr>
          <w:rFonts w:ascii="Times New Roman" w:eastAsia="Times New Roman" w:hAnsi="Times New Roman" w:cs="Times New Roman"/>
          <w:b w:val="0"/>
          <w:i w:val="0"/>
          <w:sz w:val="20"/>
        </w:rPr>
        <w:t>w</w:t>
      </w:r>
      <w:r>
        <w:rPr>
          <w:rFonts w:ascii="Times New Roman" w:eastAsia="Times New Roman" w:hAnsi="Times New Roman" w:cs="Times New Roman"/>
          <w:b w:val="0"/>
          <w:i w:val="0"/>
          <w:color w:val="000000"/>
          <w:sz w:val="20"/>
          <w:u w:val="none"/>
        </w:rPr>
        <w:t xml:space="preserve">e do not intend to incur additional debt in </w:t>
      </w:r>
      <w:r>
        <w:rPr>
          <w:rFonts w:ascii="Times New Roman" w:eastAsia="Times New Roman" w:hAnsi="Times New Roman" w:cs="Times New Roman"/>
          <w:b w:val="0"/>
          <w:i w:val="0"/>
          <w:color w:val="000000"/>
          <w:sz w:val="20"/>
          <w:u w:val="none"/>
        </w:rPr>
        <w:t>2025</w:t>
      </w:r>
      <w:r>
        <w:rPr>
          <w:rFonts w:ascii="Times New Roman" w:eastAsia="Times New Roman" w:hAnsi="Times New Roman" w:cs="Times New Roman"/>
          <w:b w:val="0"/>
          <w:i w:val="0"/>
          <w:color w:val="000000"/>
          <w:sz w:val="20"/>
          <w:u w:val="none"/>
        </w:rPr>
        <w:t>, as we believe our cash on hand and earnings from operations are sufficient to cover our obligations for the year.</w:t>
      </w:r>
    </w:p>
    <w:p>
      <w:pPr>
        <w:keepNext/>
        <w:keepLines/>
        <w:pageBreakBefore w:val="0"/>
        <w:widowControl w:val="0"/>
        <w:numPr>
          <w:ilvl w:val="0"/>
          <w:numId w:val="0"/>
        </w:numPr>
        <w:spacing w:before="0" w:after="0" w:line="288" w:lineRule="auto"/>
        <w:ind w:left="0" w:right="0" w:firstLine="720"/>
        <w:jc w:val="left"/>
        <w:outlineLvl w:val="9"/>
        <w:rPr>
          <w:rFonts w:ascii="Times New Roman" w:eastAsia="Times New Roman" w:hAnsi="Times New Roman" w:cs="Times New Roman"/>
          <w:b/>
          <w:i/>
          <w:sz w:val="20"/>
        </w:rPr>
      </w:pPr>
      <w:r>
        <w:rPr>
          <w:rFonts w:ascii="Times New Roman" w:eastAsia="Times New Roman" w:hAnsi="Times New Roman" w:cs="Times New Roman"/>
          <w:b/>
          <w:i/>
          <w:color w:val="000000"/>
          <w:sz w:val="20"/>
          <w:u w:val="none"/>
        </w:rPr>
        <w:t>Other factors affecting liquidity</w:t>
      </w:r>
    </w:p>
    <w:p>
      <w:pPr>
        <w:keepNext w:val="0"/>
        <w:keepLines w:val="0"/>
        <w:pageBreakBefore w:val="0"/>
        <w:widowControl/>
        <w:numPr>
          <w:ilvl w:val="0"/>
          <w:numId w:val="0"/>
        </w:numPr>
        <w:spacing w:before="0" w:after="160" w:line="288" w:lineRule="auto"/>
        <w:ind w:left="0" w:right="0" w:firstLine="720"/>
        <w:jc w:val="both"/>
        <w:outlineLvl w:val="9"/>
        <w:rPr>
          <w:rFonts w:ascii="Times New Roman" w:eastAsia="Times New Roman" w:hAnsi="Times New Roman" w:cs="Times New Roman"/>
          <w:b/>
          <w:i/>
          <w:color w:val="000000"/>
          <w:sz w:val="24"/>
          <w:u w:val="none"/>
        </w:rPr>
      </w:pPr>
      <w:r>
        <w:rPr>
          <w:rFonts w:ascii="Times New Roman" w:eastAsia="Times New Roman" w:hAnsi="Times New Roman" w:cs="Times New Roman"/>
          <w:b w:val="0"/>
          <w:i/>
          <w:color w:val="000000"/>
          <w:sz w:val="20"/>
          <w:u w:val="none"/>
        </w:rPr>
        <w:t>Financial</w:t>
      </w:r>
      <w:r>
        <w:rPr>
          <w:rFonts w:ascii="Times New Roman" w:eastAsia="Times New Roman" w:hAnsi="Times New Roman" w:cs="Times New Roman"/>
          <w:b w:val="0"/>
          <w:i/>
          <w:sz w:val="20"/>
        </w:rPr>
        <w:t xml:space="preserve"> condition in current market.</w:t>
      </w:r>
      <w:r>
        <w:rPr>
          <w:rFonts w:ascii="Times New Roman" w:eastAsia="Times New Roman" w:hAnsi="Times New Roman" w:cs="Times New Roman"/>
          <w:b w:val="0"/>
          <w:i w:val="0"/>
          <w:sz w:val="20"/>
        </w:rPr>
        <w:t xml:space="preserve"> As of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sz w:val="20"/>
        </w:rPr>
        <w:t xml:space="preserve">, we had </w:t>
      </w:r>
      <w:r>
        <w:rPr>
          <w:rFonts w:ascii="Times New Roman" w:eastAsia="Times New Roman" w:hAnsi="Times New Roman" w:cs="Times New Roman"/>
          <w:b w:val="0"/>
          <w:i w:val="0"/>
          <w:color w:val="000000"/>
          <w:sz w:val="20"/>
          <w:u w:val="none"/>
        </w:rPr>
        <w:t>$1.8 billion</w:t>
      </w:r>
      <w:r>
        <w:rPr>
          <w:rFonts w:ascii="Times New Roman" w:eastAsia="Times New Roman" w:hAnsi="Times New Roman" w:cs="Times New Roman"/>
          <w:b w:val="0"/>
          <w:i w:val="0"/>
          <w:sz w:val="20"/>
        </w:rPr>
        <w:t xml:space="preserve"> of cash and equivalents and </w:t>
      </w:r>
      <w:r>
        <w:rPr>
          <w:rFonts w:ascii="Times New Roman" w:eastAsia="Times New Roman" w:hAnsi="Times New Roman" w:cs="Times New Roman"/>
          <w:b w:val="0"/>
          <w:i w:val="0"/>
          <w:color w:val="000000"/>
          <w:sz w:val="20"/>
          <w:u w:val="none"/>
        </w:rPr>
        <w:t>$3.5 billion</w:t>
      </w:r>
      <w:r>
        <w:rPr>
          <w:rFonts w:ascii="Times New Roman" w:eastAsia="Times New Roman" w:hAnsi="Times New Roman" w:cs="Times New Roman"/>
          <w:b w:val="0"/>
          <w:i w:val="0"/>
          <w:sz w:val="20"/>
        </w:rPr>
        <w:t xml:space="preserve"> of available committed bank credit under a revolving credit facility with an expiration date of April 27, 2027. </w:t>
      </w:r>
      <w:r>
        <w:rPr>
          <w:rFonts w:ascii="Times New Roman" w:eastAsia="Times New Roman" w:hAnsi="Times New Roman" w:cs="Times New Roman"/>
          <w:b w:val="0"/>
          <w:i w:val="0"/>
          <w:color w:val="000000"/>
          <w:sz w:val="20"/>
          <w:u w:val="none"/>
        </w:rPr>
        <w:t xml:space="preserve">We believe we have a manageable debt maturity profile, with approximately </w:t>
      </w:r>
      <w:r>
        <w:rPr>
          <w:rFonts w:ascii="Times New Roman" w:eastAsia="Times New Roman" w:hAnsi="Times New Roman" w:cs="Times New Roman"/>
          <w:b w:val="0"/>
          <w:i w:val="0"/>
          <w:color w:val="000000"/>
          <w:sz w:val="20"/>
          <w:u w:val="none"/>
        </w:rPr>
        <w:t>$471 million</w:t>
      </w:r>
      <w:r>
        <w:rPr>
          <w:rFonts w:ascii="Times New Roman" w:eastAsia="Times New Roman" w:hAnsi="Times New Roman" w:cs="Times New Roman"/>
          <w:b w:val="0"/>
          <w:i w:val="0"/>
          <w:color w:val="000000"/>
          <w:sz w:val="20"/>
          <w:u w:val="none"/>
        </w:rPr>
        <w:t xml:space="preserve"> c</w:t>
      </w:r>
      <w:r>
        <w:rPr>
          <w:rFonts w:ascii="Times New Roman" w:eastAsia="Times New Roman" w:hAnsi="Times New Roman" w:cs="Times New Roman"/>
          <w:b w:val="0"/>
          <w:i w:val="0"/>
          <w:color w:val="000000"/>
          <w:sz w:val="20"/>
          <w:u w:val="none"/>
        </w:rPr>
        <w:t>oming due beginning in 2025</w:t>
      </w:r>
      <w:r>
        <w:rPr>
          <w:rFonts w:ascii="Times New Roman" w:eastAsia="Times New Roman" w:hAnsi="Times New Roman" w:cs="Times New Roman"/>
          <w:b w:val="0"/>
          <w:i w:val="0"/>
          <w:color w:val="000000"/>
          <w:sz w:val="20"/>
          <w:u w:val="none"/>
        </w:rPr>
        <w:t xml:space="preserve"> through 2027, with the majority due in 2025.</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color w:val="000000"/>
          <w:sz w:val="20"/>
          <w:u w:val="none"/>
        </w:rPr>
        <w:t xml:space="preserve">Furthermore, </w:t>
      </w:r>
      <w:r>
        <w:rPr>
          <w:rFonts w:ascii="Times New Roman" w:eastAsia="Times New Roman" w:hAnsi="Times New Roman" w:cs="Times New Roman"/>
          <w:b w:val="0"/>
          <w:i w:val="0"/>
          <w:color w:val="000000"/>
          <w:sz w:val="20"/>
          <w:u w:val="none"/>
        </w:rPr>
        <w:t>we have no financial covenants or material adverse change provisions in our bank agreements</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sz w:val="20"/>
        </w:rPr>
        <w:t xml:space="preserve">and our debt maturities extend over a long period of time. We believe our cash on hand, cash flows generated from operations, and our available credit facility will provide sufficient liquidity to address the challenges and opportunities of the current market and our expected global cash needs, including capital expenditures, working capital investments, shareholder returns, if any, debt repurchases, if any, and scheduled interest and principal payments. </w:t>
      </w:r>
    </w:p>
    <w:p>
      <w:pPr>
        <w:keepNext w:val="0"/>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sz w:val="20"/>
        </w:rPr>
      </w:pPr>
      <w:r>
        <w:rPr>
          <w:rFonts w:ascii="Times New Roman" w:eastAsia="Times New Roman" w:hAnsi="Times New Roman" w:cs="Times New Roman"/>
          <w:b w:val="0"/>
          <w:i/>
          <w:color w:val="000000"/>
          <w:sz w:val="20"/>
          <w:u w:val="none"/>
        </w:rPr>
        <w:t>Guarantee agreements</w:t>
      </w:r>
      <w:r>
        <w:rPr>
          <w:rFonts w:ascii="Times New Roman" w:eastAsia="Times New Roman" w:hAnsi="Times New Roman" w:cs="Times New Roman"/>
          <w:b w:val="0"/>
          <w:i/>
          <w:color w:val="000000"/>
          <w:sz w:val="20"/>
          <w:u w:val="none"/>
        </w:rPr>
        <w:t>.</w:t>
      </w:r>
      <w:r>
        <w:rPr>
          <w:rFonts w:ascii="Times New Roman" w:eastAsia="Times New Roman" w:hAnsi="Times New Roman" w:cs="Times New Roman"/>
          <w:b w:val="0"/>
          <w:i w:val="0"/>
          <w:color w:val="000000"/>
          <w:sz w:val="20"/>
          <w:u w:val="none"/>
        </w:rPr>
        <w:t xml:space="preserve"> In the normal course of business, we have agreements with financial institutions under which approximately</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$2.7 billion</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 xml:space="preserve">of letters of credit, bank guarantees, or surety bonds were outstanding as of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color w:val="000000"/>
          <w:sz w:val="20"/>
          <w:u w:val="none"/>
        </w:rPr>
        <w:t xml:space="preserve">. Some of the outstanding letters of credit have triggering events that would entitle a bank to require cash collateralization; however, none of these triggering events have occurred. As of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color w:val="000000"/>
          <w:sz w:val="20"/>
          <w:u w:val="none"/>
        </w:rPr>
        <w:t xml:space="preserve">, we had </w:t>
      </w:r>
      <w:r>
        <w:rPr>
          <w:rFonts w:ascii="Times New Roman" w:eastAsia="Times New Roman" w:hAnsi="Times New Roman" w:cs="Times New Roman"/>
          <w:b w:val="0"/>
          <w:i w:val="0"/>
          <w:color w:val="000000"/>
          <w:sz w:val="20"/>
          <w:u w:val="none"/>
        </w:rPr>
        <w:t>no material off-balance sheet liabilities and were not required to make any material cash distributions to our unconsolidated subsidiaries.</w:t>
      </w:r>
    </w:p>
    <w:p>
      <w:pPr>
        <w:keepNext w:val="0"/>
        <w:keepLines/>
        <w:pageBreakBefore w:val="0"/>
        <w:widowControl w:val="0"/>
        <w:numPr>
          <w:ilvl w:val="0"/>
          <w:numId w:val="0"/>
        </w:numPr>
        <w:spacing w:before="0" w:after="160" w:line="288" w:lineRule="auto"/>
        <w:ind w:left="0" w:right="0" w:firstLine="720"/>
        <w:jc w:val="both"/>
        <w:outlineLvl w:val="9"/>
        <w:rPr>
          <w:rFonts w:ascii="Calibri" w:eastAsia="Calibri" w:hAnsi="Calibri" w:cs="Calibri"/>
          <w:b w:val="0"/>
          <w:i w:val="0"/>
          <w:sz w:val="22"/>
        </w:rPr>
      </w:pPr>
      <w:r>
        <w:rPr>
          <w:rFonts w:ascii="Times New Roman" w:eastAsia="Times New Roman" w:hAnsi="Times New Roman" w:cs="Times New Roman"/>
          <w:b w:val="0"/>
          <w:i w:val="0"/>
          <w:color w:val="000000"/>
          <w:sz w:val="20"/>
          <w:u w:val="none"/>
        </w:rPr>
        <w:t>We have entered into</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CDSs</w:t>
      </w:r>
      <w:r>
        <w:rPr>
          <w:rFonts w:ascii="Times New Roman" w:eastAsia="Times New Roman" w:hAnsi="Times New Roman" w:cs="Times New Roman"/>
          <w:b w:val="0"/>
          <w:i w:val="0"/>
          <w:color w:val="000000"/>
          <w:sz w:val="20"/>
          <w:u w:val="none"/>
        </w:rPr>
        <w:t xml:space="preserve"> with third-party financial institutions that have an aggregate notional amount </w:t>
      </w:r>
      <w:r>
        <w:rPr>
          <w:rFonts w:ascii="Times New Roman" w:eastAsia="Times New Roman" w:hAnsi="Times New Roman" w:cs="Times New Roman"/>
          <w:b w:val="0"/>
          <w:i w:val="0"/>
          <w:color w:val="000000"/>
          <w:sz w:val="20"/>
          <w:u w:val="none"/>
        </w:rPr>
        <w:t xml:space="preserve">outstanding as of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color w:val="000000"/>
          <w:sz w:val="20"/>
          <w:u w:val="none"/>
        </w:rPr>
        <w:t xml:space="preserve"> of </w:t>
      </w:r>
      <w:r>
        <w:rPr>
          <w:rFonts w:ascii="Times New Roman" w:eastAsia="Times New Roman" w:hAnsi="Times New Roman" w:cs="Times New Roman"/>
          <w:b w:val="0"/>
          <w:i w:val="0"/>
          <w:color w:val="000000"/>
          <w:sz w:val="20"/>
          <w:u w:val="none"/>
        </w:rPr>
        <w:t>$1.0 billion</w:t>
      </w:r>
      <w:r>
        <w:rPr>
          <w:rFonts w:ascii="Times New Roman" w:eastAsia="Times New Roman" w:hAnsi="Times New Roman" w:cs="Times New Roman"/>
          <w:b w:val="0"/>
          <w:i w:val="0"/>
          <w:color w:val="000000"/>
          <w:sz w:val="20"/>
          <w:u w:val="none"/>
        </w:rPr>
        <w:t xml:space="preserve"> related to borrowings provided by the financial institutions to one of our primary customers in Mexico, of which, portions of the proceeds were utilized by this customer to pay certain of our outstanding receivables. </w:t>
      </w:r>
      <w:r>
        <w:rPr>
          <w:rFonts w:ascii="Times New Roman" w:eastAsia="Times New Roman" w:hAnsi="Times New Roman" w:cs="Times New Roman"/>
          <w:b w:val="0"/>
          <w:i w:val="0"/>
          <w:color w:val="000000"/>
          <w:sz w:val="20"/>
          <w:u w:val="none"/>
        </w:rPr>
        <w:t>Approximately</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$155 million</w:t>
      </w:r>
      <w:r>
        <w:rPr>
          <w:rFonts w:ascii="Times New Roman" w:eastAsia="Times New Roman" w:hAnsi="Times New Roman" w:cs="Times New Roman"/>
          <w:b w:val="0"/>
          <w:i w:val="0"/>
          <w:color w:val="000000"/>
          <w:sz w:val="20"/>
          <w:u w:val="none"/>
        </w:rPr>
        <w:t xml:space="preserve"> of the outstanding amount of the CDSs reduces </w:t>
      </w:r>
      <w:r>
        <w:rPr>
          <w:rFonts w:ascii="Times New Roman" w:eastAsia="Times New Roman" w:hAnsi="Times New Roman" w:cs="Times New Roman"/>
          <w:b w:val="0"/>
          <w:i w:val="0"/>
          <w:color w:val="000000"/>
          <w:sz w:val="20"/>
          <w:u w:val="none"/>
        </w:rPr>
        <w:t>monthly</w:t>
      </w:r>
      <w:r>
        <w:rPr>
          <w:rFonts w:ascii="Times New Roman" w:eastAsia="Times New Roman" w:hAnsi="Times New Roman" w:cs="Times New Roman"/>
          <w:b w:val="0"/>
          <w:i w:val="0"/>
          <w:color w:val="000000"/>
          <w:sz w:val="20"/>
          <w:u w:val="none"/>
        </w:rPr>
        <w:t xml:space="preserve"> over its remaining </w:t>
      </w:r>
      <w:r>
        <w:rPr>
          <w:rFonts w:ascii="Times New Roman" w:eastAsia="Times New Roman" w:hAnsi="Times New Roman" w:cs="Times New Roman"/>
          <w:b w:val="0"/>
          <w:i w:val="0"/>
          <w:color w:val="000000"/>
          <w:sz w:val="20"/>
          <w:u w:val="none"/>
        </w:rPr>
        <w:t>11</w:t>
      </w:r>
      <w:r>
        <w:rPr>
          <w:rFonts w:ascii="Times New Roman" w:eastAsia="Times New Roman" w:hAnsi="Times New Roman" w:cs="Times New Roman"/>
          <w:b w:val="0"/>
          <w:i w:val="0"/>
          <w:color w:val="000000"/>
          <w:sz w:val="20"/>
          <w:u w:val="none"/>
        </w:rPr>
        <w:t>-</w:t>
      </w:r>
      <w:r>
        <w:rPr>
          <w:rFonts w:ascii="Times New Roman" w:eastAsia="Times New Roman" w:hAnsi="Times New Roman" w:cs="Times New Roman"/>
          <w:b w:val="0"/>
          <w:i w:val="0"/>
          <w:color w:val="000000"/>
          <w:sz w:val="20"/>
          <w:u w:val="none"/>
        </w:rPr>
        <w:t xml:space="preserve">month term and </w:t>
      </w:r>
      <w:r>
        <w:rPr>
          <w:rFonts w:ascii="Times New Roman" w:eastAsia="Times New Roman" w:hAnsi="Times New Roman" w:cs="Times New Roman"/>
          <w:b w:val="0"/>
          <w:i w:val="0"/>
          <w:color w:val="000000"/>
          <w:sz w:val="20"/>
          <w:u w:val="none"/>
        </w:rPr>
        <w:t>$171 million</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 xml:space="preserve">reduces </w:t>
      </w:r>
      <w:r>
        <w:rPr>
          <w:rFonts w:ascii="Times New Roman" w:eastAsia="Times New Roman" w:hAnsi="Times New Roman" w:cs="Times New Roman"/>
          <w:b w:val="0"/>
          <w:i w:val="0"/>
          <w:color w:val="000000"/>
          <w:sz w:val="20"/>
          <w:u w:val="none"/>
        </w:rPr>
        <w:t>monthly</w:t>
      </w:r>
      <w:r>
        <w:rPr>
          <w:rFonts w:ascii="Times New Roman" w:eastAsia="Times New Roman" w:hAnsi="Times New Roman" w:cs="Times New Roman"/>
          <w:b w:val="0"/>
          <w:i w:val="0"/>
          <w:color w:val="000000"/>
          <w:sz w:val="20"/>
          <w:u w:val="none"/>
        </w:rPr>
        <w:t xml:space="preserve"> over its remaining </w:t>
      </w:r>
      <w:r>
        <w:rPr>
          <w:rFonts w:ascii="Times New Roman" w:eastAsia="Times New Roman" w:hAnsi="Times New Roman" w:cs="Times New Roman"/>
          <w:b w:val="0"/>
          <w:i w:val="0"/>
          <w:color w:val="000000"/>
          <w:sz w:val="20"/>
          <w:u w:val="none"/>
        </w:rPr>
        <w:t>15</w:t>
      </w:r>
      <w:r>
        <w:rPr>
          <w:rFonts w:ascii="Times New Roman" w:eastAsia="Times New Roman" w:hAnsi="Times New Roman" w:cs="Times New Roman"/>
          <w:b w:val="0"/>
          <w:i w:val="0"/>
          <w:color w:val="000000"/>
          <w:sz w:val="20"/>
          <w:u w:val="none"/>
        </w:rPr>
        <w:t>-month term</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 xml:space="preserve">The remaining </w:t>
      </w:r>
      <w:r>
        <w:rPr>
          <w:rFonts w:ascii="Times New Roman" w:eastAsia="Times New Roman" w:hAnsi="Times New Roman" w:cs="Times New Roman"/>
          <w:b w:val="0"/>
          <w:i w:val="0"/>
          <w:color w:val="000000"/>
          <w:sz w:val="20"/>
          <w:u w:val="none"/>
        </w:rPr>
        <w:t>$717 million</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 xml:space="preserve">outstanding amount </w:t>
      </w:r>
      <w:r>
        <w:rPr>
          <w:rFonts w:ascii="Times New Roman" w:eastAsia="Times New Roman" w:hAnsi="Times New Roman" w:cs="Times New Roman"/>
          <w:b w:val="0"/>
          <w:i w:val="0"/>
          <w:color w:val="000000"/>
          <w:sz w:val="20"/>
          <w:u w:val="none"/>
        </w:rPr>
        <w:t>reduce</w:t>
      </w:r>
      <w:r>
        <w:rPr>
          <w:rFonts w:ascii="Times New Roman" w:eastAsia="Times New Roman" w:hAnsi="Times New Roman" w:cs="Times New Roman"/>
          <w:b w:val="0"/>
          <w:i w:val="0"/>
          <w:color w:val="000000"/>
          <w:sz w:val="20"/>
          <w:u w:val="none"/>
        </w:rPr>
        <w:t xml:space="preserve">s </w:t>
      </w:r>
      <w:r>
        <w:rPr>
          <w:rFonts w:ascii="Times New Roman" w:eastAsia="Times New Roman" w:hAnsi="Times New Roman" w:cs="Times New Roman"/>
          <w:b w:val="0"/>
          <w:i w:val="0"/>
          <w:color w:val="000000"/>
          <w:sz w:val="20"/>
          <w:u w:val="none"/>
        </w:rPr>
        <w:t>monthly</w:t>
      </w:r>
      <w:r>
        <w:rPr>
          <w:rFonts w:ascii="Times New Roman" w:eastAsia="Times New Roman" w:hAnsi="Times New Roman" w:cs="Times New Roman"/>
          <w:b w:val="0"/>
          <w:i w:val="0"/>
          <w:color w:val="000000"/>
          <w:sz w:val="20"/>
          <w:u w:val="none"/>
        </w:rPr>
        <w:t xml:space="preserve"> over its remaining</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18</w:t>
      </w:r>
      <w:r>
        <w:rPr>
          <w:rFonts w:ascii="Times New Roman" w:eastAsia="Times New Roman" w:hAnsi="Times New Roman" w:cs="Times New Roman"/>
          <w:b w:val="0"/>
          <w:i w:val="0"/>
          <w:color w:val="000000"/>
          <w:sz w:val="20"/>
          <w:u w:val="none"/>
        </w:rPr>
        <w:t>-</w:t>
      </w:r>
      <w:r>
        <w:rPr>
          <w:rFonts w:ascii="Times New Roman" w:eastAsia="Times New Roman" w:hAnsi="Times New Roman" w:cs="Times New Roman"/>
          <w:b w:val="0"/>
          <w:i w:val="0"/>
          <w:color w:val="000000"/>
          <w:sz w:val="20"/>
          <w:u w:val="none"/>
        </w:rPr>
        <w:t>month term</w:t>
      </w:r>
      <w:r>
        <w:rPr>
          <w:rFonts w:ascii="Times New Roman" w:eastAsia="Times New Roman" w:hAnsi="Times New Roman" w:cs="Times New Roman"/>
          <w:b w:val="0"/>
          <w:i w:val="0"/>
          <w:color w:val="000000"/>
          <w:sz w:val="20"/>
          <w:u w:val="none"/>
        </w:rPr>
        <w:t>.</w:t>
      </w:r>
    </w:p>
    <w:p>
      <w:pPr>
        <w:keepNext w:val="0"/>
        <w:keepLines/>
        <w:pageBreakBefore w:val="0"/>
        <w:widowControl w:val="0"/>
        <w:numPr>
          <w:ilvl w:val="0"/>
          <w:numId w:val="0"/>
        </w:numPr>
        <w:spacing w:before="0" w:after="160" w:line="288" w:lineRule="auto"/>
        <w:ind w:left="0" w:right="0" w:firstLine="720"/>
        <w:jc w:val="both"/>
        <w:outlineLvl w:val="9"/>
        <w:rPr>
          <w:rFonts w:ascii="Calibri" w:eastAsia="Calibri" w:hAnsi="Calibri" w:cs="Calibri"/>
          <w:b w:val="0"/>
          <w:i/>
          <w:color w:val="000000"/>
          <w:sz w:val="22"/>
          <w:u w:val="none"/>
          <w:shd w:val="clear" w:color="auto" w:fill="FFFF00"/>
        </w:rPr>
      </w:pPr>
      <w:r>
        <w:rPr>
          <w:rFonts w:ascii="Times New Roman" w:eastAsia="Times New Roman" w:hAnsi="Times New Roman" w:cs="Times New Roman"/>
          <w:b w:val="0"/>
          <w:i/>
          <w:color w:val="000000"/>
          <w:sz w:val="20"/>
          <w:u w:val="none"/>
        </w:rPr>
        <w:t>Credit ratings</w:t>
      </w:r>
      <w:r>
        <w:rPr>
          <w:rFonts w:ascii="Times New Roman" w:eastAsia="Times New Roman" w:hAnsi="Times New Roman" w:cs="Times New Roman"/>
          <w:b w:val="0"/>
          <w:i/>
          <w:color w:val="000000"/>
          <w:sz w:val="20"/>
          <w:u w:val="none"/>
        </w:rPr>
        <w:t>.</w:t>
      </w:r>
      <w:r>
        <w:rPr>
          <w:rFonts w:ascii="Times New Roman" w:eastAsia="Times New Roman" w:hAnsi="Times New Roman" w:cs="Times New Roman"/>
          <w:b w:val="0"/>
          <w:i w:val="0"/>
          <w:color w:val="000000"/>
          <w:sz w:val="20"/>
          <w:u w:val="none"/>
        </w:rPr>
        <w:t xml:space="preserve"> Our credit ratings with Standard &amp; Poor’s </w:t>
      </w:r>
      <w:r>
        <w:rPr>
          <w:rFonts w:ascii="Times New Roman" w:eastAsia="Times New Roman" w:hAnsi="Times New Roman" w:cs="Times New Roman"/>
          <w:b w:val="0"/>
          <w:i w:val="0"/>
          <w:color w:val="000000"/>
          <w:sz w:val="20"/>
          <w:u w:val="none"/>
        </w:rPr>
        <w:t>remain BBB+ for our long-term debt and A-2 for our short-term debt, with a positive outlook. Our credit ratings with Moody's Investors Service remain A3 for our long</w:t>
      </w:r>
      <w:r>
        <w:rPr>
          <w:rFonts w:ascii="Times New Roman" w:eastAsia="Times New Roman" w:hAnsi="Times New Roman" w:cs="Times New Roman"/>
          <w:b w:val="0"/>
          <w:i w:val="0"/>
          <w:color w:val="000000"/>
          <w:sz w:val="20"/>
          <w:u w:val="none"/>
        </w:rPr>
        <w:t>-term debt and P-2 for our short-term debt, with a stable outlook.</w:t>
      </w:r>
    </w:p>
    <w:p>
      <w:pPr>
        <w:keepNext w:val="0"/>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i/>
          <w:sz w:val="20"/>
        </w:rPr>
      </w:pPr>
      <w:r>
        <w:rPr>
          <w:rFonts w:ascii="Times New Roman" w:eastAsia="Times New Roman" w:hAnsi="Times New Roman" w:cs="Times New Roman"/>
          <w:b w:val="0"/>
          <w:i/>
          <w:color w:val="000000"/>
          <w:sz w:val="20"/>
          <w:u w:val="none"/>
        </w:rPr>
        <w:t>Customer receivables</w:t>
      </w:r>
      <w:r>
        <w:rPr>
          <w:rFonts w:ascii="Times New Roman" w:eastAsia="Times New Roman" w:hAnsi="Times New Roman" w:cs="Times New Roman"/>
          <w:b w:val="0"/>
          <w:i w:val="0"/>
          <w:color w:val="000000"/>
          <w:sz w:val="20"/>
          <w:u w:val="none"/>
        </w:rPr>
        <w:t>.</w:t>
      </w:r>
      <w:r>
        <w:rPr>
          <w:rFonts w:ascii="Times New Roman" w:eastAsia="Times New Roman" w:hAnsi="Times New Roman" w:cs="Times New Roman"/>
          <w:b w:val="0"/>
          <w:i w:val="0"/>
          <w:sz w:val="20"/>
        </w:rPr>
        <w:t xml:space="preserve"> In line with industry practice, we bill our customers for our services in arrears and are, therefore, subject to our customers delaying or failing to pay our invoices. In weak economic environments, we may experience increased delays and failures to pay our invoices due to, among other reasons, a reduction in our customers’ cash flow from operations and their access to the credit markets, as well as unsettled political conditions.</w:t>
      </w:r>
    </w:p>
    <w:p>
      <w:pPr>
        <w:keepNext w:val="0"/>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Receivables from our primary customer in Mexico accounted for approximately</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7%</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sz w:val="20"/>
        </w:rPr>
        <w:t xml:space="preserve">of our total receivables as of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color w:val="000000"/>
          <w:sz w:val="20"/>
          <w:u w:val="none"/>
        </w:rPr>
        <w:t>While we have experienced payment delays from our primary customer in Mexico, the amounts are not in dispute and we have not historically had, and we do not expect any material write-offs due to collectability of receivables from this customer.</w:t>
      </w:r>
    </w:p>
    <w:p>
      <w:pPr>
        <w:keepNext w:val="0"/>
        <w:keepLines/>
        <w:pageBreakBefore w:val="0"/>
        <w:widowControl w:val="0"/>
        <w:numPr>
          <w:ilvl w:val="0"/>
          <w:numId w:val="0"/>
        </w:numPr>
        <w:spacing w:before="0" w:after="160" w:line="288" w:lineRule="auto"/>
        <w:ind w:left="0" w:right="0" w:firstLine="720"/>
        <w:jc w:val="both"/>
        <w:outlineLvl w:val="9"/>
        <w:sectPr>
          <w:headerReference w:type="default" r:id="rId84"/>
          <w:footerReference w:type="default" r:id="rId85"/>
          <w:type w:val="continuous"/>
          <w:pgSz w:w="12240" w:h="15840"/>
          <w:pgMar w:top="900" w:right="990" w:bottom="900" w:left="990" w:header="270" w:footer="270"/>
          <w:cols w:space="708"/>
        </w:sectPr>
      </w:pPr>
    </w:p>
    <w:p>
      <w:pPr>
        <w:keepNext/>
        <w:keepLines/>
        <w:pageBreakBefore w:val="0"/>
        <w:widowControl w:val="0"/>
        <w:numPr>
          <w:ilvl w:val="0"/>
          <w:numId w:val="0"/>
        </w:numPr>
        <w:spacing w:before="0" w:after="160" w:line="288" w:lineRule="auto"/>
        <w:ind w:left="0" w:right="0" w:firstLine="720"/>
        <w:jc w:val="left"/>
        <w:outlineLvl w:val="1"/>
        <w:rPr>
          <w:rFonts w:ascii="Times New Roman" w:eastAsia="Times New Roman" w:hAnsi="Times New Roman" w:cs="Times New Roman"/>
          <w:b/>
          <w:i/>
          <w:sz w:val="24"/>
        </w:rPr>
      </w:pPr>
      <w:bookmarkStart w:id="41" w:name="Section42"/>
      <w:bookmarkEnd w:id="41"/>
      <w:r>
        <w:rPr>
          <w:rFonts w:ascii="Times New Roman" w:eastAsia="Times New Roman" w:hAnsi="Times New Roman" w:cs="Times New Roman"/>
          <w:b/>
          <w:i w:val="0"/>
          <w:color w:val="000000"/>
          <w:sz w:val="20"/>
          <w:u w:val="none"/>
        </w:rPr>
        <w:t>BUSINESS ENVIRONMENT AND RESULTS OF OPERATIONS</w:t>
      </w:r>
    </w:p>
    <w:p>
      <w:pPr>
        <w:keepNext/>
        <w:keepLines/>
        <w:pageBreakBefore w:val="0"/>
        <w:widowControl w:val="0"/>
        <w:numPr>
          <w:ilvl w:val="0"/>
          <w:numId w:val="0"/>
        </w:numPr>
        <w:spacing w:before="0" w:after="160" w:line="288" w:lineRule="auto"/>
        <w:ind w:left="0" w:right="0" w:firstLine="720"/>
        <w:jc w:val="left"/>
        <w:outlineLvl w:val="1"/>
        <w:sectPr>
          <w:headerReference w:type="default" r:id="rId86"/>
          <w:footerReference w:type="default" r:id="rId87"/>
          <w:pgSz w:w="12240" w:h="15840"/>
          <w:pgMar w:top="900" w:right="990" w:bottom="900" w:left="990" w:header="270" w:footer="270"/>
          <w:cols w:space="708"/>
        </w:sectPr>
      </w:pPr>
    </w:p>
    <w:p>
      <w:pPr>
        <w:keepNext/>
        <w:keepLines/>
        <w:pageBreakBefore w:val="0"/>
        <w:widowControl w:val="0"/>
        <w:numPr>
          <w:ilvl w:val="0"/>
          <w:numId w:val="0"/>
        </w:numPr>
        <w:spacing w:before="0" w:after="160" w:line="288" w:lineRule="auto"/>
        <w:ind w:left="0" w:right="0" w:firstLine="720"/>
        <w:jc w:val="both"/>
        <w:outlineLvl w:val="2"/>
        <w:rPr>
          <w:rFonts w:ascii="Times New Roman" w:eastAsia="Times New Roman" w:hAnsi="Times New Roman" w:cs="Times New Roman"/>
          <w:b w:val="0"/>
          <w:i w:val="0"/>
          <w:sz w:val="20"/>
        </w:rPr>
      </w:pPr>
      <w:bookmarkStart w:id="42" w:name="Section43"/>
      <w:bookmarkEnd w:id="42"/>
      <w:r>
        <w:rPr>
          <w:rFonts w:ascii="Times New Roman" w:eastAsia="Times New Roman" w:hAnsi="Times New Roman" w:cs="Times New Roman"/>
          <w:b w:val="0"/>
          <w:i w:val="0"/>
          <w:color w:val="000000"/>
          <w:sz w:val="20"/>
          <w:u w:val="none"/>
        </w:rPr>
        <w:t>We operate in</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more than 70</w:t>
      </w:r>
      <w:r>
        <w:rPr>
          <w:rFonts w:ascii="Times New Roman" w:eastAsia="Times New Roman" w:hAnsi="Times New Roman" w:cs="Times New Roman"/>
          <w:b w:val="0"/>
          <w:i w:val="0"/>
          <w:color w:val="000000"/>
          <w:sz w:val="20"/>
          <w:u w:val="none"/>
        </w:rPr>
        <w:t xml:space="preserve"> countries</w:t>
      </w:r>
      <w:r>
        <w:rPr>
          <w:rFonts w:ascii="Times New Roman" w:eastAsia="Times New Roman" w:hAnsi="Times New Roman" w:cs="Times New Roman"/>
          <w:b w:val="0"/>
          <w:i w:val="0"/>
          <w:color w:val="000000"/>
          <w:sz w:val="20"/>
          <w:u w:val="none"/>
        </w:rPr>
        <w:t xml:space="preserve"> throughout the world to provide a comprehensive range of services and products to the energy industry. Our revenue is generated from the sale of services and products to major, national, and independent oil and natural gas companies worldwide. The industry we serve is highly competitive with many substantial competitors in each segment of our business. During the first </w:t>
      </w:r>
      <w:r>
        <w:rPr>
          <w:rFonts w:ascii="Times New Roman" w:eastAsia="Times New Roman" w:hAnsi="Times New Roman" w:cs="Times New Roman"/>
          <w:b w:val="0"/>
          <w:i w:val="0"/>
          <w:color w:val="000000"/>
          <w:sz w:val="20"/>
          <w:u w:val="none"/>
        </w:rPr>
        <w:t>three</w:t>
      </w:r>
      <w:r>
        <w:rPr>
          <w:rFonts w:ascii="Times New Roman" w:eastAsia="Times New Roman" w:hAnsi="Times New Roman" w:cs="Times New Roman"/>
          <w:b w:val="0"/>
          <w:i w:val="0"/>
          <w:color w:val="000000"/>
          <w:sz w:val="20"/>
          <w:u w:val="none"/>
        </w:rPr>
        <w:t xml:space="preserve"> months of </w:t>
      </w:r>
      <w:r>
        <w:rPr>
          <w:rFonts w:ascii="Times New Roman" w:eastAsia="Times New Roman" w:hAnsi="Times New Roman" w:cs="Times New Roman"/>
          <w:b w:val="0"/>
          <w:i w:val="0"/>
          <w:color w:val="000000"/>
          <w:sz w:val="20"/>
          <w:u w:val="none"/>
        </w:rPr>
        <w:t>2025</w:t>
      </w:r>
      <w:r>
        <w:rPr>
          <w:rFonts w:ascii="Times New Roman" w:eastAsia="Times New Roman" w:hAnsi="Times New Roman" w:cs="Times New Roman"/>
          <w:b w:val="0"/>
          <w:i w:val="0"/>
          <w:color w:val="000000"/>
          <w:sz w:val="20"/>
          <w:u w:val="none"/>
        </w:rPr>
        <w:t xml:space="preserve">, based on the location of the services provided and products sold, </w:t>
      </w:r>
      <w:r>
        <w:rPr>
          <w:rFonts w:ascii="Times New Roman" w:eastAsia="Times New Roman" w:hAnsi="Times New Roman" w:cs="Times New Roman"/>
          <w:b w:val="0"/>
          <w:i w:val="0"/>
          <w:color w:val="000000"/>
          <w:sz w:val="20"/>
          <w:u w:val="none"/>
        </w:rPr>
        <w:t>39%</w:t>
      </w:r>
      <w:r>
        <w:rPr>
          <w:rFonts w:ascii="Times New Roman" w:eastAsia="Times New Roman" w:hAnsi="Times New Roman" w:cs="Times New Roman"/>
          <w:b w:val="0"/>
          <w:i w:val="0"/>
          <w:color w:val="000000"/>
          <w:sz w:val="20"/>
          <w:u w:val="none"/>
        </w:rPr>
        <w:t xml:space="preserve"> of our consolidated revenue was from the United States, compared to</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42%</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 xml:space="preserve">of our consolidated revenue from the United States in the first </w:t>
      </w:r>
      <w:r>
        <w:rPr>
          <w:rFonts w:ascii="Times New Roman" w:eastAsia="Times New Roman" w:hAnsi="Times New Roman" w:cs="Times New Roman"/>
          <w:b w:val="0"/>
          <w:i w:val="0"/>
          <w:color w:val="000000"/>
          <w:sz w:val="20"/>
          <w:u w:val="none"/>
        </w:rPr>
        <w:t>three</w:t>
      </w:r>
      <w:r>
        <w:rPr>
          <w:rFonts w:ascii="Times New Roman" w:eastAsia="Times New Roman" w:hAnsi="Times New Roman" w:cs="Times New Roman"/>
          <w:b w:val="0"/>
          <w:i w:val="0"/>
          <w:color w:val="000000"/>
          <w:sz w:val="20"/>
          <w:u w:val="none"/>
        </w:rPr>
        <w:t xml:space="preserve"> months of </w:t>
      </w:r>
      <w:r>
        <w:rPr>
          <w:rFonts w:ascii="Times New Roman" w:eastAsia="Times New Roman" w:hAnsi="Times New Roman" w:cs="Times New Roman"/>
          <w:b w:val="0"/>
          <w:i w:val="0"/>
          <w:color w:val="000000"/>
          <w:sz w:val="20"/>
          <w:u w:val="none"/>
        </w:rPr>
        <w:t>2024</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No other country accounted for more than 10% of our revenue</w:t>
      </w:r>
      <w:r>
        <w:rPr>
          <w:rFonts w:ascii="Times New Roman" w:eastAsia="Times New Roman" w:hAnsi="Times New Roman" w:cs="Times New Roman"/>
          <w:b w:val="0"/>
          <w:i w:val="0"/>
          <w:color w:val="000000"/>
          <w:sz w:val="20"/>
          <w:u w:val="none"/>
        </w:rPr>
        <w:t xml:space="preserve"> for those periods.</w:t>
      </w:r>
    </w:p>
    <w:p>
      <w:pPr>
        <w:keepNext/>
        <w:keepLines/>
        <w:pageBreakBefore w:val="0"/>
        <w:widowControl w:val="0"/>
        <w:numPr>
          <w:ilvl w:val="0"/>
          <w:numId w:val="0"/>
        </w:numPr>
        <w:spacing w:before="0" w:after="160" w:line="288" w:lineRule="auto"/>
        <w:ind w:left="0" w:right="0" w:firstLine="720"/>
        <w:jc w:val="both"/>
        <w:outlineLvl w:val="2"/>
        <w:sectPr>
          <w:headerReference w:type="default" r:id="rId88"/>
          <w:footerReference w:type="default" r:id="rId89"/>
          <w:type w:val="continuous"/>
          <w:pgSz w:w="12240" w:h="15840"/>
          <w:pgMar w:top="900" w:right="990" w:bottom="900" w:left="990" w:header="270" w:footer="270"/>
          <w:cols w:space="708"/>
        </w:sectPr>
      </w:pPr>
    </w:p>
    <w:p>
      <w:pPr>
        <w:keepNext/>
        <w:keepLines/>
        <w:pageBreakBefore w:val="0"/>
        <w:widowControl w:val="0"/>
        <w:numPr>
          <w:ilvl w:val="0"/>
          <w:numId w:val="0"/>
        </w:numPr>
        <w:spacing w:before="0" w:after="160" w:line="288" w:lineRule="auto"/>
        <w:ind w:left="0" w:right="0" w:firstLine="720"/>
        <w:jc w:val="both"/>
        <w:outlineLvl w:val="2"/>
        <w:rPr>
          <w:rFonts w:ascii="Times New Roman" w:eastAsia="Times New Roman" w:hAnsi="Times New Roman" w:cs="Times New Roman"/>
          <w:b w:val="0"/>
          <w:i w:val="0"/>
          <w:sz w:val="20"/>
        </w:rPr>
      </w:pPr>
      <w:bookmarkStart w:id="43" w:name="Section44"/>
      <w:bookmarkEnd w:id="43"/>
      <w:r>
        <w:rPr>
          <w:rFonts w:ascii="Times New Roman" w:eastAsia="Times New Roman" w:hAnsi="Times New Roman" w:cs="Times New Roman"/>
          <w:b w:val="0"/>
          <w:i w:val="0"/>
          <w:color w:val="000000"/>
          <w:sz w:val="20"/>
          <w:u w:val="none"/>
        </w:rPr>
        <w:t>Activity within our business segments is significantly impacted by spending on upstream exploration, development, and production programs by our customers. Also impacting our activity is the status of the global economy, which impacts oil and natural gas consumption</w:t>
      </w:r>
      <w:r>
        <w:rPr>
          <w:rFonts w:ascii="Times New Roman" w:eastAsia="Times New Roman" w:hAnsi="Times New Roman" w:cs="Times New Roman"/>
          <w:b w:val="0"/>
          <w:i w:val="0"/>
          <w:color w:val="000000"/>
          <w:sz w:val="20"/>
          <w:u w:val="none"/>
        </w:rPr>
        <w:t>.</w:t>
      </w:r>
    </w:p>
    <w:p>
      <w:pPr>
        <w:keepNext w:val="0"/>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i/>
          <w:color w:val="000000"/>
          <w:sz w:val="24"/>
          <w:u w:val="none"/>
        </w:rPr>
      </w:pPr>
      <w:r>
        <w:rPr>
          <w:rFonts w:ascii="Times New Roman" w:eastAsia="Times New Roman" w:hAnsi="Times New Roman" w:cs="Times New Roman"/>
          <w:b w:val="0"/>
          <w:i w:val="0"/>
          <w:color w:val="000000"/>
          <w:sz w:val="20"/>
          <w:u w:val="none"/>
        </w:rPr>
        <w:t>Some of the more significant determinants of current and future spending levels of our customers are oil and natural gas prices, our customers’ expectations about future prices, global oil supply and demand, the impact on natural gas supply and demand in North America of electrification and data centers power requirements, completions intensity, the world economy, the availability of capital, government regulation, and global stability, which together drive worldwide drilling and completions activity.</w:t>
      </w:r>
      <w:r>
        <w:rPr>
          <w:rFonts w:ascii="Times New Roman" w:eastAsia="Times New Roman" w:hAnsi="Times New Roman" w:cs="Times New Roman"/>
          <w:b w:val="0"/>
          <w:i w:val="0"/>
          <w:color w:val="000000"/>
          <w:sz w:val="20"/>
          <w:u w:val="none"/>
        </w:rPr>
        <w:t xml:space="preserve"> We expect that many of our customers in North America will continue their strategy of operating within their cash flows and generating returns rather than prioritizing production growth. </w:t>
      </w:r>
      <w:r>
        <w:rPr>
          <w:rFonts w:ascii="Times New Roman" w:eastAsia="Times New Roman" w:hAnsi="Times New Roman" w:cs="Times New Roman"/>
          <w:b w:val="0"/>
          <w:i w:val="0"/>
          <w:color w:val="000000"/>
          <w:sz w:val="20"/>
          <w:u w:val="none"/>
        </w:rPr>
        <w:t>Lower oil and natural gas prices usually translate into lower exploration and production budgets and lower rig count, while the opposite is usually true for higher oil and natural gas prices. Our financial performance is therefore significantly affected by oil and natural gas prices and worldwide rig activity, which are summarized in the tables below.</w:t>
      </w:r>
    </w:p>
    <w:p>
      <w:pPr>
        <w:keepNext w:val="0"/>
        <w:keepLines/>
        <w:pageBreakBefore w:val="0"/>
        <w:widowControl w:val="0"/>
        <w:numPr>
          <w:ilvl w:val="0"/>
          <w:numId w:val="0"/>
        </w:numPr>
        <w:spacing w:before="0" w:after="0" w:line="288" w:lineRule="auto"/>
        <w:ind w:left="0" w:right="0" w:firstLine="720"/>
        <w:jc w:val="left"/>
        <w:outlineLvl w:val="9"/>
        <w:rPr>
          <w:rFonts w:ascii="Times New Roman" w:eastAsia="Times New Roman" w:hAnsi="Times New Roman" w:cs="Times New Roman"/>
          <w:b/>
          <w:i/>
          <w:color w:val="212121"/>
          <w:sz w:val="20"/>
          <w:u w:val="none"/>
          <w:shd w:val="clear" w:color="auto" w:fill="FFFF00"/>
        </w:rPr>
      </w:pPr>
      <w:r>
        <w:rPr>
          <w:rFonts w:ascii="Times New Roman" w:eastAsia="Times New Roman" w:hAnsi="Times New Roman" w:cs="Times New Roman"/>
          <w:b w:val="0"/>
          <w:i w:val="0"/>
          <w:sz w:val="20"/>
        </w:rPr>
        <w:t>The table below shows the average prices for West Texas Intermediate (W</w:t>
      </w:r>
      <w:r>
        <w:rPr>
          <w:rFonts w:ascii="Times New Roman" w:eastAsia="Times New Roman" w:hAnsi="Times New Roman" w:cs="Times New Roman"/>
          <w:b w:val="0"/>
          <w:i w:val="0"/>
          <w:color w:val="000000"/>
          <w:sz w:val="20"/>
          <w:u w:val="none"/>
        </w:rPr>
        <w:t>TI) crude oil, United K</w:t>
      </w:r>
      <w:r>
        <w:rPr>
          <w:rFonts w:ascii="Times New Roman" w:eastAsia="Times New Roman" w:hAnsi="Times New Roman" w:cs="Times New Roman"/>
          <w:b w:val="0"/>
          <w:i w:val="0"/>
          <w:sz w:val="20"/>
        </w:rPr>
        <w:t>ingdom Brent crude oil, and Henry Hub natural gas.</w:t>
      </w:r>
    </w:p>
    <w:tbl>
      <w:tblPr>
        <w:tblW w:w="7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105"/>
        <w:gridCol w:w="1260"/>
        <w:gridCol w:w="1680"/>
        <w:gridCol w:w="1500"/>
      </w:tblGrid>
      <w:tr>
        <w:tblPrEx>
          <w:tblW w:w="7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00"/>
          <w:jc w:val="center"/>
        </w:trPr>
        <w:tc>
          <w:tcPr>
            <w:tcW w:w="3105"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p>
        </w:tc>
        <w:tc>
          <w:tcPr>
            <w:tcW w:w="2940" w:type="dxa"/>
            <w:gridSpan w:val="2"/>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20"/>
                <w:u w:val="none"/>
              </w:rPr>
              <w:t>Three Months Ended</w:t>
            </w:r>
          </w:p>
        </w:tc>
        <w:tc>
          <w:tcPr>
            <w:tcW w:w="1500"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center"/>
            </w:pPr>
            <w:r>
              <w:rPr>
                <w:rFonts w:ascii="Times New Roman" w:eastAsia="Times New Roman" w:hAnsi="Times New Roman" w:cs="Times New Roman"/>
                <w:b w:val="0"/>
                <w:i w:val="0"/>
                <w:color w:val="000000"/>
                <w:sz w:val="20"/>
                <w:u w:val="none"/>
              </w:rPr>
              <w:t>Year Ended</w:t>
            </w:r>
          </w:p>
        </w:tc>
      </w:tr>
      <w:tr>
        <w:tblPrEx>
          <w:tblW w:w="7545" w:type="dxa"/>
          <w:jc w:val="center"/>
          <w:tblLayout w:type="fixed"/>
          <w:tblCellMar>
            <w:left w:w="108" w:type="dxa"/>
            <w:right w:w="108" w:type="dxa"/>
          </w:tblCellMar>
        </w:tblPrEx>
        <w:trPr>
          <w:cantSplit/>
          <w:trHeight w:hRule="exact" w:val="300"/>
          <w:jc w:val="center"/>
        </w:trPr>
        <w:tc>
          <w:tcPr>
            <w:tcW w:w="3105"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p>
        </w:tc>
        <w:tc>
          <w:tcPr>
            <w:tcW w:w="2940" w:type="dxa"/>
            <w:gridSpan w:val="2"/>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20"/>
                <w:u w:val="none"/>
              </w:rPr>
              <w:t xml:space="preserve">March 31, </w:t>
            </w:r>
          </w:p>
        </w:tc>
        <w:tc>
          <w:tcPr>
            <w:tcW w:w="1500"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75" w:after="30" w:line="240" w:lineRule="auto"/>
              <w:jc w:val="center"/>
            </w:pPr>
            <w:r>
              <w:rPr>
                <w:rFonts w:ascii="Times New Roman" w:eastAsia="Times New Roman" w:hAnsi="Times New Roman" w:cs="Times New Roman"/>
                <w:b w:val="0"/>
                <w:i w:val="0"/>
                <w:color w:val="000000"/>
                <w:sz w:val="20"/>
                <w:u w:val="none"/>
              </w:rPr>
              <w:t>December 31,</w:t>
            </w:r>
          </w:p>
        </w:tc>
      </w:tr>
      <w:tr>
        <w:tblPrEx>
          <w:tblW w:w="7545" w:type="dxa"/>
          <w:jc w:val="center"/>
          <w:tblLayout w:type="fixed"/>
          <w:tblCellMar>
            <w:left w:w="108" w:type="dxa"/>
            <w:right w:w="108" w:type="dxa"/>
          </w:tblCellMar>
        </w:tblPrEx>
        <w:trPr>
          <w:cantSplit/>
          <w:trHeight w:hRule="exact" w:val="300"/>
          <w:jc w:val="center"/>
        </w:trPr>
        <w:tc>
          <w:tcPr>
            <w:tcW w:w="31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left"/>
            </w:pPr>
          </w:p>
        </w:tc>
        <w:tc>
          <w:tcPr>
            <w:tcW w:w="126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2025</w:t>
            </w:r>
          </w:p>
        </w:tc>
        <w:tc>
          <w:tcPr>
            <w:tcW w:w="168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2024</w:t>
            </w:r>
          </w:p>
        </w:tc>
        <w:tc>
          <w:tcPr>
            <w:tcW w:w="150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2024</w:t>
            </w:r>
          </w:p>
        </w:tc>
      </w:tr>
      <w:tr>
        <w:tblPrEx>
          <w:tblW w:w="7545" w:type="dxa"/>
          <w:jc w:val="center"/>
          <w:tblLayout w:type="fixed"/>
          <w:tblCellMar>
            <w:left w:w="108" w:type="dxa"/>
            <w:right w:w="108" w:type="dxa"/>
          </w:tblCellMar>
        </w:tblPrEx>
        <w:trPr>
          <w:cantSplit/>
          <w:trHeight w:hRule="exact" w:val="300"/>
          <w:jc w:val="center"/>
        </w:trPr>
        <w:tc>
          <w:tcPr>
            <w:tcW w:w="310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numPr>
                <w:ilvl w:val="0"/>
                <w:numId w:val="0"/>
              </w:numPr>
              <w:spacing w:before="55" w:after="30" w:line="240"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Oil Price - WTI </w:t>
            </w:r>
            <w:r>
              <w:rPr>
                <w:rFonts w:ascii="Times New Roman" w:eastAsia="Times New Roman" w:hAnsi="Times New Roman" w:cs="Times New Roman"/>
                <w:b w:val="0"/>
                <w:i w:val="0"/>
                <w:sz w:val="20"/>
                <w:vertAlign w:val="subscript"/>
              </w:rPr>
              <w:t>(1)</w:t>
            </w:r>
          </w:p>
        </w:tc>
        <w:tc>
          <w:tcPr>
            <w:tcW w:w="126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677"/>
                <w:tab w:val="left" w:pos="1192"/>
              </w:tabs>
              <w:spacing w:before="55" w:after="30" w:line="240" w:lineRule="auto"/>
              <w:jc w:val="right"/>
            </w:pPr>
            <w:r>
              <w:rPr>
                <w:rFonts w:ascii="Times New Roman" w:eastAsia="Times New Roman" w:hAnsi="Times New Roman" w:cs="Times New Roman"/>
                <w:b w:val="0"/>
                <w:i w:val="0"/>
                <w:color w:val="000000"/>
                <w:sz w:val="20"/>
                <w:u w:val="none"/>
              </w:rPr>
              <w:t>$</w:t>
              <w:tab/>
              <w:t>71.84</w:t>
              <w:tab/>
            </w:r>
          </w:p>
        </w:tc>
        <w:tc>
          <w:tcPr>
            <w:tcW w:w="168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97"/>
                <w:tab w:val="left" w:pos="1612"/>
              </w:tabs>
              <w:spacing w:before="55" w:after="30" w:line="240" w:lineRule="auto"/>
              <w:jc w:val="right"/>
            </w:pPr>
            <w:r>
              <w:rPr>
                <w:rFonts w:ascii="Times New Roman" w:eastAsia="Times New Roman" w:hAnsi="Times New Roman" w:cs="Times New Roman"/>
                <w:b w:val="0"/>
                <w:i w:val="0"/>
                <w:color w:val="000000"/>
                <w:sz w:val="20"/>
                <w:u w:val="none"/>
              </w:rPr>
              <w:t>$</w:t>
              <w:tab/>
              <w:t>77.55</w:t>
              <w:tab/>
            </w:r>
          </w:p>
        </w:tc>
        <w:tc>
          <w:tcPr>
            <w:tcW w:w="15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917"/>
                <w:tab w:val="left" w:pos="1432"/>
              </w:tabs>
              <w:spacing w:before="55" w:after="30" w:line="240" w:lineRule="auto"/>
              <w:jc w:val="right"/>
            </w:pPr>
            <w:r>
              <w:rPr>
                <w:rFonts w:ascii="Times New Roman" w:eastAsia="Times New Roman" w:hAnsi="Times New Roman" w:cs="Times New Roman"/>
                <w:b w:val="0"/>
                <w:i w:val="0"/>
                <w:color w:val="000000"/>
                <w:sz w:val="20"/>
                <w:u w:val="none"/>
              </w:rPr>
              <w:t>$</w:t>
              <w:tab/>
              <w:t>76.55</w:t>
              <w:tab/>
            </w:r>
          </w:p>
        </w:tc>
      </w:tr>
      <w:tr>
        <w:tblPrEx>
          <w:tblW w:w="7545" w:type="dxa"/>
          <w:jc w:val="center"/>
          <w:tblLayout w:type="fixed"/>
          <w:tblCellMar>
            <w:left w:w="108" w:type="dxa"/>
            <w:right w:w="108" w:type="dxa"/>
          </w:tblCellMar>
        </w:tblPrEx>
        <w:trPr>
          <w:cantSplit/>
          <w:trHeight w:hRule="exact" w:val="300"/>
          <w:jc w:val="center"/>
        </w:trPr>
        <w:tc>
          <w:tcPr>
            <w:tcW w:w="31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numPr>
                <w:ilvl w:val="0"/>
                <w:numId w:val="0"/>
              </w:numPr>
              <w:spacing w:before="75" w:after="30" w:line="240"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Oil Price - Brent </w:t>
            </w:r>
            <w:r>
              <w:rPr>
                <w:rFonts w:ascii="Times New Roman" w:eastAsia="Times New Roman" w:hAnsi="Times New Roman" w:cs="Times New Roman"/>
                <w:b w:val="0"/>
                <w:i w:val="0"/>
                <w:sz w:val="20"/>
                <w:vertAlign w:val="subscript"/>
              </w:rPr>
              <w:t>(1)</w:t>
            </w:r>
          </w:p>
        </w:tc>
        <w:tc>
          <w:tcPr>
            <w:tcW w:w="12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77"/>
                <w:tab w:val="left" w:pos="1192"/>
              </w:tabs>
              <w:spacing w:before="75" w:after="30" w:line="240" w:lineRule="auto"/>
              <w:jc w:val="right"/>
            </w:pPr>
            <w:r>
              <w:rPr>
                <w:rFonts w:ascii="Times New Roman" w:eastAsia="Times New Roman" w:hAnsi="Times New Roman" w:cs="Times New Roman"/>
                <w:b w:val="0"/>
                <w:i w:val="0"/>
                <w:color w:val="000000"/>
                <w:sz w:val="20"/>
                <w:u w:val="none"/>
              </w:rPr>
              <w:tab/>
              <w:t>75.81</w:t>
              <w:tab/>
            </w:r>
          </w:p>
        </w:tc>
        <w:tc>
          <w:tcPr>
            <w:tcW w:w="168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97"/>
                <w:tab w:val="left" w:pos="1612"/>
              </w:tabs>
              <w:spacing w:before="75" w:after="30" w:line="240" w:lineRule="auto"/>
              <w:jc w:val="right"/>
            </w:pPr>
            <w:r>
              <w:rPr>
                <w:rFonts w:ascii="Times New Roman" w:eastAsia="Times New Roman" w:hAnsi="Times New Roman" w:cs="Times New Roman"/>
                <w:b w:val="0"/>
                <w:i w:val="0"/>
                <w:color w:val="000000"/>
                <w:sz w:val="20"/>
                <w:u w:val="none"/>
              </w:rPr>
              <w:tab/>
              <w:t>83.00</w:t>
              <w:tab/>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17"/>
                <w:tab w:val="left" w:pos="1432"/>
              </w:tabs>
              <w:spacing w:before="75" w:after="30" w:line="240" w:lineRule="auto"/>
              <w:jc w:val="right"/>
            </w:pPr>
            <w:r>
              <w:rPr>
                <w:rFonts w:ascii="Times New Roman" w:eastAsia="Times New Roman" w:hAnsi="Times New Roman" w:cs="Times New Roman"/>
                <w:b w:val="0"/>
                <w:i w:val="0"/>
                <w:color w:val="000000"/>
                <w:sz w:val="20"/>
                <w:u w:val="none"/>
              </w:rPr>
              <w:tab/>
              <w:t>80.53</w:t>
              <w:tab/>
            </w:r>
          </w:p>
        </w:tc>
      </w:tr>
      <w:tr>
        <w:tblPrEx>
          <w:tblW w:w="7545" w:type="dxa"/>
          <w:jc w:val="center"/>
          <w:tblLayout w:type="fixed"/>
          <w:tblCellMar>
            <w:left w:w="108" w:type="dxa"/>
            <w:right w:w="108" w:type="dxa"/>
          </w:tblCellMar>
        </w:tblPrEx>
        <w:trPr>
          <w:cantSplit/>
          <w:trHeight w:hRule="exact" w:val="300"/>
          <w:jc w:val="center"/>
        </w:trPr>
        <w:tc>
          <w:tcPr>
            <w:tcW w:w="3105" w:type="dxa"/>
            <w:tcBorders>
              <w:top w:val="nil"/>
              <w:left w:val="nil"/>
              <w:bottom w:val="double" w:sz="8" w:space="0" w:color="000000"/>
              <w:right w:val="nil"/>
            </w:tcBorders>
            <w:shd w:val="clear" w:color="auto" w:fill="CCEEFF"/>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Natural Gas Price - Henry Hub </w:t>
            </w:r>
            <w:r>
              <w:rPr>
                <w:rFonts w:ascii="Times New Roman" w:eastAsia="Times New Roman" w:hAnsi="Times New Roman" w:cs="Times New Roman"/>
                <w:b w:val="0"/>
                <w:i w:val="0"/>
                <w:sz w:val="20"/>
                <w:vertAlign w:val="subscript"/>
              </w:rPr>
              <w:t>(2)</w:t>
            </w:r>
          </w:p>
        </w:tc>
        <w:tc>
          <w:tcPr>
            <w:tcW w:w="126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777"/>
                <w:tab w:val="left" w:pos="1192"/>
              </w:tabs>
              <w:spacing w:before="75" w:after="30" w:line="240" w:lineRule="auto"/>
              <w:jc w:val="right"/>
            </w:pPr>
            <w:r>
              <w:rPr>
                <w:rFonts w:ascii="Times New Roman" w:eastAsia="Times New Roman" w:hAnsi="Times New Roman" w:cs="Times New Roman"/>
                <w:b w:val="0"/>
                <w:i w:val="0"/>
                <w:color w:val="000000"/>
                <w:sz w:val="20"/>
                <w:u w:val="none"/>
              </w:rPr>
              <w:tab/>
              <w:t>4.15</w:t>
              <w:tab/>
            </w:r>
          </w:p>
        </w:tc>
        <w:tc>
          <w:tcPr>
            <w:tcW w:w="168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197"/>
                <w:tab w:val="left" w:pos="1612"/>
              </w:tabs>
              <w:spacing w:before="75" w:after="30" w:line="240" w:lineRule="auto"/>
              <w:jc w:val="right"/>
            </w:pPr>
            <w:r>
              <w:rPr>
                <w:rFonts w:ascii="Times New Roman" w:eastAsia="Times New Roman" w:hAnsi="Times New Roman" w:cs="Times New Roman"/>
                <w:b w:val="0"/>
                <w:i w:val="0"/>
                <w:color w:val="000000"/>
                <w:sz w:val="20"/>
                <w:u w:val="none"/>
              </w:rPr>
              <w:tab/>
              <w:t>2.13</w:t>
              <w:tab/>
            </w:r>
          </w:p>
        </w:tc>
        <w:tc>
          <w:tcPr>
            <w:tcW w:w="15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017"/>
                <w:tab w:val="left" w:pos="1432"/>
              </w:tabs>
              <w:spacing w:before="75" w:after="30" w:line="240" w:lineRule="auto"/>
              <w:jc w:val="right"/>
            </w:pPr>
            <w:r>
              <w:rPr>
                <w:rFonts w:ascii="Times New Roman" w:eastAsia="Times New Roman" w:hAnsi="Times New Roman" w:cs="Times New Roman"/>
                <w:b w:val="0"/>
                <w:i w:val="0"/>
                <w:color w:val="000000"/>
                <w:sz w:val="20"/>
                <w:u w:val="none"/>
              </w:rPr>
              <w:tab/>
              <w:t>2.19</w:t>
              <w:tab/>
            </w:r>
          </w:p>
        </w:tc>
      </w:tr>
    </w:tbl>
    <w:p>
      <w:pPr>
        <w:keepNext w:val="0"/>
        <w:keepLines/>
        <w:pageBreakBefore w:val="0"/>
        <w:widowControl w:val="0"/>
        <w:numPr>
          <w:ilvl w:val="0"/>
          <w:numId w:val="0"/>
        </w:numPr>
        <w:spacing w:before="0" w:after="0" w:line="288" w:lineRule="auto"/>
        <w:ind w:left="0" w:right="0" w:firstLine="720"/>
        <w:jc w:val="center"/>
        <w:outlineLvl w:val="9"/>
        <w:rPr>
          <w:rFonts w:ascii="Times New Roman" w:eastAsia="Times New Roman" w:hAnsi="Times New Roman" w:cs="Times New Roman"/>
          <w:b w:val="0"/>
          <w:i w:val="0"/>
          <w:sz w:val="10"/>
        </w:rPr>
      </w:pPr>
    </w:p>
    <w:tbl>
      <w:tblPr>
        <w:tblW w:w="7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80"/>
        <w:gridCol w:w="7065"/>
      </w:tblGrid>
      <w:tr>
        <w:tblPrEx>
          <w:tblW w:w="7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40"/>
          <w:jc w:val="center"/>
        </w:trPr>
        <w:tc>
          <w:tcPr>
            <w:tcW w:w="480" w:type="dxa"/>
            <w:tcBorders>
              <w:top w:val="nil"/>
              <w:left w:val="nil"/>
              <w:bottom w:val="nil"/>
              <w:right w:val="nil"/>
            </w:tcBorders>
            <w:tcMar>
              <w:top w:w="0" w:type="dxa"/>
              <w:left w:w="53" w:type="dxa"/>
              <w:bottom w:w="0" w:type="dxa"/>
              <w:right w:w="15"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6"/>
                <w:u w:val="none"/>
              </w:rPr>
              <w:t>(1)</w:t>
            </w:r>
          </w:p>
        </w:tc>
        <w:tc>
          <w:tcPr>
            <w:tcW w:w="7065"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6"/>
                <w:u w:val="none"/>
              </w:rPr>
              <w:t>Oil prices measured in dollars per barrel.</w:t>
            </w:r>
          </w:p>
        </w:tc>
      </w:tr>
      <w:tr>
        <w:tblPrEx>
          <w:tblW w:w="7545" w:type="dxa"/>
          <w:jc w:val="center"/>
          <w:tblLayout w:type="fixed"/>
          <w:tblCellMar>
            <w:left w:w="108" w:type="dxa"/>
            <w:right w:w="108" w:type="dxa"/>
          </w:tblCellMar>
        </w:tblPrEx>
        <w:trPr>
          <w:cantSplit/>
          <w:trHeight w:hRule="exact" w:val="240"/>
          <w:jc w:val="center"/>
        </w:trPr>
        <w:tc>
          <w:tcPr>
            <w:tcW w:w="480" w:type="dxa"/>
            <w:tcBorders>
              <w:top w:val="nil"/>
              <w:left w:val="nil"/>
              <w:bottom w:val="nil"/>
              <w:right w:val="nil"/>
            </w:tcBorders>
            <w:tcMar>
              <w:top w:w="0" w:type="dxa"/>
              <w:left w:w="53" w:type="dxa"/>
              <w:bottom w:w="0" w:type="dxa"/>
              <w:right w:w="15" w:type="dxa"/>
            </w:tcMar>
            <w:vAlign w:val="bottom"/>
          </w:tcPr>
          <w:p>
            <w:pPr>
              <w:pageBreakBefore w:val="0"/>
              <w:spacing w:before="75" w:after="30" w:line="240" w:lineRule="auto"/>
              <w:jc w:val="center"/>
            </w:pPr>
            <w:r>
              <w:rPr>
                <w:rFonts w:ascii="Times New Roman" w:eastAsia="Times New Roman" w:hAnsi="Times New Roman" w:cs="Times New Roman"/>
                <w:b w:val="0"/>
                <w:i w:val="0"/>
                <w:color w:val="000000"/>
                <w:sz w:val="16"/>
                <w:u w:val="none"/>
              </w:rPr>
              <w:t>(2)</w:t>
            </w:r>
          </w:p>
        </w:tc>
        <w:tc>
          <w:tcPr>
            <w:tcW w:w="7065" w:type="dxa"/>
            <w:tcBorders>
              <w:top w:val="nil"/>
              <w:left w:val="nil"/>
              <w:bottom w:val="nil"/>
              <w:right w:val="nil"/>
            </w:tcBorders>
            <w:tcMar>
              <w:top w:w="0" w:type="dxa"/>
              <w:left w:w="53" w:type="dxa"/>
              <w:bottom w:w="0" w:type="dxa"/>
              <w:right w:w="53" w:type="dxa"/>
            </w:tcMar>
            <w:vAlign w:val="bottom"/>
          </w:tcPr>
          <w:p>
            <w:pPr>
              <w:pageBreakBefore w:val="0"/>
              <w:spacing w:before="75" w:after="30" w:line="240" w:lineRule="auto"/>
              <w:jc w:val="left"/>
            </w:pPr>
            <w:r>
              <w:rPr>
                <w:rFonts w:ascii="Times New Roman" w:eastAsia="Times New Roman" w:hAnsi="Times New Roman" w:cs="Times New Roman"/>
                <w:b w:val="0"/>
                <w:i w:val="0"/>
                <w:color w:val="000000"/>
                <w:sz w:val="16"/>
                <w:u w:val="none"/>
              </w:rPr>
              <w:t>Natural gas price measured in dollars per million British thermal units (Btu), or MMBtu.</w:t>
            </w:r>
          </w:p>
        </w:tc>
      </w:tr>
    </w:tbl>
    <w:p>
      <w:pPr>
        <w:keepNext/>
        <w:keepLines w:val="0"/>
        <w:pageBreakBefore w:val="0"/>
        <w:widowControl/>
        <w:numPr>
          <w:ilvl w:val="0"/>
          <w:numId w:val="0"/>
        </w:numPr>
        <w:spacing w:before="16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historical average rig counts based on the weekly Baker Hughes rig count data w</w:t>
      </w:r>
      <w:r>
        <w:rPr>
          <w:rFonts w:ascii="Times New Roman" w:eastAsia="Times New Roman" w:hAnsi="Times New Roman" w:cs="Times New Roman"/>
          <w:b w:val="0"/>
          <w:i w:val="0"/>
          <w:color w:val="000000"/>
          <w:sz w:val="20"/>
          <w:u w:val="none"/>
        </w:rPr>
        <w:t>ere as follows:</w:t>
      </w:r>
    </w:p>
    <w:tbl>
      <w:tblPr>
        <w:tblW w:w="7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225"/>
        <w:gridCol w:w="1260"/>
        <w:gridCol w:w="1260"/>
        <w:gridCol w:w="1320"/>
      </w:tblGrid>
      <w:tr>
        <w:tblPrEx>
          <w:tblW w:w="7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00"/>
          <w:jc w:val="center"/>
        </w:trPr>
        <w:tc>
          <w:tcPr>
            <w:tcW w:w="3225"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p>
        </w:tc>
        <w:tc>
          <w:tcPr>
            <w:tcW w:w="2520" w:type="dxa"/>
            <w:gridSpan w:val="2"/>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Three Months Ended</w:t>
            </w:r>
          </w:p>
        </w:tc>
        <w:tc>
          <w:tcPr>
            <w:tcW w:w="1320"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Year Ended</w:t>
            </w:r>
          </w:p>
        </w:tc>
      </w:tr>
      <w:tr>
        <w:tblPrEx>
          <w:tblW w:w="7065" w:type="dxa"/>
          <w:jc w:val="center"/>
          <w:tblLayout w:type="fixed"/>
          <w:tblCellMar>
            <w:left w:w="108" w:type="dxa"/>
            <w:right w:w="108" w:type="dxa"/>
          </w:tblCellMar>
        </w:tblPrEx>
        <w:trPr>
          <w:cantSplit/>
          <w:trHeight w:hRule="exact" w:val="300"/>
          <w:jc w:val="center"/>
        </w:trPr>
        <w:tc>
          <w:tcPr>
            <w:tcW w:w="3225"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p>
        </w:tc>
        <w:tc>
          <w:tcPr>
            <w:tcW w:w="2520" w:type="dxa"/>
            <w:gridSpan w:val="2"/>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 xml:space="preserve">March 31, </w:t>
            </w:r>
          </w:p>
        </w:tc>
        <w:tc>
          <w:tcPr>
            <w:tcW w:w="132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December 31,</w:t>
            </w:r>
          </w:p>
        </w:tc>
      </w:tr>
      <w:tr>
        <w:tblPrEx>
          <w:tblW w:w="7065" w:type="dxa"/>
          <w:jc w:val="center"/>
          <w:tblLayout w:type="fixed"/>
          <w:tblCellMar>
            <w:left w:w="108" w:type="dxa"/>
            <w:right w:w="108" w:type="dxa"/>
          </w:tblCellMar>
        </w:tblPrEx>
        <w:trPr>
          <w:cantSplit/>
          <w:trHeight w:hRule="exact" w:val="300"/>
          <w:jc w:val="center"/>
        </w:trPr>
        <w:tc>
          <w:tcPr>
            <w:tcW w:w="322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left"/>
            </w:pPr>
          </w:p>
        </w:tc>
        <w:tc>
          <w:tcPr>
            <w:tcW w:w="126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2025</w:t>
            </w:r>
          </w:p>
        </w:tc>
        <w:tc>
          <w:tcPr>
            <w:tcW w:w="126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2024</w:t>
            </w:r>
          </w:p>
        </w:tc>
        <w:tc>
          <w:tcPr>
            <w:tcW w:w="132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2024</w:t>
            </w:r>
          </w:p>
        </w:tc>
      </w:tr>
      <w:tr>
        <w:tblPrEx>
          <w:tblW w:w="7065" w:type="dxa"/>
          <w:jc w:val="center"/>
          <w:tblLayout w:type="fixed"/>
          <w:tblCellMar>
            <w:left w:w="108" w:type="dxa"/>
            <w:right w:w="108" w:type="dxa"/>
          </w:tblCellMar>
        </w:tblPrEx>
        <w:trPr>
          <w:cantSplit/>
          <w:trHeight w:hRule="exact" w:val="300"/>
          <w:jc w:val="center"/>
        </w:trPr>
        <w:tc>
          <w:tcPr>
            <w:tcW w:w="322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20"/>
                <w:u w:val="none"/>
              </w:rPr>
              <w:t>US Land</w:t>
            </w:r>
          </w:p>
        </w:tc>
        <w:tc>
          <w:tcPr>
            <w:tcW w:w="126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27"/>
                <w:tab w:val="left" w:pos="1192"/>
              </w:tabs>
              <w:spacing w:before="55" w:after="30" w:line="240" w:lineRule="auto"/>
              <w:jc w:val="right"/>
            </w:pPr>
            <w:r>
              <w:rPr>
                <w:rFonts w:ascii="Times New Roman" w:eastAsia="Times New Roman" w:hAnsi="Times New Roman" w:cs="Times New Roman"/>
                <w:b w:val="0"/>
                <w:i w:val="0"/>
                <w:color w:val="000000"/>
                <w:sz w:val="20"/>
                <w:u w:val="none"/>
              </w:rPr>
              <w:tab/>
              <w:t>573</w:t>
              <w:tab/>
            </w:r>
          </w:p>
        </w:tc>
        <w:tc>
          <w:tcPr>
            <w:tcW w:w="126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27"/>
                <w:tab w:val="left" w:pos="1192"/>
              </w:tabs>
              <w:spacing w:before="55" w:after="30" w:line="240" w:lineRule="auto"/>
              <w:jc w:val="right"/>
            </w:pPr>
            <w:r>
              <w:rPr>
                <w:rFonts w:ascii="Times New Roman" w:eastAsia="Times New Roman" w:hAnsi="Times New Roman" w:cs="Times New Roman"/>
                <w:b w:val="0"/>
                <w:i w:val="0"/>
                <w:color w:val="000000"/>
                <w:sz w:val="20"/>
                <w:u w:val="none"/>
              </w:rPr>
              <w:tab/>
              <w:t>602</w:t>
              <w:tab/>
            </w:r>
          </w:p>
        </w:tc>
        <w:tc>
          <w:tcPr>
            <w:tcW w:w="132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87"/>
                <w:tab w:val="left" w:pos="1252"/>
              </w:tabs>
              <w:spacing w:before="55" w:after="30" w:line="240" w:lineRule="auto"/>
              <w:jc w:val="right"/>
            </w:pPr>
            <w:r>
              <w:rPr>
                <w:rFonts w:ascii="Times New Roman" w:eastAsia="Times New Roman" w:hAnsi="Times New Roman" w:cs="Times New Roman"/>
                <w:b w:val="0"/>
                <w:i w:val="0"/>
                <w:color w:val="000000"/>
                <w:sz w:val="20"/>
                <w:u w:val="none"/>
              </w:rPr>
              <w:tab/>
              <w:t>580</w:t>
              <w:tab/>
            </w:r>
          </w:p>
        </w:tc>
      </w:tr>
      <w:tr>
        <w:tblPrEx>
          <w:tblW w:w="7065" w:type="dxa"/>
          <w:jc w:val="center"/>
          <w:tblLayout w:type="fixed"/>
          <w:tblCellMar>
            <w:left w:w="108" w:type="dxa"/>
            <w:right w:w="108" w:type="dxa"/>
          </w:tblCellMar>
        </w:tblPrEx>
        <w:trPr>
          <w:cantSplit/>
          <w:trHeight w:hRule="exact" w:val="300"/>
          <w:jc w:val="center"/>
        </w:trPr>
        <w:tc>
          <w:tcPr>
            <w:tcW w:w="322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US Offshore</w:t>
            </w:r>
          </w:p>
        </w:tc>
        <w:tc>
          <w:tcPr>
            <w:tcW w:w="12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27"/>
                <w:tab w:val="left" w:pos="1192"/>
              </w:tabs>
              <w:spacing w:before="75" w:after="30" w:line="240" w:lineRule="auto"/>
              <w:jc w:val="right"/>
            </w:pPr>
            <w:r>
              <w:rPr>
                <w:rFonts w:ascii="Times New Roman" w:eastAsia="Times New Roman" w:hAnsi="Times New Roman" w:cs="Times New Roman"/>
                <w:b w:val="0"/>
                <w:i w:val="0"/>
                <w:color w:val="000000"/>
                <w:sz w:val="20"/>
                <w:u w:val="none"/>
              </w:rPr>
              <w:tab/>
              <w:t>15</w:t>
              <w:tab/>
            </w:r>
          </w:p>
        </w:tc>
        <w:tc>
          <w:tcPr>
            <w:tcW w:w="12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27"/>
                <w:tab w:val="left" w:pos="1192"/>
              </w:tabs>
              <w:spacing w:before="75" w:after="30" w:line="240" w:lineRule="auto"/>
              <w:jc w:val="right"/>
            </w:pPr>
            <w:r>
              <w:rPr>
                <w:rFonts w:ascii="Times New Roman" w:eastAsia="Times New Roman" w:hAnsi="Times New Roman" w:cs="Times New Roman"/>
                <w:b w:val="0"/>
                <w:i w:val="0"/>
                <w:color w:val="000000"/>
                <w:sz w:val="20"/>
                <w:u w:val="none"/>
              </w:rPr>
              <w:tab/>
              <w:t>21</w:t>
              <w:tab/>
            </w:r>
          </w:p>
        </w:tc>
        <w:tc>
          <w:tcPr>
            <w:tcW w:w="13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87"/>
                <w:tab w:val="left" w:pos="1252"/>
              </w:tabs>
              <w:spacing w:before="75" w:after="30" w:line="240" w:lineRule="auto"/>
              <w:jc w:val="right"/>
            </w:pPr>
            <w:r>
              <w:rPr>
                <w:rFonts w:ascii="Times New Roman" w:eastAsia="Times New Roman" w:hAnsi="Times New Roman" w:cs="Times New Roman"/>
                <w:b w:val="0"/>
                <w:i w:val="0"/>
                <w:color w:val="000000"/>
                <w:sz w:val="20"/>
                <w:u w:val="none"/>
              </w:rPr>
              <w:tab/>
              <w:t>19</w:t>
              <w:tab/>
            </w:r>
          </w:p>
        </w:tc>
      </w:tr>
      <w:tr>
        <w:tblPrEx>
          <w:tblW w:w="7065" w:type="dxa"/>
          <w:jc w:val="center"/>
          <w:tblLayout w:type="fixed"/>
          <w:tblCellMar>
            <w:left w:w="108" w:type="dxa"/>
            <w:right w:w="108" w:type="dxa"/>
          </w:tblCellMar>
        </w:tblPrEx>
        <w:trPr>
          <w:cantSplit/>
          <w:trHeight w:hRule="exact" w:val="300"/>
          <w:jc w:val="center"/>
        </w:trPr>
        <w:tc>
          <w:tcPr>
            <w:tcW w:w="3225"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pPr>
              <w:keepNext/>
              <w:pageBreakBefore w:val="0"/>
              <w:spacing w:before="55" w:after="30" w:line="240" w:lineRule="auto"/>
              <w:ind w:left="15"/>
              <w:jc w:val="left"/>
            </w:pPr>
            <w:r>
              <w:rPr>
                <w:rFonts w:ascii="Times New Roman" w:eastAsia="Times New Roman" w:hAnsi="Times New Roman" w:cs="Times New Roman"/>
                <w:b w:val="0"/>
                <w:i w:val="0"/>
                <w:color w:val="000000"/>
                <w:sz w:val="20"/>
                <w:u w:val="none"/>
              </w:rPr>
              <w:t>Canada</w:t>
            </w:r>
          </w:p>
        </w:tc>
        <w:tc>
          <w:tcPr>
            <w:tcW w:w="126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27"/>
                <w:tab w:val="left" w:pos="1192"/>
              </w:tabs>
              <w:spacing w:before="55" w:after="30" w:line="240" w:lineRule="auto"/>
              <w:jc w:val="right"/>
            </w:pPr>
            <w:r>
              <w:rPr>
                <w:rFonts w:ascii="Times New Roman" w:eastAsia="Times New Roman" w:hAnsi="Times New Roman" w:cs="Times New Roman"/>
                <w:b w:val="0"/>
                <w:i w:val="0"/>
                <w:color w:val="000000"/>
                <w:sz w:val="20"/>
                <w:u w:val="none"/>
              </w:rPr>
              <w:tab/>
              <w:t>216</w:t>
              <w:tab/>
            </w:r>
          </w:p>
        </w:tc>
        <w:tc>
          <w:tcPr>
            <w:tcW w:w="126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27"/>
                <w:tab w:val="left" w:pos="1192"/>
              </w:tabs>
              <w:spacing w:before="55" w:after="30" w:line="240" w:lineRule="auto"/>
              <w:jc w:val="right"/>
            </w:pPr>
            <w:r>
              <w:rPr>
                <w:rFonts w:ascii="Times New Roman" w:eastAsia="Times New Roman" w:hAnsi="Times New Roman" w:cs="Times New Roman"/>
                <w:b w:val="0"/>
                <w:i w:val="0"/>
                <w:color w:val="000000"/>
                <w:sz w:val="20"/>
                <w:u w:val="none"/>
              </w:rPr>
              <w:tab/>
              <w:t>208</w:t>
              <w:tab/>
            </w:r>
          </w:p>
        </w:tc>
        <w:tc>
          <w:tcPr>
            <w:tcW w:w="132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87"/>
                <w:tab w:val="left" w:pos="1252"/>
              </w:tabs>
              <w:spacing w:before="55" w:after="30" w:line="240" w:lineRule="auto"/>
              <w:jc w:val="right"/>
            </w:pPr>
            <w:r>
              <w:rPr>
                <w:rFonts w:ascii="Times New Roman" w:eastAsia="Times New Roman" w:hAnsi="Times New Roman" w:cs="Times New Roman"/>
                <w:b w:val="0"/>
                <w:i w:val="0"/>
                <w:color w:val="000000"/>
                <w:sz w:val="20"/>
                <w:u w:val="none"/>
              </w:rPr>
              <w:tab/>
              <w:t>187</w:t>
              <w:tab/>
            </w:r>
          </w:p>
        </w:tc>
      </w:tr>
      <w:tr>
        <w:tblPrEx>
          <w:tblW w:w="7065" w:type="dxa"/>
          <w:jc w:val="center"/>
          <w:tblLayout w:type="fixed"/>
          <w:tblCellMar>
            <w:left w:w="108" w:type="dxa"/>
            <w:right w:w="108" w:type="dxa"/>
          </w:tblCellMar>
        </w:tblPrEx>
        <w:trPr>
          <w:cantSplit/>
          <w:trHeight w:hRule="exact" w:val="300"/>
          <w:jc w:val="center"/>
        </w:trPr>
        <w:tc>
          <w:tcPr>
            <w:tcW w:w="322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55" w:after="30" w:line="240" w:lineRule="auto"/>
              <w:ind w:left="120"/>
              <w:jc w:val="left"/>
            </w:pPr>
            <w:r>
              <w:rPr>
                <w:rFonts w:ascii="Times New Roman" w:eastAsia="Times New Roman" w:hAnsi="Times New Roman" w:cs="Times New Roman"/>
                <w:b w:val="0"/>
                <w:i w:val="0"/>
                <w:color w:val="000000"/>
                <w:sz w:val="20"/>
                <w:u w:val="none"/>
              </w:rPr>
              <w:t>North America</w:t>
            </w:r>
          </w:p>
        </w:tc>
        <w:tc>
          <w:tcPr>
            <w:tcW w:w="126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27"/>
                <w:tab w:val="left" w:pos="1192"/>
              </w:tabs>
              <w:spacing w:before="55" w:after="30" w:line="240" w:lineRule="auto"/>
              <w:jc w:val="right"/>
            </w:pPr>
            <w:r>
              <w:rPr>
                <w:rFonts w:ascii="Times New Roman" w:eastAsia="Times New Roman" w:hAnsi="Times New Roman" w:cs="Times New Roman"/>
                <w:b w:val="0"/>
                <w:i w:val="0"/>
                <w:color w:val="000000"/>
                <w:sz w:val="20"/>
                <w:u w:val="none"/>
              </w:rPr>
              <w:tab/>
              <w:t>804</w:t>
              <w:tab/>
            </w:r>
          </w:p>
        </w:tc>
        <w:tc>
          <w:tcPr>
            <w:tcW w:w="126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27"/>
                <w:tab w:val="left" w:pos="1192"/>
              </w:tabs>
              <w:spacing w:before="55" w:after="30" w:line="240" w:lineRule="auto"/>
              <w:jc w:val="right"/>
            </w:pPr>
            <w:r>
              <w:rPr>
                <w:rFonts w:ascii="Times New Roman" w:eastAsia="Times New Roman" w:hAnsi="Times New Roman" w:cs="Times New Roman"/>
                <w:b w:val="0"/>
                <w:i w:val="0"/>
                <w:color w:val="000000"/>
                <w:sz w:val="20"/>
                <w:u w:val="none"/>
              </w:rPr>
              <w:tab/>
              <w:t>831</w:t>
              <w:tab/>
            </w:r>
          </w:p>
        </w:tc>
        <w:tc>
          <w:tcPr>
            <w:tcW w:w="132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87"/>
                <w:tab w:val="left" w:pos="1252"/>
              </w:tabs>
              <w:spacing w:before="55" w:after="30" w:line="240" w:lineRule="auto"/>
              <w:jc w:val="right"/>
            </w:pPr>
            <w:r>
              <w:rPr>
                <w:rFonts w:ascii="Times New Roman" w:eastAsia="Times New Roman" w:hAnsi="Times New Roman" w:cs="Times New Roman"/>
                <w:b w:val="0"/>
                <w:i w:val="0"/>
                <w:color w:val="000000"/>
                <w:sz w:val="20"/>
                <w:u w:val="none"/>
              </w:rPr>
              <w:tab/>
              <w:t>786</w:t>
              <w:tab/>
            </w:r>
          </w:p>
        </w:tc>
      </w:tr>
      <w:tr>
        <w:tblPrEx>
          <w:tblW w:w="7065" w:type="dxa"/>
          <w:jc w:val="center"/>
          <w:tblLayout w:type="fixed"/>
          <w:tblCellMar>
            <w:left w:w="108" w:type="dxa"/>
            <w:right w:w="108" w:type="dxa"/>
          </w:tblCellMar>
        </w:tblPrEx>
        <w:trPr>
          <w:cantSplit/>
          <w:trHeight w:hRule="exact" w:val="300"/>
          <w:jc w:val="center"/>
        </w:trPr>
        <w:tc>
          <w:tcPr>
            <w:tcW w:w="3225" w:type="dxa"/>
            <w:tcBorders>
              <w:top w:val="single" w:sz="8" w:space="0" w:color="000000"/>
              <w:left w:val="nil"/>
              <w:bottom w:val="single" w:sz="8" w:space="0" w:color="000000"/>
              <w:right w:val="nil"/>
            </w:tcBorders>
            <w:shd w:val="clear" w:color="auto" w:fill="CCEEFF"/>
            <w:tcMar>
              <w:top w:w="0" w:type="dxa"/>
              <w:left w:w="53" w:type="dxa"/>
              <w:bottom w:w="0" w:type="dxa"/>
              <w:right w:w="53" w:type="dxa"/>
            </w:tcMar>
            <w:vAlign w:val="bottom"/>
          </w:tcPr>
          <w:p>
            <w:pPr>
              <w:keepNext/>
              <w:pageBreakBefore w:val="0"/>
              <w:spacing w:before="55" w:after="30" w:line="240" w:lineRule="auto"/>
              <w:ind w:left="120"/>
              <w:jc w:val="left"/>
            </w:pPr>
            <w:r>
              <w:rPr>
                <w:rFonts w:ascii="Times New Roman" w:eastAsia="Times New Roman" w:hAnsi="Times New Roman" w:cs="Times New Roman"/>
                <w:b w:val="0"/>
                <w:i w:val="0"/>
                <w:color w:val="000000"/>
                <w:sz w:val="20"/>
                <w:u w:val="none"/>
              </w:rPr>
              <w:t>International</w:t>
            </w:r>
          </w:p>
        </w:tc>
        <w:tc>
          <w:tcPr>
            <w:tcW w:w="126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27"/>
                <w:tab w:val="left" w:pos="1192"/>
              </w:tabs>
              <w:spacing w:before="55" w:after="30" w:line="240" w:lineRule="auto"/>
              <w:jc w:val="right"/>
            </w:pPr>
            <w:r>
              <w:rPr>
                <w:rFonts w:ascii="Times New Roman" w:eastAsia="Times New Roman" w:hAnsi="Times New Roman" w:cs="Times New Roman"/>
                <w:b w:val="0"/>
                <w:i w:val="0"/>
                <w:color w:val="000000"/>
                <w:sz w:val="20"/>
                <w:u w:val="none"/>
              </w:rPr>
              <w:tab/>
              <w:t>903</w:t>
              <w:tab/>
            </w:r>
          </w:p>
        </w:tc>
        <w:tc>
          <w:tcPr>
            <w:tcW w:w="126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27"/>
                <w:tab w:val="left" w:pos="1192"/>
              </w:tabs>
              <w:spacing w:before="55" w:after="30" w:line="240" w:lineRule="auto"/>
              <w:jc w:val="right"/>
            </w:pPr>
            <w:r>
              <w:rPr>
                <w:rFonts w:ascii="Times New Roman" w:eastAsia="Times New Roman" w:hAnsi="Times New Roman" w:cs="Times New Roman"/>
                <w:b w:val="0"/>
                <w:i w:val="0"/>
                <w:color w:val="000000"/>
                <w:sz w:val="20"/>
                <w:u w:val="none"/>
              </w:rPr>
              <w:tab/>
              <w:t>965</w:t>
              <w:tab/>
            </w:r>
          </w:p>
        </w:tc>
        <w:tc>
          <w:tcPr>
            <w:tcW w:w="132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87"/>
                <w:tab w:val="left" w:pos="1252"/>
              </w:tabs>
              <w:spacing w:before="55" w:after="30" w:line="240" w:lineRule="auto"/>
              <w:jc w:val="right"/>
            </w:pPr>
            <w:r>
              <w:rPr>
                <w:rFonts w:ascii="Times New Roman" w:eastAsia="Times New Roman" w:hAnsi="Times New Roman" w:cs="Times New Roman"/>
                <w:b w:val="0"/>
                <w:i w:val="0"/>
                <w:color w:val="000000"/>
                <w:sz w:val="20"/>
                <w:u w:val="none"/>
              </w:rPr>
              <w:tab/>
              <w:t>948</w:t>
              <w:tab/>
            </w:r>
          </w:p>
        </w:tc>
      </w:tr>
      <w:tr>
        <w:tblPrEx>
          <w:tblW w:w="7065" w:type="dxa"/>
          <w:jc w:val="center"/>
          <w:tblLayout w:type="fixed"/>
          <w:tblCellMar>
            <w:left w:w="108" w:type="dxa"/>
            <w:right w:w="108" w:type="dxa"/>
          </w:tblCellMar>
        </w:tblPrEx>
        <w:trPr>
          <w:cantSplit/>
          <w:trHeight w:hRule="exact" w:val="300"/>
          <w:jc w:val="center"/>
        </w:trPr>
        <w:tc>
          <w:tcPr>
            <w:tcW w:w="3225" w:type="dxa"/>
            <w:tcBorders>
              <w:top w:val="single" w:sz="8" w:space="0" w:color="000000"/>
              <w:left w:val="nil"/>
              <w:bottom w:val="double" w:sz="8" w:space="0" w:color="000000"/>
              <w:right w:val="nil"/>
            </w:tcBorders>
            <w:shd w:val="clear" w:color="auto" w:fill="FFFFFF"/>
            <w:tcMar>
              <w:top w:w="0" w:type="dxa"/>
              <w:left w:w="53" w:type="dxa"/>
              <w:bottom w:w="0" w:type="dxa"/>
              <w:right w:w="53" w:type="dxa"/>
            </w:tcMar>
            <w:vAlign w:val="bottom"/>
          </w:tcPr>
          <w:p>
            <w:pPr>
              <w:pageBreakBefore w:val="0"/>
              <w:spacing w:before="15" w:after="30" w:line="240" w:lineRule="auto"/>
              <w:jc w:val="left"/>
            </w:pPr>
            <w:r>
              <w:rPr>
                <w:rFonts w:ascii="Times New Roman" w:eastAsia="Times New Roman" w:hAnsi="Times New Roman" w:cs="Times New Roman"/>
                <w:b w:val="0"/>
                <w:i w:val="0"/>
                <w:color w:val="000000"/>
                <w:sz w:val="20"/>
                <w:u w:val="none"/>
              </w:rPr>
              <w:t>Worldwide Total</w:t>
            </w:r>
          </w:p>
        </w:tc>
        <w:tc>
          <w:tcPr>
            <w:tcW w:w="126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677"/>
                <w:tab w:val="left" w:pos="1192"/>
              </w:tabs>
              <w:spacing w:before="15" w:after="30" w:line="240" w:lineRule="auto"/>
              <w:jc w:val="right"/>
            </w:pPr>
            <w:r>
              <w:rPr>
                <w:rFonts w:ascii="Times New Roman" w:eastAsia="Times New Roman" w:hAnsi="Times New Roman" w:cs="Times New Roman"/>
                <w:b w:val="0"/>
                <w:i w:val="0"/>
                <w:color w:val="000000"/>
                <w:sz w:val="20"/>
                <w:u w:val="none"/>
              </w:rPr>
              <w:tab/>
              <w:t>1,707</w:t>
              <w:tab/>
            </w:r>
          </w:p>
        </w:tc>
        <w:tc>
          <w:tcPr>
            <w:tcW w:w="126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677"/>
                <w:tab w:val="left" w:pos="1192"/>
              </w:tabs>
              <w:spacing w:before="15" w:after="30" w:line="240" w:lineRule="auto"/>
              <w:jc w:val="right"/>
            </w:pPr>
            <w:r>
              <w:rPr>
                <w:rFonts w:ascii="Times New Roman" w:eastAsia="Times New Roman" w:hAnsi="Times New Roman" w:cs="Times New Roman"/>
                <w:b w:val="0"/>
                <w:i w:val="0"/>
                <w:color w:val="000000"/>
                <w:sz w:val="20"/>
                <w:u w:val="none"/>
              </w:rPr>
              <w:tab/>
              <w:t>1,796</w:t>
              <w:tab/>
            </w:r>
          </w:p>
        </w:tc>
        <w:tc>
          <w:tcPr>
            <w:tcW w:w="132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737"/>
                <w:tab w:val="left" w:pos="1252"/>
              </w:tabs>
              <w:spacing w:before="15" w:after="30" w:line="240" w:lineRule="auto"/>
              <w:jc w:val="right"/>
            </w:pPr>
            <w:r>
              <w:rPr>
                <w:rFonts w:ascii="Times New Roman" w:eastAsia="Times New Roman" w:hAnsi="Times New Roman" w:cs="Times New Roman"/>
                <w:b w:val="0"/>
                <w:i w:val="0"/>
                <w:color w:val="000000"/>
                <w:sz w:val="20"/>
                <w:u w:val="none"/>
              </w:rPr>
              <w:tab/>
              <w:t>1,734</w:t>
              <w:tab/>
            </w:r>
          </w:p>
        </w:tc>
      </w:tr>
    </w:tbl>
    <w:p>
      <w:pPr>
        <w:keepNext w:val="0"/>
        <w:keepLines w:val="0"/>
        <w:pageBreakBefore w:val="0"/>
        <w:widowControl/>
        <w:numPr>
          <w:ilvl w:val="0"/>
          <w:numId w:val="0"/>
        </w:numPr>
        <w:spacing w:before="160" w:after="160" w:line="288" w:lineRule="auto"/>
        <w:ind w:left="0" w:right="0" w:firstLine="0"/>
        <w:jc w:val="left"/>
        <w:outlineLvl w:val="9"/>
        <w:rPr>
          <w:rFonts w:ascii="Times New Roman" w:eastAsia="Times New Roman" w:hAnsi="Times New Roman" w:cs="Times New Roman"/>
          <w:b/>
          <w:i/>
          <w:sz w:val="20"/>
        </w:rPr>
      </w:pPr>
    </w:p>
    <w:p>
      <w:pPr>
        <w:keepNext w:val="0"/>
        <w:keepLines w:val="0"/>
        <w:pageBreakBefore w:val="0"/>
        <w:widowControl/>
        <w:numPr>
          <w:ilvl w:val="0"/>
          <w:numId w:val="0"/>
        </w:numPr>
        <w:spacing w:before="0" w:after="160" w:line="288" w:lineRule="auto"/>
        <w:ind w:left="0" w:right="0" w:firstLine="0"/>
        <w:jc w:val="left"/>
        <w:outlineLvl w:val="9"/>
        <w:rPr>
          <w:rFonts w:ascii="Times New Roman" w:eastAsia="Times New Roman" w:hAnsi="Times New Roman" w:cs="Times New Roman"/>
          <w:b/>
          <w:i/>
          <w:sz w:val="20"/>
        </w:rPr>
      </w:pPr>
    </w:p>
    <w:p>
      <w:pPr>
        <w:keepNext/>
        <w:keepLines/>
        <w:pageBreakBefore w:val="0"/>
        <w:widowControl w:val="0"/>
        <w:numPr>
          <w:ilvl w:val="0"/>
          <w:numId w:val="0"/>
        </w:numPr>
        <w:spacing w:before="0" w:after="0" w:line="288" w:lineRule="auto"/>
        <w:ind w:left="0" w:right="0" w:firstLine="720"/>
        <w:jc w:val="left"/>
        <w:outlineLvl w:val="9"/>
        <w:rPr>
          <w:rFonts w:ascii="Times New Roman" w:eastAsia="Times New Roman" w:hAnsi="Times New Roman" w:cs="Times New Roman"/>
          <w:b/>
          <w:i/>
          <w:color w:val="212529"/>
          <w:sz w:val="20"/>
          <w:u w:val="none"/>
        </w:rPr>
      </w:pPr>
      <w:r>
        <w:rPr>
          <w:rFonts w:ascii="Times New Roman" w:eastAsia="Times New Roman" w:hAnsi="Times New Roman" w:cs="Times New Roman"/>
          <w:b/>
          <w:i/>
          <w:color w:val="000000"/>
          <w:sz w:val="20"/>
          <w:u w:val="none"/>
        </w:rPr>
        <w:t>Business outlook</w:t>
      </w:r>
    </w:p>
    <w:p>
      <w:pPr>
        <w:keepNext/>
        <w:keepLines/>
        <w:pageBreakBefore w:val="0"/>
        <w:widowControl w:val="0"/>
        <w:numPr>
          <w:ilvl w:val="0"/>
          <w:numId w:val="0"/>
        </w:numPr>
        <w:spacing w:before="0" w:after="0" w:line="257"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00"/>
          <w:sz w:val="20"/>
          <w:u w:val="none"/>
        </w:rPr>
        <w:t>The tariffs</w:t>
      </w:r>
      <w:r>
        <w:rPr>
          <w:rFonts w:ascii="Times New Roman" w:eastAsia="Times New Roman" w:hAnsi="Times New Roman" w:cs="Times New Roman"/>
          <w:b w:val="0"/>
          <w:i w:val="0"/>
          <w:sz w:val="20"/>
        </w:rPr>
        <w:t xml:space="preserve"> announced on April 2, 2025 by the U</w:t>
      </w:r>
      <w:r>
        <w:rPr>
          <w:rFonts w:ascii="Times New Roman" w:eastAsia="Times New Roman" w:hAnsi="Times New Roman" w:cs="Times New Roman"/>
          <w:b w:val="0"/>
          <w:i w:val="0"/>
          <w:sz w:val="20"/>
        </w:rPr>
        <w:t xml:space="preserve">nited </w:t>
      </w:r>
      <w:r>
        <w:rPr>
          <w:rFonts w:ascii="Times New Roman" w:eastAsia="Times New Roman" w:hAnsi="Times New Roman" w:cs="Times New Roman"/>
          <w:b w:val="0"/>
          <w:i w:val="0"/>
          <w:sz w:val="20"/>
        </w:rPr>
        <w:t>S</w:t>
      </w:r>
      <w:r>
        <w:rPr>
          <w:rFonts w:ascii="Times New Roman" w:eastAsia="Times New Roman" w:hAnsi="Times New Roman" w:cs="Times New Roman"/>
          <w:b w:val="0"/>
          <w:i w:val="0"/>
          <w:sz w:val="20"/>
        </w:rPr>
        <w:t>tates government</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include</w:t>
      </w:r>
      <w:r>
        <w:rPr>
          <w:rFonts w:ascii="Times New Roman" w:eastAsia="Times New Roman" w:hAnsi="Times New Roman" w:cs="Times New Roman"/>
          <w:b w:val="0"/>
          <w:i w:val="0"/>
          <w:sz w:val="20"/>
        </w:rPr>
        <w:t>d</w:t>
      </w:r>
      <w:r>
        <w:rPr>
          <w:rFonts w:ascii="Times New Roman" w:eastAsia="Times New Roman" w:hAnsi="Times New Roman" w:cs="Times New Roman"/>
          <w:b w:val="0"/>
          <w:i w:val="0"/>
          <w:sz w:val="20"/>
        </w:rPr>
        <w:t xml:space="preserve"> sweeping measures affecting </w:t>
      </w:r>
      <w:r>
        <w:rPr>
          <w:rFonts w:ascii="Times New Roman" w:eastAsia="Times New Roman" w:hAnsi="Times New Roman" w:cs="Times New Roman"/>
          <w:b w:val="0"/>
          <w:i w:val="0"/>
          <w:sz w:val="20"/>
        </w:rPr>
        <w:t>man</w:t>
      </w:r>
      <w:r>
        <w:rPr>
          <w:rFonts w:ascii="Times New Roman" w:eastAsia="Times New Roman" w:hAnsi="Times New Roman" w:cs="Times New Roman"/>
          <w:b w:val="0"/>
          <w:i w:val="0"/>
          <w:sz w:val="20"/>
        </w:rPr>
        <w:t>y</w:t>
      </w:r>
      <w:r>
        <w:rPr>
          <w:rFonts w:ascii="Times New Roman" w:eastAsia="Times New Roman" w:hAnsi="Times New Roman" w:cs="Times New Roman"/>
          <w:b w:val="0"/>
          <w:i w:val="0"/>
          <w:sz w:val="20"/>
        </w:rPr>
        <w:t xml:space="preserve"> goods imported into the United States, with rates starting at 10%</w:t>
      </w:r>
      <w:r>
        <w:rPr>
          <w:rFonts w:ascii="Times New Roman" w:eastAsia="Times New Roman" w:hAnsi="Times New Roman" w:cs="Times New Roman"/>
          <w:b w:val="0"/>
          <w:i w:val="0"/>
          <w:sz w:val="20"/>
        </w:rPr>
        <w:t>,</w:t>
      </w:r>
      <w:r>
        <w:rPr>
          <w:rFonts w:ascii="Times New Roman" w:eastAsia="Times New Roman" w:hAnsi="Times New Roman" w:cs="Times New Roman"/>
          <w:b w:val="0"/>
          <w:i w:val="0"/>
          <w:sz w:val="20"/>
        </w:rPr>
        <w:t xml:space="preserve"> and higher rates for specific countries and products</w:t>
      </w:r>
      <w:r>
        <w:rPr>
          <w:rFonts w:ascii="Times New Roman" w:eastAsia="Times New Roman" w:hAnsi="Times New Roman" w:cs="Times New Roman"/>
          <w:b w:val="0"/>
          <w:i w:val="0"/>
          <w:sz w:val="20"/>
        </w:rPr>
        <w:t>. These tariffs could</w:t>
      </w:r>
      <w:r>
        <w:rPr>
          <w:rFonts w:ascii="Times New Roman" w:eastAsia="Times New Roman" w:hAnsi="Times New Roman" w:cs="Times New Roman"/>
          <w:b w:val="0"/>
          <w:i w:val="0"/>
          <w:sz w:val="20"/>
        </w:rPr>
        <w:t xml:space="preserve"> s</w:t>
      </w:r>
      <w:r>
        <w:rPr>
          <w:rFonts w:ascii="Times New Roman" w:eastAsia="Times New Roman" w:hAnsi="Times New Roman" w:cs="Times New Roman"/>
          <w:b w:val="0"/>
          <w:i w:val="0"/>
          <w:sz w:val="20"/>
        </w:rPr>
        <w:t xml:space="preserve">ignificantly increase the cost of imported goods and materials. </w:t>
      </w:r>
      <w:r>
        <w:rPr>
          <w:rFonts w:ascii="Times New Roman" w:eastAsia="Times New Roman" w:hAnsi="Times New Roman" w:cs="Times New Roman"/>
          <w:b w:val="0"/>
          <w:i w:val="0"/>
          <w:sz w:val="20"/>
        </w:rPr>
        <w:t>The</w:t>
      </w:r>
      <w:r>
        <w:rPr>
          <w:rFonts w:ascii="Times New Roman" w:eastAsia="Times New Roman" w:hAnsi="Times New Roman" w:cs="Times New Roman"/>
          <w:b w:val="0"/>
          <w:i w:val="0"/>
          <w:sz w:val="20"/>
        </w:rPr>
        <w:t xml:space="preserve"> tariffs have brought</w:t>
      </w:r>
      <w:r>
        <w:rPr>
          <w:rFonts w:ascii="Times New Roman" w:eastAsia="Times New Roman" w:hAnsi="Times New Roman" w:cs="Times New Roman"/>
          <w:b w:val="0"/>
          <w:i w:val="0"/>
          <w:sz w:val="20"/>
        </w:rPr>
        <w:t xml:space="preserve"> uncertainty into markets, raised broad economic concerns, </w:t>
      </w:r>
      <w:r>
        <w:rPr>
          <w:rFonts w:ascii="Times New Roman" w:eastAsia="Times New Roman" w:hAnsi="Times New Roman" w:cs="Times New Roman"/>
          <w:b w:val="0"/>
          <w:i w:val="0"/>
          <w:sz w:val="20"/>
        </w:rPr>
        <w:t>which, together</w:t>
      </w:r>
      <w:r>
        <w:rPr>
          <w:rFonts w:ascii="Times New Roman" w:eastAsia="Times New Roman" w:hAnsi="Times New Roman" w:cs="Times New Roman"/>
          <w:b w:val="0"/>
          <w:i w:val="0"/>
          <w:sz w:val="20"/>
        </w:rPr>
        <w:t xml:space="preserve"> with the faster-than-expected return of OPEC production, </w:t>
      </w:r>
      <w:r>
        <w:rPr>
          <w:rFonts w:ascii="Times New Roman" w:eastAsia="Times New Roman" w:hAnsi="Times New Roman" w:cs="Times New Roman"/>
          <w:b w:val="0"/>
          <w:i w:val="0"/>
          <w:sz w:val="20"/>
        </w:rPr>
        <w:t xml:space="preserve">caused a decrease in the price of crude oil of </w:t>
      </w:r>
      <w:r>
        <w:rPr>
          <w:rFonts w:ascii="Times New Roman" w:eastAsia="Times New Roman" w:hAnsi="Times New Roman" w:cs="Times New Roman"/>
          <w:b w:val="0"/>
          <w:i w:val="0"/>
          <w:sz w:val="20"/>
        </w:rPr>
        <w:t>ap</w:t>
      </w:r>
      <w:r>
        <w:rPr>
          <w:rFonts w:ascii="Times New Roman" w:eastAsia="Times New Roman" w:hAnsi="Times New Roman" w:cs="Times New Roman"/>
          <w:b w:val="0"/>
          <w:i w:val="0"/>
          <w:sz w:val="20"/>
        </w:rPr>
        <w:t xml:space="preserve">proximately </w:t>
      </w:r>
      <w:r>
        <w:rPr>
          <w:rFonts w:ascii="Times New Roman" w:eastAsia="Times New Roman" w:hAnsi="Times New Roman" w:cs="Times New Roman"/>
          <w:b w:val="0"/>
          <w:i w:val="0"/>
          <w:sz w:val="20"/>
        </w:rPr>
        <w:t>1</w:t>
      </w:r>
      <w:r>
        <w:rPr>
          <w:rFonts w:ascii="Times New Roman" w:eastAsia="Times New Roman" w:hAnsi="Times New Roman" w:cs="Times New Roman"/>
          <w:b w:val="0"/>
          <w:i w:val="0"/>
          <w:sz w:val="20"/>
        </w:rPr>
        <w:t>0</w:t>
      </w:r>
      <w:r>
        <w:rPr>
          <w:rFonts w:ascii="Times New Roman" w:eastAsia="Times New Roman" w:hAnsi="Times New Roman" w:cs="Times New Roman"/>
          <w:b w:val="0"/>
          <w:i w:val="0"/>
          <w:sz w:val="20"/>
        </w:rPr>
        <w:t>%</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 xml:space="preserve">since the end of the </w:t>
      </w:r>
      <w:r>
        <w:rPr>
          <w:rFonts w:ascii="Times New Roman" w:eastAsia="Times New Roman" w:hAnsi="Times New Roman" w:cs="Times New Roman"/>
          <w:b w:val="0"/>
          <w:i w:val="0"/>
          <w:sz w:val="20"/>
        </w:rPr>
        <w:t xml:space="preserve">first </w:t>
      </w:r>
      <w:r>
        <w:rPr>
          <w:rFonts w:ascii="Times New Roman" w:eastAsia="Times New Roman" w:hAnsi="Times New Roman" w:cs="Times New Roman"/>
          <w:b w:val="0"/>
          <w:i w:val="0"/>
          <w:sz w:val="20"/>
        </w:rPr>
        <w:t>quarter</w:t>
      </w:r>
      <w:r>
        <w:rPr>
          <w:rFonts w:ascii="Times New Roman" w:eastAsia="Times New Roman" w:hAnsi="Times New Roman" w:cs="Times New Roman"/>
          <w:b w:val="0"/>
          <w:i w:val="0"/>
          <w:sz w:val="20"/>
        </w:rPr>
        <w:t xml:space="preserve"> of 2025</w:t>
      </w:r>
      <w:r>
        <w:rPr>
          <w:rFonts w:ascii="Times New Roman" w:eastAsia="Times New Roman" w:hAnsi="Times New Roman" w:cs="Times New Roman"/>
          <w:b w:val="0"/>
          <w:i w:val="0"/>
          <w:sz w:val="20"/>
        </w:rPr>
        <w:t>.</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 xml:space="preserve">While </w:t>
      </w:r>
      <w:r>
        <w:rPr>
          <w:rFonts w:ascii="Times New Roman" w:eastAsia="Times New Roman" w:hAnsi="Times New Roman" w:cs="Times New Roman"/>
          <w:b w:val="0"/>
          <w:i w:val="0"/>
          <w:sz w:val="20"/>
        </w:rPr>
        <w:t xml:space="preserve">the situation is </w:t>
      </w:r>
      <w:r>
        <w:rPr>
          <w:rFonts w:ascii="Times New Roman" w:eastAsia="Times New Roman" w:hAnsi="Times New Roman" w:cs="Times New Roman"/>
          <w:b w:val="0"/>
          <w:i w:val="0"/>
          <w:sz w:val="20"/>
        </w:rPr>
        <w:t xml:space="preserve">still </w:t>
      </w:r>
      <w:r>
        <w:rPr>
          <w:rFonts w:ascii="Times New Roman" w:eastAsia="Times New Roman" w:hAnsi="Times New Roman" w:cs="Times New Roman"/>
          <w:b w:val="0"/>
          <w:i w:val="0"/>
          <w:sz w:val="20"/>
        </w:rPr>
        <w:t xml:space="preserve">fluid, </w:t>
      </w:r>
      <w:r>
        <w:rPr>
          <w:rFonts w:ascii="Times New Roman" w:eastAsia="Times New Roman" w:hAnsi="Times New Roman" w:cs="Times New Roman"/>
          <w:b w:val="0"/>
          <w:i w:val="0"/>
          <w:sz w:val="20"/>
        </w:rPr>
        <w:t>we e</w:t>
      </w:r>
      <w:r>
        <w:rPr>
          <w:rFonts w:ascii="Times New Roman" w:eastAsia="Times New Roman" w:hAnsi="Times New Roman" w:cs="Times New Roman"/>
          <w:b w:val="0"/>
          <w:i w:val="0"/>
          <w:sz w:val="20"/>
        </w:rPr>
        <w:t xml:space="preserve">xpect that </w:t>
      </w:r>
      <w:r>
        <w:rPr>
          <w:rFonts w:ascii="Times New Roman" w:eastAsia="Times New Roman" w:hAnsi="Times New Roman" w:cs="Times New Roman"/>
          <w:b w:val="0"/>
          <w:i w:val="0"/>
          <w:sz w:val="20"/>
        </w:rPr>
        <w:t>the decrease in the</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price</w:t>
      </w:r>
      <w:r>
        <w:rPr>
          <w:rFonts w:ascii="Times New Roman" w:eastAsia="Times New Roman" w:hAnsi="Times New Roman" w:cs="Times New Roman"/>
          <w:b w:val="0"/>
          <w:i w:val="0"/>
          <w:sz w:val="20"/>
        </w:rPr>
        <w:t xml:space="preserve"> of crude oil will negatively impact our earnings per share</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 xml:space="preserve">in </w:t>
      </w:r>
      <w:r>
        <w:rPr>
          <w:rFonts w:ascii="Times New Roman" w:eastAsia="Times New Roman" w:hAnsi="Times New Roman" w:cs="Times New Roman"/>
          <w:b w:val="0"/>
          <w:i w:val="0"/>
          <w:sz w:val="20"/>
        </w:rPr>
        <w:t xml:space="preserve">the </w:t>
      </w:r>
      <w:r>
        <w:rPr>
          <w:rFonts w:ascii="Times New Roman" w:eastAsia="Times New Roman" w:hAnsi="Times New Roman" w:cs="Times New Roman"/>
          <w:b w:val="0"/>
          <w:i w:val="0"/>
          <w:sz w:val="20"/>
        </w:rPr>
        <w:t xml:space="preserve">second </w:t>
      </w:r>
      <w:r>
        <w:rPr>
          <w:rFonts w:ascii="Times New Roman" w:eastAsia="Times New Roman" w:hAnsi="Times New Roman" w:cs="Times New Roman"/>
          <w:b w:val="0"/>
          <w:i w:val="0"/>
          <w:sz w:val="20"/>
        </w:rPr>
        <w:t>quarter</w:t>
      </w:r>
      <w:r>
        <w:rPr>
          <w:rFonts w:ascii="Times New Roman" w:eastAsia="Times New Roman" w:hAnsi="Times New Roman" w:cs="Times New Roman"/>
          <w:b w:val="0"/>
          <w:i w:val="0"/>
          <w:sz w:val="20"/>
        </w:rPr>
        <w:t xml:space="preserve"> of 2025</w:t>
      </w:r>
      <w:r>
        <w:rPr>
          <w:rFonts w:ascii="Times New Roman" w:eastAsia="Times New Roman" w:hAnsi="Times New Roman" w:cs="Times New Roman"/>
          <w:b w:val="0"/>
          <w:i w:val="0"/>
          <w:sz w:val="20"/>
        </w:rPr>
        <w:t>.</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However, w</w:t>
      </w:r>
      <w:r>
        <w:rPr>
          <w:rFonts w:ascii="Times New Roman" w:eastAsia="Times New Roman" w:hAnsi="Times New Roman" w:cs="Times New Roman"/>
          <w:b w:val="0"/>
          <w:i w:val="0"/>
          <w:sz w:val="20"/>
        </w:rPr>
        <w:t xml:space="preserve">e </w:t>
      </w:r>
      <w:r>
        <w:rPr>
          <w:rFonts w:ascii="Times New Roman" w:eastAsia="Times New Roman" w:hAnsi="Times New Roman" w:cs="Times New Roman"/>
          <w:b w:val="0"/>
          <w:i w:val="0"/>
          <w:sz w:val="20"/>
        </w:rPr>
        <w:t>continue to</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 xml:space="preserve">believe </w:t>
      </w:r>
      <w:r>
        <w:rPr>
          <w:rFonts w:ascii="Times New Roman" w:eastAsia="Times New Roman" w:hAnsi="Times New Roman" w:cs="Times New Roman"/>
          <w:b w:val="0"/>
          <w:i w:val="0"/>
          <w:sz w:val="20"/>
        </w:rPr>
        <w:t xml:space="preserve">oil and </w:t>
      </w:r>
      <w:r>
        <w:rPr>
          <w:rFonts w:ascii="Times New Roman" w:eastAsia="Times New Roman" w:hAnsi="Times New Roman" w:cs="Times New Roman"/>
          <w:b w:val="0"/>
          <w:i w:val="0"/>
          <w:sz w:val="20"/>
        </w:rPr>
        <w:t>natural gas</w:t>
      </w:r>
      <w:r>
        <w:rPr>
          <w:rFonts w:ascii="Times New Roman" w:eastAsia="Times New Roman" w:hAnsi="Times New Roman" w:cs="Times New Roman"/>
          <w:b w:val="0"/>
          <w:i w:val="0"/>
          <w:sz w:val="20"/>
        </w:rPr>
        <w:t xml:space="preserve"> will play a </w:t>
      </w:r>
      <w:r>
        <w:rPr>
          <w:rFonts w:ascii="Times New Roman" w:eastAsia="Times New Roman" w:hAnsi="Times New Roman" w:cs="Times New Roman"/>
          <w:b w:val="0"/>
          <w:i w:val="0"/>
          <w:sz w:val="20"/>
        </w:rPr>
        <w:t>fundamental</w:t>
      </w:r>
      <w:r>
        <w:rPr>
          <w:rFonts w:ascii="Times New Roman" w:eastAsia="Times New Roman" w:hAnsi="Times New Roman" w:cs="Times New Roman"/>
          <w:b w:val="0"/>
          <w:i w:val="0"/>
          <w:sz w:val="20"/>
        </w:rPr>
        <w:t xml:space="preserve"> role in </w:t>
      </w:r>
      <w:r>
        <w:rPr>
          <w:rFonts w:ascii="Times New Roman" w:eastAsia="Times New Roman" w:hAnsi="Times New Roman" w:cs="Times New Roman"/>
          <w:b w:val="0"/>
          <w:i w:val="0"/>
          <w:sz w:val="20"/>
        </w:rPr>
        <w:t>global econo</w:t>
      </w:r>
      <w:r>
        <w:rPr>
          <w:rFonts w:ascii="Times New Roman" w:eastAsia="Times New Roman" w:hAnsi="Times New Roman" w:cs="Times New Roman"/>
          <w:b w:val="0"/>
          <w:i w:val="0"/>
          <w:sz w:val="20"/>
        </w:rPr>
        <w:t xml:space="preserve">mic growth and </w:t>
      </w:r>
      <w:r>
        <w:rPr>
          <w:rFonts w:ascii="Times New Roman" w:eastAsia="Times New Roman" w:hAnsi="Times New Roman" w:cs="Times New Roman"/>
          <w:b w:val="0"/>
          <w:i w:val="0"/>
          <w:sz w:val="20"/>
        </w:rPr>
        <w:t>will be driven by economic expansion, energy security concerns and pop</w:t>
      </w:r>
      <w:r>
        <w:rPr>
          <w:rFonts w:ascii="Times New Roman" w:eastAsia="Times New Roman" w:hAnsi="Times New Roman" w:cs="Times New Roman"/>
          <w:b w:val="0"/>
          <w:i w:val="0"/>
          <w:sz w:val="20"/>
        </w:rPr>
        <w:t>ulation</w:t>
      </w:r>
      <w:r>
        <w:rPr>
          <w:rFonts w:ascii="Times New Roman" w:eastAsia="Times New Roman" w:hAnsi="Times New Roman" w:cs="Times New Roman"/>
          <w:b w:val="0"/>
          <w:i w:val="0"/>
          <w:sz w:val="20"/>
        </w:rPr>
        <w:t xml:space="preserve"> growth.</w:t>
      </w:r>
      <w:r>
        <w:rPr>
          <w:rFonts w:ascii="Times New Roman" w:eastAsia="Times New Roman" w:hAnsi="Times New Roman" w:cs="Times New Roman"/>
          <w:b w:val="0"/>
          <w:i w:val="0"/>
          <w:sz w:val="20"/>
        </w:rPr>
        <w:t xml:space="preserve"> Additionally</w:t>
      </w:r>
      <w:r>
        <w:rPr>
          <w:rFonts w:ascii="Times New Roman" w:eastAsia="Times New Roman" w:hAnsi="Times New Roman" w:cs="Times New Roman"/>
          <w:b w:val="0"/>
          <w:i w:val="0"/>
          <w:sz w:val="20"/>
        </w:rPr>
        <w:t xml:space="preserve">, we believe </w:t>
      </w:r>
      <w:r>
        <w:rPr>
          <w:rFonts w:ascii="Times New Roman" w:eastAsia="Times New Roman" w:hAnsi="Times New Roman" w:cs="Times New Roman"/>
          <w:b w:val="0"/>
          <w:i w:val="0"/>
          <w:sz w:val="20"/>
        </w:rPr>
        <w:t>inc</w:t>
      </w:r>
      <w:r>
        <w:rPr>
          <w:rFonts w:ascii="Times New Roman" w:eastAsia="Times New Roman" w:hAnsi="Times New Roman" w:cs="Times New Roman"/>
          <w:b w:val="0"/>
          <w:i w:val="0"/>
          <w:sz w:val="20"/>
        </w:rPr>
        <w:t xml:space="preserve">reased investment in existing and new sources of oil and natural gas production is needed to address </w:t>
      </w:r>
      <w:r>
        <w:rPr>
          <w:rFonts w:ascii="Times New Roman" w:eastAsia="Times New Roman" w:hAnsi="Times New Roman" w:cs="Times New Roman"/>
          <w:b w:val="0"/>
          <w:i w:val="0"/>
          <w:sz w:val="20"/>
        </w:rPr>
        <w:t>future</w:t>
      </w:r>
      <w:r>
        <w:rPr>
          <w:rFonts w:ascii="Times New Roman" w:eastAsia="Times New Roman" w:hAnsi="Times New Roman" w:cs="Times New Roman"/>
          <w:b w:val="0"/>
          <w:i w:val="0"/>
          <w:sz w:val="20"/>
        </w:rPr>
        <w:t xml:space="preserve"> demand. Thi</w:t>
      </w:r>
      <w:r>
        <w:rPr>
          <w:rFonts w:ascii="Times New Roman" w:eastAsia="Times New Roman" w:hAnsi="Times New Roman" w:cs="Times New Roman"/>
          <w:b w:val="0"/>
          <w:i w:val="0"/>
          <w:sz w:val="20"/>
        </w:rPr>
        <w:t>s will necessitate production from conventional and unconventi</w:t>
      </w:r>
      <w:r>
        <w:rPr>
          <w:rFonts w:ascii="Times New Roman" w:eastAsia="Times New Roman" w:hAnsi="Times New Roman" w:cs="Times New Roman"/>
          <w:b w:val="0"/>
          <w:i w:val="0"/>
          <w:sz w:val="20"/>
        </w:rPr>
        <w:t>onal</w:t>
      </w:r>
      <w:r>
        <w:rPr>
          <w:rFonts w:ascii="Times New Roman" w:eastAsia="Times New Roman" w:hAnsi="Times New Roman" w:cs="Times New Roman"/>
          <w:b w:val="0"/>
          <w:i w:val="0"/>
          <w:sz w:val="20"/>
        </w:rPr>
        <w:t>, deep-water and shallow-water, and short and long-cycle projects. We e</w:t>
      </w:r>
      <w:r>
        <w:rPr>
          <w:rFonts w:ascii="Times New Roman" w:eastAsia="Times New Roman" w:hAnsi="Times New Roman" w:cs="Times New Roman"/>
          <w:b w:val="0"/>
          <w:i w:val="0"/>
          <w:sz w:val="20"/>
        </w:rPr>
        <w:t>xpect that incr</w:t>
      </w:r>
      <w:r>
        <w:rPr>
          <w:rFonts w:ascii="Times New Roman" w:eastAsia="Times New Roman" w:hAnsi="Times New Roman" w:cs="Times New Roman"/>
          <w:b w:val="0"/>
          <w:i w:val="0"/>
          <w:sz w:val="20"/>
        </w:rPr>
        <w:t>eased oil and natural gas production requirements will in turn create demand for our products and services.</w:t>
      </w:r>
    </w:p>
    <w:p>
      <w:pPr>
        <w:keepNext/>
        <w:keepLines/>
        <w:pageBreakBefore w:val="0"/>
        <w:widowControl w:val="0"/>
        <w:numPr>
          <w:ilvl w:val="0"/>
          <w:numId w:val="0"/>
        </w:numPr>
        <w:spacing w:before="0" w:after="0" w:line="257" w:lineRule="auto"/>
        <w:ind w:left="0" w:right="0" w:firstLine="720"/>
        <w:jc w:val="left"/>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sz w:val="20"/>
        </w:rPr>
      </w:pPr>
    </w:p>
    <w:p>
      <w:pPr>
        <w:keepNext w:val="0"/>
        <w:keepLines w:val="0"/>
        <w:pageBreakBefore w:val="0"/>
        <w:widowControl/>
        <w:numPr>
          <w:ilvl w:val="0"/>
          <w:numId w:val="0"/>
        </w:numPr>
        <w:spacing w:before="0" w:after="160" w:line="288" w:lineRule="auto"/>
        <w:ind w:left="0" w:right="0" w:firstLine="720"/>
        <w:jc w:val="both"/>
        <w:outlineLvl w:val="9"/>
        <w:rPr>
          <w:rFonts w:ascii="Times New Roman" w:eastAsia="Times New Roman" w:hAnsi="Times New Roman" w:cs="Times New Roman"/>
          <w:b w:val="0"/>
          <w:i w:val="0"/>
          <w:sz w:val="20"/>
        </w:rPr>
      </w:pPr>
    </w:p>
    <w:p>
      <w:pPr>
        <w:keepNext w:val="0"/>
        <w:keepLines w:val="0"/>
        <w:pageBreakBefore w:val="0"/>
        <w:widowControl/>
        <w:numPr>
          <w:ilvl w:val="0"/>
          <w:numId w:val="0"/>
        </w:numPr>
        <w:spacing w:before="0" w:after="160" w:line="288" w:lineRule="auto"/>
        <w:ind w:left="0" w:right="0" w:firstLine="720"/>
        <w:jc w:val="both"/>
        <w:outlineLvl w:val="9"/>
        <w:rPr>
          <w:rFonts w:ascii="Times New Roman" w:eastAsia="Times New Roman" w:hAnsi="Times New Roman" w:cs="Times New Roman"/>
          <w:b/>
          <w:i/>
          <w:sz w:val="20"/>
        </w:rPr>
        <w:sectPr>
          <w:headerReference w:type="default" r:id="rId90"/>
          <w:footerReference w:type="default" r:id="rId91"/>
          <w:headerReference w:type="first" r:id="rId92"/>
          <w:footerReference w:type="first" r:id="rId93"/>
          <w:type w:val="continuous"/>
          <w:pgSz w:w="12240" w:h="15840"/>
          <w:pgMar w:top="900" w:right="990" w:bottom="900" w:left="990" w:header="270" w:footer="270"/>
          <w:cols w:space="708"/>
          <w:titlePg/>
        </w:sectPr>
      </w:pPr>
    </w:p>
    <w:p>
      <w:pPr>
        <w:keepNext/>
        <w:keepLines/>
        <w:pageBreakBefore w:val="0"/>
        <w:widowControl w:val="0"/>
        <w:numPr>
          <w:ilvl w:val="0"/>
          <w:numId w:val="0"/>
        </w:numPr>
        <w:spacing w:before="0" w:after="160" w:line="288" w:lineRule="auto"/>
        <w:ind w:left="0" w:right="0" w:firstLine="0"/>
        <w:jc w:val="left"/>
        <w:outlineLvl w:val="1"/>
        <w:rPr>
          <w:rFonts w:ascii="Times New Roman" w:eastAsia="Times New Roman" w:hAnsi="Times New Roman" w:cs="Times New Roman"/>
          <w:b/>
          <w:i/>
          <w:sz w:val="24"/>
        </w:rPr>
      </w:pPr>
      <w:bookmarkStart w:id="44" w:name="Section45"/>
      <w:bookmarkEnd w:id="44"/>
      <w:r>
        <w:rPr>
          <w:rFonts w:ascii="Times New Roman" w:eastAsia="Times New Roman" w:hAnsi="Times New Roman" w:cs="Times New Roman"/>
          <w:b/>
          <w:i w:val="0"/>
          <w:sz w:val="20"/>
        </w:rPr>
        <w:t xml:space="preserve">RESULTS OF OPERATIONS IN </w:t>
      </w:r>
      <w:r>
        <w:rPr>
          <w:rFonts w:ascii="Times New Roman" w:eastAsia="Times New Roman" w:hAnsi="Times New Roman" w:cs="Times New Roman"/>
          <w:b/>
          <w:i w:val="0"/>
          <w:color w:val="000000"/>
          <w:sz w:val="20"/>
          <w:u w:val="none"/>
        </w:rPr>
        <w:t>2025</w:t>
      </w:r>
      <w:r>
        <w:rPr>
          <w:rFonts w:ascii="Times New Roman" w:eastAsia="Times New Roman" w:hAnsi="Times New Roman" w:cs="Times New Roman"/>
          <w:b/>
          <w:i w:val="0"/>
          <w:sz w:val="20"/>
        </w:rPr>
        <w:t xml:space="preserve"> COMPARED TO </w:t>
      </w:r>
      <w:r>
        <w:rPr>
          <w:rFonts w:ascii="Times New Roman" w:eastAsia="Times New Roman" w:hAnsi="Times New Roman" w:cs="Times New Roman"/>
          <w:b/>
          <w:i w:val="0"/>
          <w:color w:val="000000"/>
          <w:sz w:val="20"/>
          <w:u w:val="none"/>
        </w:rPr>
        <w:t>2024</w:t>
      </w:r>
    </w:p>
    <w:p>
      <w:pPr>
        <w:keepNext/>
        <w:keepLines/>
        <w:pageBreakBefore w:val="0"/>
        <w:widowControl w:val="0"/>
        <w:numPr>
          <w:ilvl w:val="0"/>
          <w:numId w:val="0"/>
        </w:numPr>
        <w:spacing w:before="0" w:after="160" w:line="288" w:lineRule="auto"/>
        <w:ind w:left="0" w:right="0" w:firstLine="0"/>
        <w:jc w:val="left"/>
        <w:outlineLvl w:val="9"/>
        <w:rPr>
          <w:rFonts w:ascii="Times New Roman" w:eastAsia="Times New Roman" w:hAnsi="Times New Roman" w:cs="Times New Roman"/>
          <w:b/>
          <w:i/>
          <w:sz w:val="20"/>
        </w:rPr>
      </w:pPr>
      <w:r>
        <w:rPr>
          <w:rFonts w:ascii="Times New Roman" w:eastAsia="Times New Roman" w:hAnsi="Times New Roman" w:cs="Times New Roman"/>
          <w:b/>
          <w:i/>
          <w:color w:val="000000"/>
          <w:sz w:val="20"/>
          <w:u w:val="none"/>
        </w:rPr>
        <w:t>Three Months Ended</w:t>
      </w:r>
      <w:r>
        <w:rPr>
          <w:rFonts w:ascii="Times New Roman" w:eastAsia="Times New Roman" w:hAnsi="Times New Roman" w:cs="Times New Roman"/>
          <w:b/>
          <w:i/>
          <w:sz w:val="20"/>
        </w:rPr>
        <w:t xml:space="preserve"> </w:t>
      </w:r>
      <w:r>
        <w:rPr>
          <w:rFonts w:ascii="Times New Roman" w:eastAsia="Times New Roman" w:hAnsi="Times New Roman" w:cs="Times New Roman"/>
          <w:b/>
          <w:i/>
          <w:color w:val="000000"/>
          <w:sz w:val="20"/>
          <w:u w:val="none"/>
        </w:rPr>
        <w:t>March 31, 2025</w:t>
      </w:r>
      <w:r>
        <w:rPr>
          <w:rFonts w:ascii="Times New Roman" w:eastAsia="Times New Roman" w:hAnsi="Times New Roman" w:cs="Times New Roman"/>
          <w:b/>
          <w:i/>
          <w:sz w:val="20"/>
        </w:rPr>
        <w:t xml:space="preserve"> Compared with </w:t>
      </w:r>
      <w:r>
        <w:rPr>
          <w:rFonts w:ascii="Times New Roman" w:eastAsia="Times New Roman" w:hAnsi="Times New Roman" w:cs="Times New Roman"/>
          <w:b/>
          <w:i/>
          <w:color w:val="000000"/>
          <w:sz w:val="20"/>
          <w:u w:val="none"/>
        </w:rPr>
        <w:t>Three Months Ended</w:t>
      </w:r>
      <w:r>
        <w:rPr>
          <w:rFonts w:ascii="Times New Roman" w:eastAsia="Times New Roman" w:hAnsi="Times New Roman" w:cs="Times New Roman"/>
          <w:b/>
          <w:i/>
          <w:sz w:val="20"/>
        </w:rPr>
        <w:t xml:space="preserve"> </w:t>
      </w:r>
      <w:r>
        <w:rPr>
          <w:rFonts w:ascii="Times New Roman" w:eastAsia="Times New Roman" w:hAnsi="Times New Roman" w:cs="Times New Roman"/>
          <w:b/>
          <w:i/>
          <w:color w:val="000000"/>
          <w:sz w:val="20"/>
          <w:u w:val="none"/>
        </w:rPr>
        <w:t>March 31, 2024</w:t>
      </w:r>
    </w:p>
    <w:tbl>
      <w:tblPr>
        <w:tblW w:w="8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895"/>
        <w:gridCol w:w="1305"/>
        <w:gridCol w:w="1305"/>
        <w:gridCol w:w="1305"/>
        <w:gridCol w:w="1305"/>
      </w:tblGrid>
      <w:tr>
        <w:tblPrEx>
          <w:tblW w:w="8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00"/>
          <w:jc w:val="center"/>
        </w:trPr>
        <w:tc>
          <w:tcPr>
            <w:tcW w:w="2895"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p>
        </w:tc>
        <w:tc>
          <w:tcPr>
            <w:tcW w:w="2610" w:type="dxa"/>
            <w:gridSpan w:val="2"/>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center"/>
            </w:pPr>
            <w:r>
              <w:rPr>
                <w:rFonts w:ascii="Times New Roman" w:eastAsia="Times New Roman" w:hAnsi="Times New Roman" w:cs="Times New Roman"/>
                <w:b w:val="0"/>
                <w:i w:val="0"/>
                <w:color w:val="000000"/>
                <w:sz w:val="20"/>
                <w:u w:val="none"/>
              </w:rPr>
              <w:t>Three Months Ended</w:t>
            </w:r>
          </w:p>
        </w:tc>
        <w:tc>
          <w:tcPr>
            <w:tcW w:w="1305"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center"/>
            </w:pPr>
          </w:p>
        </w:tc>
        <w:tc>
          <w:tcPr>
            <w:tcW w:w="1305"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center"/>
            </w:pPr>
          </w:p>
        </w:tc>
      </w:tr>
      <w:tr>
        <w:tblPrEx>
          <w:tblW w:w="8115" w:type="dxa"/>
          <w:jc w:val="center"/>
          <w:tblLayout w:type="fixed"/>
          <w:tblCellMar>
            <w:left w:w="108" w:type="dxa"/>
            <w:right w:w="108" w:type="dxa"/>
          </w:tblCellMar>
        </w:tblPrEx>
        <w:trPr>
          <w:cantSplit/>
          <w:trHeight w:hRule="exact" w:val="300"/>
          <w:jc w:val="center"/>
        </w:trPr>
        <w:tc>
          <w:tcPr>
            <w:tcW w:w="2895"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p>
        </w:tc>
        <w:tc>
          <w:tcPr>
            <w:tcW w:w="2610" w:type="dxa"/>
            <w:gridSpan w:val="2"/>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20"/>
                <w:u w:val="none"/>
              </w:rPr>
              <w:t xml:space="preserve">March 31, </w:t>
            </w:r>
          </w:p>
        </w:tc>
        <w:tc>
          <w:tcPr>
            <w:tcW w:w="13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20"/>
                <w:u w:val="none"/>
              </w:rPr>
              <w:t>Favorable</w:t>
            </w:r>
          </w:p>
        </w:tc>
        <w:tc>
          <w:tcPr>
            <w:tcW w:w="13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20"/>
                <w:u w:val="none"/>
              </w:rPr>
              <w:t>Percentage</w:t>
            </w:r>
          </w:p>
        </w:tc>
      </w:tr>
      <w:tr>
        <w:tblPrEx>
          <w:tblW w:w="8115" w:type="dxa"/>
          <w:jc w:val="center"/>
          <w:tblLayout w:type="fixed"/>
          <w:tblCellMar>
            <w:left w:w="108" w:type="dxa"/>
            <w:right w:w="108" w:type="dxa"/>
          </w:tblCellMar>
        </w:tblPrEx>
        <w:trPr>
          <w:cantSplit/>
          <w:trHeight w:hRule="exact" w:val="300"/>
          <w:jc w:val="center"/>
        </w:trPr>
        <w:tc>
          <w:tcPr>
            <w:tcW w:w="289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color w:val="000000"/>
                <w:sz w:val="20"/>
                <w:u w:val="none"/>
              </w:rPr>
              <w:t>Millions of dollars</w:t>
            </w: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2025</w:t>
            </w: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2024</w:t>
            </w: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(Unfavorable)</w:t>
            </w: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Change</w:t>
            </w:r>
          </w:p>
        </w:tc>
      </w:tr>
      <w:tr>
        <w:tblPrEx>
          <w:tblW w:w="8115" w:type="dxa"/>
          <w:jc w:val="center"/>
          <w:tblLayout w:type="fixed"/>
          <w:tblCellMar>
            <w:left w:w="108" w:type="dxa"/>
            <w:right w:w="108" w:type="dxa"/>
          </w:tblCellMar>
        </w:tblPrEx>
        <w:trPr>
          <w:cantSplit/>
          <w:trHeight w:hRule="exact" w:val="300"/>
          <w:jc w:val="center"/>
        </w:trPr>
        <w:tc>
          <w:tcPr>
            <w:tcW w:w="289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color w:val="000000"/>
                <w:sz w:val="20"/>
                <w:u w:val="none"/>
              </w:rPr>
              <w:t>Revenue:</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spacing w:before="55" w:after="30" w:line="240" w:lineRule="auto"/>
              <w:jc w:val="righ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spacing w:before="55" w:after="30" w:line="240" w:lineRule="auto"/>
              <w:jc w:val="righ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spacing w:before="55" w:after="30" w:line="240" w:lineRule="auto"/>
              <w:jc w:val="righ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spacing w:before="55" w:after="30" w:line="240" w:lineRule="auto"/>
              <w:jc w:val="right"/>
            </w:pPr>
          </w:p>
        </w:tc>
      </w:tr>
      <w:tr>
        <w:tblPrEx>
          <w:tblW w:w="8115" w:type="dxa"/>
          <w:jc w:val="center"/>
          <w:tblLayout w:type="fixed"/>
          <w:tblCellMar>
            <w:left w:w="108" w:type="dxa"/>
            <w:right w:w="108" w:type="dxa"/>
          </w:tblCellMar>
        </w:tblPrEx>
        <w:trPr>
          <w:cantSplit/>
          <w:trHeight w:hRule="exact" w:val="300"/>
          <w:jc w:val="center"/>
        </w:trPr>
        <w:tc>
          <w:tcPr>
            <w:tcW w:w="28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color w:val="000000"/>
                <w:sz w:val="20"/>
                <w:u w:val="none"/>
              </w:rPr>
              <w:t>By operating segment:</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spacing w:before="75" w:after="30" w:line="240" w:lineRule="auto"/>
              <w:jc w:val="righ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spacing w:before="75" w:after="30" w:line="240" w:lineRule="auto"/>
              <w:jc w:val="righ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spacing w:before="75" w:after="30" w:line="240" w:lineRule="auto"/>
              <w:jc w:val="righ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spacing w:before="75" w:after="30" w:line="240" w:lineRule="auto"/>
              <w:jc w:val="right"/>
            </w:pPr>
          </w:p>
        </w:tc>
      </w:tr>
      <w:tr>
        <w:tblPrEx>
          <w:tblW w:w="8115" w:type="dxa"/>
          <w:jc w:val="center"/>
          <w:tblLayout w:type="fixed"/>
          <w:tblCellMar>
            <w:left w:w="108" w:type="dxa"/>
            <w:right w:w="108" w:type="dxa"/>
          </w:tblCellMar>
        </w:tblPrEx>
        <w:trPr>
          <w:cantSplit/>
          <w:trHeight w:hRule="exact" w:val="300"/>
          <w:jc w:val="center"/>
        </w:trPr>
        <w:tc>
          <w:tcPr>
            <w:tcW w:w="28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Completion and Production</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22"/>
                <w:tab w:val="left" w:pos="1237"/>
              </w:tabs>
              <w:spacing w:before="75" w:after="30" w:line="240" w:lineRule="auto"/>
              <w:jc w:val="right"/>
            </w:pPr>
            <w:r>
              <w:rPr>
                <w:rFonts w:ascii="Times New Roman" w:eastAsia="Times New Roman" w:hAnsi="Times New Roman" w:cs="Times New Roman"/>
                <w:b w:val="0"/>
                <w:i w:val="0"/>
                <w:color w:val="000000"/>
                <w:sz w:val="20"/>
                <w:u w:val="none"/>
              </w:rPr>
              <w:t>$</w:t>
              <w:tab/>
              <w:t>3,120</w:t>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22"/>
                <w:tab w:val="left" w:pos="1237"/>
              </w:tabs>
              <w:spacing w:before="75" w:after="30" w:line="240" w:lineRule="auto"/>
              <w:jc w:val="right"/>
            </w:pPr>
            <w:r>
              <w:rPr>
                <w:rFonts w:ascii="Times New Roman" w:eastAsia="Times New Roman" w:hAnsi="Times New Roman" w:cs="Times New Roman"/>
                <w:b w:val="0"/>
                <w:i w:val="0"/>
                <w:color w:val="000000"/>
                <w:sz w:val="20"/>
                <w:u w:val="none"/>
              </w:rPr>
              <w:t>$</w:t>
              <w:tab/>
              <w:t>3,373</w:t>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86"/>
              </w:tabs>
              <w:spacing w:before="75" w:after="30" w:line="240" w:lineRule="auto"/>
              <w:jc w:val="right"/>
            </w:pPr>
            <w:r>
              <w:rPr>
                <w:rFonts w:ascii="Times New Roman" w:eastAsia="Times New Roman" w:hAnsi="Times New Roman" w:cs="Times New Roman"/>
                <w:b w:val="0"/>
                <w:i w:val="0"/>
                <w:color w:val="000000"/>
                <w:sz w:val="20"/>
                <w:u w:val="none"/>
              </w:rPr>
              <w:t>$</w:t>
              <w:tab/>
              <w:t>(253)</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236"/>
              </w:tabs>
              <w:spacing w:before="75" w:after="30" w:line="240" w:lineRule="auto"/>
              <w:jc w:val="right"/>
            </w:pPr>
            <w:r>
              <w:rPr>
                <w:rFonts w:ascii="Times New Roman" w:eastAsia="Times New Roman" w:hAnsi="Times New Roman" w:cs="Times New Roman"/>
                <w:b w:val="0"/>
                <w:i w:val="0"/>
                <w:color w:val="000000"/>
                <w:sz w:val="20"/>
                <w:u w:val="none"/>
              </w:rPr>
              <w:tab/>
              <w:t>(8)</w:t>
              <w:tab/>
              <w:t>%</w:t>
            </w:r>
          </w:p>
        </w:tc>
      </w:tr>
      <w:tr>
        <w:tblPrEx>
          <w:tblW w:w="8115" w:type="dxa"/>
          <w:jc w:val="center"/>
          <w:tblLayout w:type="fixed"/>
          <w:tblCellMar>
            <w:left w:w="108" w:type="dxa"/>
            <w:right w:w="108" w:type="dxa"/>
          </w:tblCellMar>
        </w:tblPrEx>
        <w:trPr>
          <w:cantSplit/>
          <w:trHeight w:hRule="exact" w:val="300"/>
          <w:jc w:val="center"/>
        </w:trPr>
        <w:tc>
          <w:tcPr>
            <w:tcW w:w="289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Drilling and Evaluation</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22"/>
                <w:tab w:val="left" w:pos="1237"/>
              </w:tabs>
              <w:spacing w:before="75" w:after="30" w:line="240" w:lineRule="auto"/>
              <w:jc w:val="right"/>
            </w:pPr>
            <w:r>
              <w:rPr>
                <w:rFonts w:ascii="Times New Roman" w:eastAsia="Times New Roman" w:hAnsi="Times New Roman" w:cs="Times New Roman"/>
                <w:b w:val="0"/>
                <w:i w:val="0"/>
                <w:color w:val="000000"/>
                <w:sz w:val="20"/>
                <w:u w:val="none"/>
              </w:rPr>
              <w:tab/>
              <w:t>2,297</w:t>
              <w:tab/>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22"/>
                <w:tab w:val="left" w:pos="1237"/>
              </w:tabs>
              <w:spacing w:before="75" w:after="30" w:line="240" w:lineRule="auto"/>
              <w:jc w:val="right"/>
            </w:pPr>
            <w:r>
              <w:rPr>
                <w:rFonts w:ascii="Times New Roman" w:eastAsia="Times New Roman" w:hAnsi="Times New Roman" w:cs="Times New Roman"/>
                <w:b w:val="0"/>
                <w:i w:val="0"/>
                <w:color w:val="000000"/>
                <w:sz w:val="20"/>
                <w:u w:val="none"/>
              </w:rPr>
              <w:tab/>
              <w:t>2,431</w:t>
              <w:tab/>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86"/>
              </w:tabs>
              <w:spacing w:before="75" w:after="30" w:line="240" w:lineRule="auto"/>
              <w:jc w:val="right"/>
            </w:pPr>
            <w:r>
              <w:rPr>
                <w:rFonts w:ascii="Times New Roman" w:eastAsia="Times New Roman" w:hAnsi="Times New Roman" w:cs="Times New Roman"/>
                <w:b w:val="0"/>
                <w:i w:val="0"/>
                <w:color w:val="000000"/>
                <w:sz w:val="20"/>
                <w:u w:val="none"/>
              </w:rPr>
              <w:tab/>
              <w:t>(134)</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
                <w:tab w:val="left" w:pos="400"/>
              </w:tabs>
              <w:spacing w:before="75" w:after="30" w:line="240" w:lineRule="auto"/>
              <w:jc w:val="right"/>
            </w:pPr>
            <w:r>
              <w:rPr>
                <w:rFonts w:ascii="Times New Roman" w:eastAsia="Times New Roman" w:hAnsi="Times New Roman" w:cs="Times New Roman"/>
                <w:b w:val="0"/>
                <w:i w:val="0"/>
                <w:color w:val="000000"/>
                <w:sz w:val="20"/>
                <w:u w:val="none"/>
              </w:rPr>
              <w:tab/>
              <w:t>(6)</w:t>
              <w:tab/>
            </w:r>
          </w:p>
        </w:tc>
      </w:tr>
      <w:tr>
        <w:tblPrEx>
          <w:tblW w:w="8115" w:type="dxa"/>
          <w:jc w:val="center"/>
          <w:tblLayout w:type="fixed"/>
          <w:tblCellMar>
            <w:left w:w="108" w:type="dxa"/>
            <w:right w:w="108" w:type="dxa"/>
          </w:tblCellMar>
        </w:tblPrEx>
        <w:trPr>
          <w:cantSplit/>
          <w:trHeight w:hRule="exact" w:val="300"/>
          <w:jc w:val="center"/>
        </w:trPr>
        <w:tc>
          <w:tcPr>
            <w:tcW w:w="2895" w:type="dxa"/>
            <w:tcBorders>
              <w:top w:val="single" w:sz="8" w:space="0" w:color="000000"/>
              <w:left w:val="nil"/>
              <w:bottom w:val="double" w:sz="8" w:space="0" w:color="000000"/>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20"/>
                <w:u w:val="none"/>
              </w:rPr>
              <w:t>Total revenue</w:t>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722"/>
                <w:tab w:val="left" w:pos="1237"/>
              </w:tabs>
              <w:spacing w:before="55" w:after="30" w:line="240" w:lineRule="auto"/>
              <w:jc w:val="right"/>
            </w:pPr>
            <w:r>
              <w:rPr>
                <w:rFonts w:ascii="Times New Roman" w:eastAsia="Times New Roman" w:hAnsi="Times New Roman" w:cs="Times New Roman"/>
                <w:b w:val="0"/>
                <w:i w:val="0"/>
                <w:color w:val="000000"/>
                <w:sz w:val="20"/>
                <w:u w:val="none"/>
              </w:rPr>
              <w:t>$</w:t>
              <w:tab/>
              <w:t>5,417</w:t>
              <w:tab/>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722"/>
                <w:tab w:val="left" w:pos="1237"/>
              </w:tabs>
              <w:spacing w:before="55" w:after="30" w:line="240" w:lineRule="auto"/>
              <w:jc w:val="right"/>
            </w:pPr>
            <w:r>
              <w:rPr>
                <w:rFonts w:ascii="Times New Roman" w:eastAsia="Times New Roman" w:hAnsi="Times New Roman" w:cs="Times New Roman"/>
                <w:b w:val="0"/>
                <w:i w:val="0"/>
                <w:color w:val="000000"/>
                <w:sz w:val="20"/>
                <w:u w:val="none"/>
              </w:rPr>
              <w:t>$</w:t>
              <w:tab/>
              <w:t>5,804</w:t>
              <w:tab/>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786"/>
              </w:tabs>
              <w:spacing w:before="55" w:after="30" w:line="240" w:lineRule="auto"/>
              <w:jc w:val="right"/>
            </w:pPr>
            <w:r>
              <w:rPr>
                <w:rFonts w:ascii="Times New Roman" w:eastAsia="Times New Roman" w:hAnsi="Times New Roman" w:cs="Times New Roman"/>
                <w:b w:val="0"/>
                <w:i w:val="0"/>
                <w:color w:val="000000"/>
                <w:sz w:val="20"/>
                <w:u w:val="none"/>
              </w:rPr>
              <w:t>$</w:t>
              <w:tab/>
              <w:t>(387)</w:t>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1"/>
                <w:tab w:val="left" w:pos="236"/>
              </w:tabs>
              <w:spacing w:before="55" w:after="30" w:line="240" w:lineRule="auto"/>
              <w:jc w:val="right"/>
            </w:pPr>
            <w:r>
              <w:rPr>
                <w:rFonts w:ascii="Times New Roman" w:eastAsia="Times New Roman" w:hAnsi="Times New Roman" w:cs="Times New Roman"/>
                <w:b w:val="0"/>
                <w:i w:val="0"/>
                <w:color w:val="000000"/>
                <w:sz w:val="20"/>
                <w:u w:val="none"/>
              </w:rPr>
              <w:tab/>
              <w:t>(7)</w:t>
              <w:tab/>
              <w:t>%</w:t>
            </w:r>
          </w:p>
        </w:tc>
      </w:tr>
      <w:tr>
        <w:tblPrEx>
          <w:tblW w:w="8115" w:type="dxa"/>
          <w:jc w:val="center"/>
          <w:tblLayout w:type="fixed"/>
          <w:tblCellMar>
            <w:left w:w="108" w:type="dxa"/>
            <w:right w:w="108" w:type="dxa"/>
          </w:tblCellMar>
        </w:tblPrEx>
        <w:trPr>
          <w:cantSplit/>
          <w:trHeight w:hRule="exact" w:val="300"/>
          <w:jc w:val="center"/>
        </w:trPr>
        <w:tc>
          <w:tcPr>
            <w:tcW w:w="2895" w:type="dxa"/>
            <w:tcBorders>
              <w:top w:val="double" w:sz="8" w:space="0" w:color="000000"/>
              <w:left w:val="nil"/>
              <w:bottom w:val="nil"/>
              <w:right w:val="nil"/>
            </w:tcBorders>
            <w:tcMar>
              <w:top w:w="0" w:type="dxa"/>
              <w:left w:w="53" w:type="dxa"/>
              <w:bottom w:w="0" w:type="dxa"/>
              <w:right w:w="53" w:type="dxa"/>
            </w:tcMar>
            <w:vAlign w:val="bottom"/>
          </w:tcPr>
          <w:p>
            <w:pPr>
              <w:keepNext/>
              <w:pageBreakBefore w:val="0"/>
              <w:spacing w:before="15" w:after="30" w:line="240" w:lineRule="auto"/>
              <w:jc w:val="left"/>
            </w:pPr>
            <w:r>
              <w:rPr>
                <w:rFonts w:ascii="Times New Roman" w:eastAsia="Times New Roman" w:hAnsi="Times New Roman" w:cs="Times New Roman"/>
                <w:b w:val="0"/>
                <w:i/>
                <w:color w:val="000000"/>
                <w:sz w:val="20"/>
                <w:u w:val="none"/>
              </w:rPr>
              <w:t>By geographic region:</w:t>
            </w:r>
          </w:p>
        </w:tc>
        <w:tc>
          <w:tcPr>
            <w:tcW w:w="1305" w:type="dxa"/>
            <w:tcBorders>
              <w:top w:val="double" w:sz="8" w:space="0" w:color="000000"/>
              <w:left w:val="nil"/>
              <w:bottom w:val="nil"/>
              <w:right w:val="nil"/>
            </w:tcBorders>
            <w:tcMar>
              <w:top w:w="0" w:type="dxa"/>
              <w:left w:w="53" w:type="dxa"/>
              <w:bottom w:w="0" w:type="dxa"/>
              <w:right w:w="53" w:type="dxa"/>
            </w:tcMar>
            <w:vAlign w:val="bottom"/>
          </w:tcPr>
          <w:p>
            <w:pPr>
              <w:keepNext/>
              <w:pageBreakBefore w:val="0"/>
              <w:spacing w:before="15" w:after="30" w:line="240" w:lineRule="auto"/>
              <w:jc w:val="left"/>
            </w:pPr>
          </w:p>
        </w:tc>
        <w:tc>
          <w:tcPr>
            <w:tcW w:w="1305" w:type="dxa"/>
            <w:tcBorders>
              <w:top w:val="double" w:sz="8" w:space="0" w:color="000000"/>
              <w:left w:val="nil"/>
              <w:bottom w:val="nil"/>
              <w:right w:val="nil"/>
            </w:tcBorders>
            <w:tcMar>
              <w:top w:w="0" w:type="dxa"/>
              <w:left w:w="53" w:type="dxa"/>
              <w:bottom w:w="0" w:type="dxa"/>
              <w:right w:w="53" w:type="dxa"/>
            </w:tcMar>
            <w:vAlign w:val="bottom"/>
          </w:tcPr>
          <w:p>
            <w:pPr>
              <w:keepNext/>
              <w:pageBreakBefore w:val="0"/>
              <w:spacing w:before="15" w:after="30" w:line="240" w:lineRule="auto"/>
              <w:jc w:val="left"/>
            </w:pPr>
          </w:p>
        </w:tc>
        <w:tc>
          <w:tcPr>
            <w:tcW w:w="1305" w:type="dxa"/>
            <w:tcBorders>
              <w:top w:val="double" w:sz="8" w:space="0" w:color="000000"/>
              <w:left w:val="nil"/>
              <w:bottom w:val="nil"/>
              <w:right w:val="nil"/>
            </w:tcBorders>
            <w:tcMar>
              <w:top w:w="0" w:type="dxa"/>
              <w:left w:w="53" w:type="dxa"/>
              <w:bottom w:w="0" w:type="dxa"/>
              <w:right w:w="53" w:type="dxa"/>
            </w:tcMar>
            <w:vAlign w:val="bottom"/>
          </w:tcPr>
          <w:p>
            <w:pPr>
              <w:keepNext/>
              <w:pageBreakBefore w:val="0"/>
              <w:spacing w:before="15" w:after="30" w:line="240" w:lineRule="auto"/>
              <w:jc w:val="left"/>
            </w:pPr>
          </w:p>
        </w:tc>
        <w:tc>
          <w:tcPr>
            <w:tcW w:w="1305" w:type="dxa"/>
            <w:tcBorders>
              <w:top w:val="double" w:sz="8" w:space="0" w:color="000000"/>
              <w:left w:val="nil"/>
              <w:bottom w:val="nil"/>
              <w:right w:val="nil"/>
            </w:tcBorders>
            <w:tcMar>
              <w:top w:w="0" w:type="dxa"/>
              <w:left w:w="53" w:type="dxa"/>
              <w:bottom w:w="0" w:type="dxa"/>
              <w:right w:w="53" w:type="dxa"/>
            </w:tcMar>
            <w:vAlign w:val="bottom"/>
          </w:tcPr>
          <w:p>
            <w:pPr>
              <w:keepNext/>
              <w:pageBreakBefore w:val="0"/>
              <w:spacing w:before="15" w:after="30" w:line="240" w:lineRule="auto"/>
              <w:jc w:val="left"/>
            </w:pPr>
          </w:p>
        </w:tc>
      </w:tr>
      <w:tr>
        <w:tblPrEx>
          <w:tblW w:w="8115" w:type="dxa"/>
          <w:jc w:val="center"/>
          <w:tblLayout w:type="fixed"/>
          <w:tblCellMar>
            <w:left w:w="108" w:type="dxa"/>
            <w:right w:w="108" w:type="dxa"/>
          </w:tblCellMar>
        </w:tblPrEx>
        <w:trPr>
          <w:cantSplit/>
          <w:trHeight w:hRule="exact" w:val="300"/>
          <w:jc w:val="center"/>
        </w:trPr>
        <w:tc>
          <w:tcPr>
            <w:tcW w:w="28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North America</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22"/>
                <w:tab w:val="left" w:pos="1237"/>
              </w:tabs>
              <w:spacing w:before="75" w:after="30" w:line="240" w:lineRule="auto"/>
              <w:jc w:val="right"/>
            </w:pPr>
            <w:r>
              <w:rPr>
                <w:rFonts w:ascii="Times New Roman" w:eastAsia="Times New Roman" w:hAnsi="Times New Roman" w:cs="Times New Roman"/>
                <w:b w:val="0"/>
                <w:i w:val="0"/>
                <w:color w:val="000000"/>
                <w:sz w:val="20"/>
                <w:u w:val="none"/>
              </w:rPr>
              <w:t>$</w:t>
              <w:tab/>
              <w:t>2,236</w:t>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22"/>
                <w:tab w:val="left" w:pos="1237"/>
              </w:tabs>
              <w:spacing w:before="75" w:after="30" w:line="240" w:lineRule="auto"/>
              <w:jc w:val="right"/>
            </w:pPr>
            <w:r>
              <w:rPr>
                <w:rFonts w:ascii="Times New Roman" w:eastAsia="Times New Roman" w:hAnsi="Times New Roman" w:cs="Times New Roman"/>
                <w:b w:val="0"/>
                <w:i w:val="0"/>
                <w:color w:val="000000"/>
                <w:sz w:val="20"/>
                <w:u w:val="none"/>
              </w:rPr>
              <w:t>$</w:t>
              <w:tab/>
              <w:t>2,546</w:t>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86"/>
              </w:tabs>
              <w:spacing w:before="75" w:after="30" w:line="240" w:lineRule="auto"/>
              <w:jc w:val="right"/>
            </w:pPr>
            <w:r>
              <w:rPr>
                <w:rFonts w:ascii="Times New Roman" w:eastAsia="Times New Roman" w:hAnsi="Times New Roman" w:cs="Times New Roman"/>
                <w:b w:val="0"/>
                <w:i w:val="0"/>
                <w:color w:val="000000"/>
                <w:sz w:val="20"/>
                <w:u w:val="none"/>
              </w:rPr>
              <w:t>$</w:t>
              <w:tab/>
              <w:t>(310)</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336"/>
              </w:tabs>
              <w:spacing w:before="75" w:after="30" w:line="240" w:lineRule="auto"/>
              <w:jc w:val="right"/>
            </w:pPr>
            <w:r>
              <w:rPr>
                <w:rFonts w:ascii="Times New Roman" w:eastAsia="Times New Roman" w:hAnsi="Times New Roman" w:cs="Times New Roman"/>
                <w:b w:val="0"/>
                <w:i w:val="0"/>
                <w:color w:val="000000"/>
                <w:sz w:val="20"/>
                <w:u w:val="none"/>
              </w:rPr>
              <w:tab/>
              <w:t>(12)</w:t>
              <w:tab/>
              <w:t>%</w:t>
            </w:r>
          </w:p>
        </w:tc>
      </w:tr>
      <w:tr>
        <w:tblPrEx>
          <w:tblW w:w="8115" w:type="dxa"/>
          <w:jc w:val="center"/>
          <w:tblLayout w:type="fixed"/>
          <w:tblCellMar>
            <w:left w:w="108" w:type="dxa"/>
            <w:right w:w="108" w:type="dxa"/>
          </w:tblCellMar>
        </w:tblPrEx>
        <w:trPr>
          <w:cantSplit/>
          <w:trHeight w:hRule="exact" w:val="300"/>
          <w:jc w:val="center"/>
        </w:trPr>
        <w:tc>
          <w:tcPr>
            <w:tcW w:w="28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Latin America</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ab/>
              <w:t>896</w:t>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22"/>
                <w:tab w:val="left" w:pos="1237"/>
              </w:tabs>
              <w:spacing w:before="75" w:after="30" w:line="240" w:lineRule="auto"/>
              <w:jc w:val="right"/>
            </w:pPr>
            <w:r>
              <w:rPr>
                <w:rFonts w:ascii="Times New Roman" w:eastAsia="Times New Roman" w:hAnsi="Times New Roman" w:cs="Times New Roman"/>
                <w:b w:val="0"/>
                <w:i w:val="0"/>
                <w:color w:val="000000"/>
                <w:sz w:val="20"/>
                <w:u w:val="none"/>
              </w:rPr>
              <w:tab/>
              <w:t>1,108</w:t>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86"/>
              </w:tabs>
              <w:spacing w:before="75" w:after="30" w:line="240" w:lineRule="auto"/>
              <w:jc w:val="right"/>
            </w:pPr>
            <w:r>
              <w:rPr>
                <w:rFonts w:ascii="Times New Roman" w:eastAsia="Times New Roman" w:hAnsi="Times New Roman" w:cs="Times New Roman"/>
                <w:b w:val="0"/>
                <w:i w:val="0"/>
                <w:color w:val="000000"/>
                <w:sz w:val="20"/>
                <w:u w:val="none"/>
              </w:rPr>
              <w:tab/>
              <w:t>(212)</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500"/>
              </w:tabs>
              <w:spacing w:before="75" w:after="30" w:line="240" w:lineRule="auto"/>
              <w:jc w:val="right"/>
            </w:pPr>
            <w:r>
              <w:rPr>
                <w:rFonts w:ascii="Times New Roman" w:eastAsia="Times New Roman" w:hAnsi="Times New Roman" w:cs="Times New Roman"/>
                <w:b w:val="0"/>
                <w:i w:val="0"/>
                <w:color w:val="000000"/>
                <w:sz w:val="20"/>
                <w:u w:val="none"/>
              </w:rPr>
              <w:tab/>
              <w:t>(19)</w:t>
              <w:tab/>
            </w:r>
          </w:p>
        </w:tc>
      </w:tr>
      <w:tr>
        <w:tblPrEx>
          <w:tblW w:w="8115" w:type="dxa"/>
          <w:jc w:val="center"/>
          <w:tblLayout w:type="fixed"/>
          <w:tblCellMar>
            <w:left w:w="108" w:type="dxa"/>
            <w:right w:w="108" w:type="dxa"/>
          </w:tblCellMar>
        </w:tblPrEx>
        <w:trPr>
          <w:cantSplit/>
          <w:trHeight w:hRule="exact" w:val="300"/>
          <w:jc w:val="center"/>
        </w:trPr>
        <w:tc>
          <w:tcPr>
            <w:tcW w:w="28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Europe/Africa/CIS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ab/>
              <w:t>775</w:t>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ab/>
              <w:t>729</w:t>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72"/>
                <w:tab w:val="left" w:pos="1237"/>
              </w:tabs>
              <w:spacing w:before="75" w:after="30" w:line="240" w:lineRule="auto"/>
              <w:jc w:val="right"/>
            </w:pPr>
            <w:r>
              <w:rPr>
                <w:rFonts w:ascii="Times New Roman" w:eastAsia="Times New Roman" w:hAnsi="Times New Roman" w:cs="Times New Roman"/>
                <w:b w:val="0"/>
                <w:i w:val="0"/>
                <w:color w:val="000000"/>
                <w:sz w:val="20"/>
                <w:u w:val="none"/>
              </w:rPr>
              <w:tab/>
              <w:t>46</w:t>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333"/>
              </w:tabs>
              <w:spacing w:before="75" w:after="30" w:line="240" w:lineRule="auto"/>
              <w:jc w:val="right"/>
            </w:pPr>
            <w:r>
              <w:rPr>
                <w:rFonts w:ascii="Times New Roman" w:eastAsia="Times New Roman" w:hAnsi="Times New Roman" w:cs="Times New Roman"/>
                <w:b w:val="0"/>
                <w:i w:val="0"/>
                <w:color w:val="000000"/>
                <w:sz w:val="20"/>
                <w:u w:val="none"/>
              </w:rPr>
              <w:tab/>
              <w:t>6</w:t>
              <w:tab/>
            </w:r>
          </w:p>
        </w:tc>
      </w:tr>
      <w:tr>
        <w:tblPrEx>
          <w:tblW w:w="8115" w:type="dxa"/>
          <w:jc w:val="center"/>
          <w:tblLayout w:type="fixed"/>
          <w:tblCellMar>
            <w:left w:w="108" w:type="dxa"/>
            <w:right w:w="108" w:type="dxa"/>
          </w:tblCellMar>
        </w:tblPrEx>
        <w:trPr>
          <w:cantSplit/>
          <w:trHeight w:hRule="exact" w:val="300"/>
          <w:jc w:val="center"/>
        </w:trPr>
        <w:tc>
          <w:tcPr>
            <w:tcW w:w="289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Middle East/Asia</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22"/>
                <w:tab w:val="left" w:pos="1237"/>
              </w:tabs>
              <w:spacing w:before="75" w:after="30" w:line="240" w:lineRule="auto"/>
              <w:jc w:val="right"/>
            </w:pPr>
            <w:r>
              <w:rPr>
                <w:rFonts w:ascii="Times New Roman" w:eastAsia="Times New Roman" w:hAnsi="Times New Roman" w:cs="Times New Roman"/>
                <w:b w:val="0"/>
                <w:i w:val="0"/>
                <w:color w:val="000000"/>
                <w:sz w:val="20"/>
                <w:u w:val="none"/>
              </w:rPr>
              <w:tab/>
              <w:t>1,510</w:t>
              <w:tab/>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22"/>
                <w:tab w:val="left" w:pos="1237"/>
              </w:tabs>
              <w:spacing w:before="75" w:after="30" w:line="240" w:lineRule="auto"/>
              <w:jc w:val="right"/>
            </w:pPr>
            <w:r>
              <w:rPr>
                <w:rFonts w:ascii="Times New Roman" w:eastAsia="Times New Roman" w:hAnsi="Times New Roman" w:cs="Times New Roman"/>
                <w:b w:val="0"/>
                <w:i w:val="0"/>
                <w:color w:val="000000"/>
                <w:sz w:val="20"/>
                <w:u w:val="none"/>
              </w:rPr>
              <w:tab/>
              <w:t>1,421</w:t>
              <w:tab/>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72"/>
                <w:tab w:val="left" w:pos="1237"/>
              </w:tabs>
              <w:spacing w:before="75" w:after="30" w:line="240" w:lineRule="auto"/>
              <w:jc w:val="right"/>
            </w:pPr>
            <w:r>
              <w:rPr>
                <w:rFonts w:ascii="Times New Roman" w:eastAsia="Times New Roman" w:hAnsi="Times New Roman" w:cs="Times New Roman"/>
                <w:b w:val="0"/>
                <w:i w:val="0"/>
                <w:color w:val="000000"/>
                <w:sz w:val="20"/>
                <w:u w:val="none"/>
              </w:rPr>
              <w:tab/>
              <w:t>89</w:t>
              <w:tab/>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
                <w:tab w:val="left" w:pos="333"/>
              </w:tabs>
              <w:spacing w:before="75" w:after="30" w:line="240" w:lineRule="auto"/>
              <w:jc w:val="right"/>
            </w:pPr>
            <w:r>
              <w:rPr>
                <w:rFonts w:ascii="Times New Roman" w:eastAsia="Times New Roman" w:hAnsi="Times New Roman" w:cs="Times New Roman"/>
                <w:b w:val="0"/>
                <w:i w:val="0"/>
                <w:color w:val="000000"/>
                <w:sz w:val="20"/>
                <w:u w:val="none"/>
              </w:rPr>
              <w:tab/>
              <w:t>6</w:t>
              <w:tab/>
            </w:r>
          </w:p>
        </w:tc>
      </w:tr>
      <w:tr>
        <w:tblPrEx>
          <w:tblW w:w="8115" w:type="dxa"/>
          <w:jc w:val="center"/>
          <w:tblLayout w:type="fixed"/>
          <w:tblCellMar>
            <w:left w:w="108" w:type="dxa"/>
            <w:right w:w="108" w:type="dxa"/>
          </w:tblCellMar>
        </w:tblPrEx>
        <w:trPr>
          <w:cantSplit/>
          <w:trHeight w:hRule="exact" w:val="300"/>
          <w:jc w:val="center"/>
        </w:trPr>
        <w:tc>
          <w:tcPr>
            <w:tcW w:w="2895" w:type="dxa"/>
            <w:tcBorders>
              <w:top w:val="single" w:sz="8" w:space="0" w:color="000000"/>
              <w:left w:val="nil"/>
              <w:bottom w:val="double" w:sz="8" w:space="0" w:color="000000"/>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20"/>
                <w:u w:val="none"/>
              </w:rPr>
              <w:t>Total revenue</w:t>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722"/>
                <w:tab w:val="left" w:pos="1237"/>
              </w:tabs>
              <w:spacing w:before="55" w:after="30" w:line="240" w:lineRule="auto"/>
              <w:jc w:val="right"/>
            </w:pPr>
            <w:r>
              <w:rPr>
                <w:rFonts w:ascii="Times New Roman" w:eastAsia="Times New Roman" w:hAnsi="Times New Roman" w:cs="Times New Roman"/>
                <w:b w:val="0"/>
                <w:i w:val="0"/>
                <w:color w:val="000000"/>
                <w:sz w:val="20"/>
                <w:u w:val="none"/>
              </w:rPr>
              <w:t>$</w:t>
              <w:tab/>
              <w:t>5,417</w:t>
              <w:tab/>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722"/>
                <w:tab w:val="left" w:pos="1237"/>
              </w:tabs>
              <w:spacing w:before="55" w:after="30" w:line="240" w:lineRule="auto"/>
              <w:jc w:val="right"/>
            </w:pPr>
            <w:r>
              <w:rPr>
                <w:rFonts w:ascii="Times New Roman" w:eastAsia="Times New Roman" w:hAnsi="Times New Roman" w:cs="Times New Roman"/>
                <w:b w:val="0"/>
                <w:i w:val="0"/>
                <w:color w:val="000000"/>
                <w:sz w:val="20"/>
                <w:u w:val="none"/>
              </w:rPr>
              <w:t>$</w:t>
              <w:tab/>
              <w:t>5,804</w:t>
              <w:tab/>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786"/>
              </w:tabs>
              <w:spacing w:before="55" w:after="30" w:line="240" w:lineRule="auto"/>
              <w:jc w:val="right"/>
            </w:pPr>
            <w:r>
              <w:rPr>
                <w:rFonts w:ascii="Times New Roman" w:eastAsia="Times New Roman" w:hAnsi="Times New Roman" w:cs="Times New Roman"/>
                <w:b w:val="0"/>
                <w:i w:val="0"/>
                <w:color w:val="000000"/>
                <w:sz w:val="20"/>
                <w:u w:val="none"/>
              </w:rPr>
              <w:t>$</w:t>
              <w:tab/>
              <w:t>(387)</w:t>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1"/>
                <w:tab w:val="left" w:pos="236"/>
              </w:tabs>
              <w:spacing w:before="55" w:after="30" w:line="240" w:lineRule="auto"/>
              <w:jc w:val="right"/>
            </w:pPr>
            <w:r>
              <w:rPr>
                <w:rFonts w:ascii="Times New Roman" w:eastAsia="Times New Roman" w:hAnsi="Times New Roman" w:cs="Times New Roman"/>
                <w:b w:val="0"/>
                <w:i w:val="0"/>
                <w:color w:val="000000"/>
                <w:sz w:val="20"/>
                <w:u w:val="none"/>
              </w:rPr>
              <w:tab/>
              <w:t>(7)</w:t>
              <w:tab/>
              <w:t>%</w:t>
            </w:r>
          </w:p>
        </w:tc>
      </w:tr>
      <w:tr>
        <w:tblPrEx>
          <w:tblW w:w="8115" w:type="dxa"/>
          <w:jc w:val="center"/>
          <w:tblLayout w:type="fixed"/>
          <w:tblCellMar>
            <w:left w:w="108" w:type="dxa"/>
            <w:right w:w="108" w:type="dxa"/>
          </w:tblCellMar>
        </w:tblPrEx>
        <w:trPr>
          <w:cantSplit/>
          <w:trHeight w:hRule="exact" w:val="300"/>
          <w:jc w:val="center"/>
        </w:trPr>
        <w:tc>
          <w:tcPr>
            <w:tcW w:w="2895" w:type="dxa"/>
            <w:tcBorders>
              <w:top w:val="doub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15" w:after="30" w:line="240" w:lineRule="auto"/>
              <w:jc w:val="left"/>
            </w:pPr>
          </w:p>
        </w:tc>
        <w:tc>
          <w:tcPr>
            <w:tcW w:w="1305" w:type="dxa"/>
            <w:tcBorders>
              <w:top w:val="doub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spacing w:before="15" w:after="30" w:line="240" w:lineRule="auto"/>
              <w:jc w:val="right"/>
            </w:pPr>
          </w:p>
        </w:tc>
        <w:tc>
          <w:tcPr>
            <w:tcW w:w="1305" w:type="dxa"/>
            <w:tcBorders>
              <w:top w:val="doub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spacing w:before="15" w:after="30" w:line="240" w:lineRule="auto"/>
              <w:jc w:val="right"/>
            </w:pPr>
          </w:p>
        </w:tc>
        <w:tc>
          <w:tcPr>
            <w:tcW w:w="1305" w:type="dxa"/>
            <w:tcBorders>
              <w:top w:val="doub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spacing w:before="15" w:after="30" w:line="240" w:lineRule="auto"/>
              <w:jc w:val="right"/>
            </w:pPr>
          </w:p>
        </w:tc>
        <w:tc>
          <w:tcPr>
            <w:tcW w:w="1305" w:type="dxa"/>
            <w:tcBorders>
              <w:top w:val="doub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spacing w:before="15" w:after="30" w:line="240" w:lineRule="auto"/>
              <w:jc w:val="right"/>
            </w:pPr>
          </w:p>
        </w:tc>
      </w:tr>
      <w:tr>
        <w:tblPrEx>
          <w:tblW w:w="8115" w:type="dxa"/>
          <w:jc w:val="center"/>
          <w:tblLayout w:type="fixed"/>
          <w:tblCellMar>
            <w:left w:w="108" w:type="dxa"/>
            <w:right w:w="108" w:type="dxa"/>
          </w:tblCellMar>
        </w:tblPrEx>
        <w:trPr>
          <w:cantSplit/>
          <w:trHeight w:hRule="exact" w:val="300"/>
          <w:jc w:val="center"/>
        </w:trPr>
        <w:tc>
          <w:tcPr>
            <w:tcW w:w="289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color w:val="000000"/>
                <w:sz w:val="20"/>
                <w:u w:val="none"/>
              </w:rPr>
              <w:t>Operating income:</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spacing w:before="55" w:after="30" w:line="240" w:lineRule="auto"/>
              <w:jc w:val="righ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spacing w:before="55" w:after="30" w:line="240" w:lineRule="auto"/>
              <w:jc w:val="righ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spacing w:before="55" w:after="30" w:line="240" w:lineRule="auto"/>
              <w:jc w:val="righ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spacing w:before="55" w:after="30" w:line="240" w:lineRule="auto"/>
              <w:jc w:val="right"/>
            </w:pPr>
          </w:p>
        </w:tc>
      </w:tr>
      <w:tr>
        <w:tblPrEx>
          <w:tblW w:w="8115" w:type="dxa"/>
          <w:jc w:val="center"/>
          <w:tblLayout w:type="fixed"/>
          <w:tblCellMar>
            <w:left w:w="108" w:type="dxa"/>
            <w:right w:w="108" w:type="dxa"/>
          </w:tblCellMar>
        </w:tblPrEx>
        <w:trPr>
          <w:cantSplit/>
          <w:trHeight w:hRule="exact" w:val="300"/>
          <w:jc w:val="center"/>
        </w:trPr>
        <w:tc>
          <w:tcPr>
            <w:tcW w:w="28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color w:val="000000"/>
                <w:sz w:val="20"/>
                <w:u w:val="none"/>
              </w:rPr>
              <w:t>By operating segment:</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spacing w:before="75" w:after="30" w:line="240" w:lineRule="auto"/>
              <w:jc w:val="righ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spacing w:before="75" w:after="30" w:line="240" w:lineRule="auto"/>
              <w:jc w:val="righ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spacing w:before="75" w:after="30" w:line="240" w:lineRule="auto"/>
              <w:jc w:val="righ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spacing w:before="75" w:after="30" w:line="240" w:lineRule="auto"/>
              <w:jc w:val="right"/>
            </w:pPr>
          </w:p>
        </w:tc>
      </w:tr>
      <w:tr>
        <w:tblPrEx>
          <w:tblW w:w="8115" w:type="dxa"/>
          <w:jc w:val="center"/>
          <w:tblLayout w:type="fixed"/>
          <w:tblCellMar>
            <w:left w:w="108" w:type="dxa"/>
            <w:right w:w="108" w:type="dxa"/>
          </w:tblCellMar>
        </w:tblPrEx>
        <w:trPr>
          <w:cantSplit/>
          <w:trHeight w:hRule="exact" w:val="300"/>
          <w:jc w:val="center"/>
        </w:trPr>
        <w:tc>
          <w:tcPr>
            <w:tcW w:w="28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Completion and Production</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w:t>
              <w:tab/>
              <w:t>531</w:t>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w:t>
              <w:tab/>
              <w:t>688</w:t>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86"/>
              </w:tabs>
              <w:spacing w:before="75" w:after="30" w:line="240" w:lineRule="auto"/>
              <w:jc w:val="right"/>
            </w:pPr>
            <w:r>
              <w:rPr>
                <w:rFonts w:ascii="Times New Roman" w:eastAsia="Times New Roman" w:hAnsi="Times New Roman" w:cs="Times New Roman"/>
                <w:b w:val="0"/>
                <w:i w:val="0"/>
                <w:color w:val="000000"/>
                <w:sz w:val="20"/>
                <w:u w:val="none"/>
              </w:rPr>
              <w:t>$</w:t>
              <w:tab/>
              <w:t>(157)</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336"/>
              </w:tabs>
              <w:spacing w:before="75" w:after="30" w:line="240" w:lineRule="auto"/>
              <w:jc w:val="right"/>
            </w:pPr>
            <w:r>
              <w:rPr>
                <w:rFonts w:ascii="Times New Roman" w:eastAsia="Times New Roman" w:hAnsi="Times New Roman" w:cs="Times New Roman"/>
                <w:b w:val="0"/>
                <w:i w:val="0"/>
                <w:color w:val="000000"/>
                <w:sz w:val="20"/>
                <w:u w:val="none"/>
              </w:rPr>
              <w:tab/>
              <w:t>(23)</w:t>
              <w:tab/>
              <w:t>%</w:t>
            </w:r>
          </w:p>
        </w:tc>
      </w:tr>
      <w:tr>
        <w:tblPrEx>
          <w:tblW w:w="8115" w:type="dxa"/>
          <w:jc w:val="center"/>
          <w:tblLayout w:type="fixed"/>
          <w:tblCellMar>
            <w:left w:w="108" w:type="dxa"/>
            <w:right w:w="108" w:type="dxa"/>
          </w:tblCellMar>
        </w:tblPrEx>
        <w:trPr>
          <w:cantSplit/>
          <w:trHeight w:hRule="exact" w:val="300"/>
          <w:jc w:val="center"/>
        </w:trPr>
        <w:tc>
          <w:tcPr>
            <w:tcW w:w="289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Drilling and Evaluation</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ab/>
              <w:t>352</w:t>
              <w:tab/>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72"/>
                <w:tab w:val="left" w:pos="1237"/>
              </w:tabs>
              <w:spacing w:before="75" w:after="30" w:line="240" w:lineRule="auto"/>
              <w:jc w:val="right"/>
            </w:pPr>
            <w:r>
              <w:rPr>
                <w:rFonts w:ascii="Times New Roman" w:eastAsia="Times New Roman" w:hAnsi="Times New Roman" w:cs="Times New Roman"/>
                <w:b w:val="0"/>
                <w:i w:val="0"/>
                <w:color w:val="000000"/>
                <w:sz w:val="20"/>
                <w:u w:val="none"/>
              </w:rPr>
              <w:tab/>
              <w:t>398</w:t>
              <w:tab/>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86"/>
              </w:tabs>
              <w:spacing w:before="75" w:after="30" w:line="240" w:lineRule="auto"/>
              <w:jc w:val="right"/>
            </w:pPr>
            <w:r>
              <w:rPr>
                <w:rFonts w:ascii="Times New Roman" w:eastAsia="Times New Roman" w:hAnsi="Times New Roman" w:cs="Times New Roman"/>
                <w:b w:val="0"/>
                <w:i w:val="0"/>
                <w:color w:val="000000"/>
                <w:sz w:val="20"/>
                <w:u w:val="none"/>
              </w:rPr>
              <w:tab/>
              <w:t>(46)</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
                <w:tab w:val="left" w:pos="500"/>
              </w:tabs>
              <w:spacing w:before="75" w:after="30" w:line="240" w:lineRule="auto"/>
              <w:jc w:val="right"/>
            </w:pPr>
            <w:r>
              <w:rPr>
                <w:rFonts w:ascii="Times New Roman" w:eastAsia="Times New Roman" w:hAnsi="Times New Roman" w:cs="Times New Roman"/>
                <w:b w:val="0"/>
                <w:i w:val="0"/>
                <w:color w:val="000000"/>
                <w:sz w:val="20"/>
                <w:u w:val="none"/>
              </w:rPr>
              <w:tab/>
              <w:t>(12)</w:t>
              <w:tab/>
            </w:r>
          </w:p>
        </w:tc>
      </w:tr>
      <w:tr>
        <w:tblPrEx>
          <w:tblW w:w="8115" w:type="dxa"/>
          <w:jc w:val="center"/>
          <w:tblLayout w:type="fixed"/>
          <w:tblCellMar>
            <w:left w:w="108" w:type="dxa"/>
            <w:right w:w="108" w:type="dxa"/>
          </w:tblCellMar>
        </w:tblPrEx>
        <w:trPr>
          <w:cantSplit/>
          <w:trHeight w:hRule="exact" w:val="300"/>
          <w:jc w:val="center"/>
        </w:trPr>
        <w:tc>
          <w:tcPr>
            <w:tcW w:w="2895" w:type="dxa"/>
            <w:tcBorders>
              <w:top w:val="single" w:sz="8" w:space="0" w:color="000000"/>
              <w:left w:val="nil"/>
              <w:bottom w:val="single" w:sz="8" w:space="0" w:color="000000"/>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20"/>
                <w:u w:val="none"/>
              </w:rPr>
              <w:t>Total operations</w:t>
            </w: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72"/>
                <w:tab w:val="left" w:pos="1237"/>
              </w:tabs>
              <w:spacing w:before="55" w:after="30" w:line="240" w:lineRule="auto"/>
              <w:jc w:val="right"/>
            </w:pPr>
            <w:r>
              <w:rPr>
                <w:rFonts w:ascii="Times New Roman" w:eastAsia="Times New Roman" w:hAnsi="Times New Roman" w:cs="Times New Roman"/>
                <w:b w:val="0"/>
                <w:i w:val="0"/>
                <w:color w:val="000000"/>
                <w:sz w:val="20"/>
                <w:u w:val="none"/>
              </w:rPr>
              <w:tab/>
              <w:t>883</w:t>
              <w:tab/>
            </w: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22"/>
                <w:tab w:val="left" w:pos="1237"/>
              </w:tabs>
              <w:spacing w:before="55" w:after="30" w:line="240" w:lineRule="auto"/>
              <w:jc w:val="right"/>
            </w:pPr>
            <w:r>
              <w:rPr>
                <w:rFonts w:ascii="Times New Roman" w:eastAsia="Times New Roman" w:hAnsi="Times New Roman" w:cs="Times New Roman"/>
                <w:b w:val="0"/>
                <w:i w:val="0"/>
                <w:color w:val="000000"/>
                <w:sz w:val="20"/>
                <w:u w:val="none"/>
              </w:rPr>
              <w:tab/>
              <w:t>1,086</w:t>
              <w:tab/>
            </w: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86"/>
              </w:tabs>
              <w:spacing w:before="55" w:after="30" w:line="240" w:lineRule="auto"/>
              <w:jc w:val="right"/>
            </w:pPr>
            <w:r>
              <w:rPr>
                <w:rFonts w:ascii="Times New Roman" w:eastAsia="Times New Roman" w:hAnsi="Times New Roman" w:cs="Times New Roman"/>
                <w:b w:val="0"/>
                <w:i w:val="0"/>
                <w:color w:val="000000"/>
                <w:sz w:val="20"/>
                <w:u w:val="none"/>
              </w:rPr>
              <w:tab/>
              <w:t>(203)</w:t>
            </w: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
                <w:tab w:val="left" w:pos="500"/>
              </w:tabs>
              <w:spacing w:before="55" w:after="30" w:line="240" w:lineRule="auto"/>
              <w:jc w:val="right"/>
            </w:pPr>
            <w:r>
              <w:rPr>
                <w:rFonts w:ascii="Times New Roman" w:eastAsia="Times New Roman" w:hAnsi="Times New Roman" w:cs="Times New Roman"/>
                <w:b w:val="0"/>
                <w:i w:val="0"/>
                <w:color w:val="000000"/>
                <w:sz w:val="20"/>
                <w:u w:val="none"/>
              </w:rPr>
              <w:tab/>
              <w:t>(19)</w:t>
              <w:tab/>
            </w:r>
          </w:p>
        </w:tc>
      </w:tr>
      <w:tr>
        <w:tblPrEx>
          <w:tblW w:w="8115" w:type="dxa"/>
          <w:jc w:val="center"/>
          <w:tblLayout w:type="fixed"/>
          <w:tblCellMar>
            <w:left w:w="108" w:type="dxa"/>
            <w:right w:w="108" w:type="dxa"/>
          </w:tblCellMar>
        </w:tblPrEx>
        <w:trPr>
          <w:cantSplit/>
          <w:trHeight w:hRule="exact" w:val="300"/>
          <w:jc w:val="center"/>
        </w:trPr>
        <w:tc>
          <w:tcPr>
            <w:tcW w:w="2895"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20"/>
                <w:u w:val="none"/>
              </w:rPr>
              <w:t>Corporate and other</w:t>
            </w: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886"/>
              </w:tabs>
              <w:spacing w:before="55" w:after="30" w:line="240" w:lineRule="auto"/>
              <w:jc w:val="right"/>
            </w:pPr>
            <w:r>
              <w:rPr>
                <w:rFonts w:ascii="Times New Roman" w:eastAsia="Times New Roman" w:hAnsi="Times New Roman" w:cs="Times New Roman"/>
                <w:b w:val="0"/>
                <w:i w:val="0"/>
                <w:color w:val="000000"/>
                <w:sz w:val="20"/>
                <w:u w:val="none"/>
              </w:rPr>
              <w:tab/>
              <w:t>(66)</w:t>
            </w: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886"/>
              </w:tabs>
              <w:spacing w:before="55" w:after="30" w:line="240" w:lineRule="auto"/>
              <w:jc w:val="right"/>
            </w:pPr>
            <w:r>
              <w:rPr>
                <w:rFonts w:ascii="Times New Roman" w:eastAsia="Times New Roman" w:hAnsi="Times New Roman" w:cs="Times New Roman"/>
                <w:b w:val="0"/>
                <w:i w:val="0"/>
                <w:color w:val="000000"/>
                <w:sz w:val="20"/>
                <w:u w:val="none"/>
              </w:rPr>
              <w:tab/>
              <w:t>(65)</w:t>
            </w: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986"/>
              </w:tabs>
              <w:spacing w:before="55" w:after="30" w:line="240" w:lineRule="auto"/>
              <w:jc w:val="right"/>
            </w:pPr>
            <w:r>
              <w:rPr>
                <w:rFonts w:ascii="Times New Roman" w:eastAsia="Times New Roman" w:hAnsi="Times New Roman" w:cs="Times New Roman"/>
                <w:b w:val="0"/>
                <w:i w:val="0"/>
                <w:color w:val="000000"/>
                <w:sz w:val="20"/>
                <w:u w:val="none"/>
              </w:rPr>
              <w:tab/>
              <w:t>(1)</w:t>
            </w: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400"/>
              </w:tabs>
              <w:spacing w:before="55" w:after="30" w:line="240" w:lineRule="auto"/>
              <w:jc w:val="right"/>
            </w:pPr>
            <w:r>
              <w:rPr>
                <w:rFonts w:ascii="Times New Roman" w:eastAsia="Times New Roman" w:hAnsi="Times New Roman" w:cs="Times New Roman"/>
                <w:b w:val="0"/>
                <w:i w:val="0"/>
                <w:color w:val="000000"/>
                <w:sz w:val="20"/>
                <w:u w:val="none"/>
              </w:rPr>
              <w:tab/>
              <w:t>(2)</w:t>
              <w:tab/>
            </w:r>
          </w:p>
        </w:tc>
      </w:tr>
      <w:tr>
        <w:tblPrEx>
          <w:tblW w:w="8115" w:type="dxa"/>
          <w:jc w:val="center"/>
          <w:tblLayout w:type="fixed"/>
          <w:tblCellMar>
            <w:left w:w="108" w:type="dxa"/>
            <w:right w:w="108" w:type="dxa"/>
          </w:tblCellMar>
        </w:tblPrEx>
        <w:trPr>
          <w:cantSplit/>
          <w:trHeight w:hRule="exact" w:val="300"/>
          <w:jc w:val="center"/>
        </w:trPr>
        <w:tc>
          <w:tcPr>
            <w:tcW w:w="28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SAP S4 upgrade expense</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86"/>
              </w:tabs>
              <w:spacing w:before="75" w:after="30" w:line="240" w:lineRule="auto"/>
              <w:jc w:val="right"/>
            </w:pPr>
            <w:r>
              <w:rPr>
                <w:rFonts w:ascii="Times New Roman" w:eastAsia="Times New Roman" w:hAnsi="Times New Roman" w:cs="Times New Roman"/>
                <w:b w:val="0"/>
                <w:i w:val="0"/>
                <w:color w:val="000000"/>
                <w:sz w:val="20"/>
                <w:u w:val="none"/>
              </w:rPr>
              <w:tab/>
              <w:t>(30)</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86"/>
              </w:tabs>
              <w:spacing w:before="75" w:after="30" w:line="240" w:lineRule="auto"/>
              <w:jc w:val="right"/>
            </w:pPr>
            <w:r>
              <w:rPr>
                <w:rFonts w:ascii="Times New Roman" w:eastAsia="Times New Roman" w:hAnsi="Times New Roman" w:cs="Times New Roman"/>
                <w:b w:val="0"/>
                <w:i w:val="0"/>
                <w:color w:val="000000"/>
                <w:sz w:val="20"/>
                <w:u w:val="none"/>
              </w:rPr>
              <w:tab/>
              <w:t>(34)</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72"/>
                <w:tab w:val="left" w:pos="1237"/>
              </w:tabs>
              <w:spacing w:before="75" w:after="30" w:line="240" w:lineRule="auto"/>
              <w:jc w:val="right"/>
            </w:pPr>
            <w:r>
              <w:rPr>
                <w:rFonts w:ascii="Times New Roman" w:eastAsia="Times New Roman" w:hAnsi="Times New Roman" w:cs="Times New Roman"/>
                <w:b w:val="0"/>
                <w:i w:val="0"/>
                <w:color w:val="000000"/>
                <w:sz w:val="20"/>
                <w:u w:val="none"/>
              </w:rPr>
              <w:tab/>
              <w:t>4</w:t>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433"/>
              </w:tabs>
              <w:spacing w:before="75" w:after="30" w:line="240" w:lineRule="auto"/>
              <w:jc w:val="right"/>
            </w:pPr>
            <w:r>
              <w:rPr>
                <w:rFonts w:ascii="Times New Roman" w:eastAsia="Times New Roman" w:hAnsi="Times New Roman" w:cs="Times New Roman"/>
                <w:b w:val="0"/>
                <w:i w:val="0"/>
                <w:color w:val="000000"/>
                <w:sz w:val="20"/>
                <w:u w:val="none"/>
              </w:rPr>
              <w:tab/>
              <w:t>12</w:t>
              <w:tab/>
            </w:r>
          </w:p>
        </w:tc>
      </w:tr>
      <w:tr>
        <w:tblPrEx>
          <w:tblW w:w="8115" w:type="dxa"/>
          <w:jc w:val="center"/>
          <w:tblLayout w:type="fixed"/>
          <w:tblCellMar>
            <w:left w:w="108" w:type="dxa"/>
            <w:right w:w="108" w:type="dxa"/>
          </w:tblCellMar>
        </w:tblPrEx>
        <w:trPr>
          <w:cantSplit/>
          <w:trHeight w:hRule="exact" w:val="300"/>
          <w:jc w:val="center"/>
        </w:trPr>
        <w:tc>
          <w:tcPr>
            <w:tcW w:w="289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Impairments and other charges</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86"/>
              </w:tabs>
              <w:spacing w:before="75" w:after="30" w:line="240" w:lineRule="auto"/>
              <w:jc w:val="right"/>
            </w:pPr>
            <w:r>
              <w:rPr>
                <w:rFonts w:ascii="Times New Roman" w:eastAsia="Times New Roman" w:hAnsi="Times New Roman" w:cs="Times New Roman"/>
                <w:b w:val="0"/>
                <w:i w:val="0"/>
                <w:color w:val="000000"/>
                <w:sz w:val="20"/>
                <w:u w:val="none"/>
              </w:rPr>
              <w:tab/>
              <w:t>(356)</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72"/>
                <w:tab w:val="left" w:pos="1237"/>
              </w:tabs>
              <w:spacing w:before="75" w:after="30" w:line="240" w:lineRule="auto"/>
              <w:jc w:val="right"/>
            </w:pPr>
            <w:r>
              <w:rPr>
                <w:rFonts w:ascii="Times New Roman" w:eastAsia="Times New Roman" w:hAnsi="Times New Roman" w:cs="Times New Roman"/>
                <w:b w:val="0"/>
                <w:i w:val="0"/>
                <w:color w:val="000000"/>
                <w:sz w:val="20"/>
                <w:u w:val="none"/>
              </w:rPr>
              <w:tab/>
              <w:t>—</w:t>
              <w:tab/>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86"/>
              </w:tabs>
              <w:spacing w:before="75" w:after="30" w:line="240" w:lineRule="auto"/>
              <w:jc w:val="right"/>
            </w:pPr>
            <w:r>
              <w:rPr>
                <w:rFonts w:ascii="Times New Roman" w:eastAsia="Times New Roman" w:hAnsi="Times New Roman" w:cs="Times New Roman"/>
                <w:b w:val="0"/>
                <w:i w:val="0"/>
                <w:color w:val="000000"/>
                <w:sz w:val="20"/>
                <w:u w:val="none"/>
              </w:rPr>
              <w:tab/>
              <w:t>(356)</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20"/>
                <w:u w:val="none"/>
              </w:rPr>
              <w:t>n/m</w:t>
            </w:r>
          </w:p>
        </w:tc>
      </w:tr>
      <w:tr>
        <w:tblPrEx>
          <w:tblW w:w="8115" w:type="dxa"/>
          <w:jc w:val="center"/>
          <w:tblLayout w:type="fixed"/>
          <w:tblCellMar>
            <w:left w:w="108" w:type="dxa"/>
            <w:right w:w="108" w:type="dxa"/>
          </w:tblCellMar>
        </w:tblPrEx>
        <w:trPr>
          <w:cantSplit/>
          <w:trHeight w:hRule="exact" w:val="300"/>
          <w:jc w:val="center"/>
        </w:trPr>
        <w:tc>
          <w:tcPr>
            <w:tcW w:w="2895" w:type="dxa"/>
            <w:tcBorders>
              <w:top w:val="single" w:sz="8" w:space="0" w:color="000000"/>
              <w:left w:val="nil"/>
              <w:bottom w:val="double" w:sz="8" w:space="0" w:color="000000"/>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20"/>
                <w:u w:val="none"/>
              </w:rPr>
              <w:t>Total operating income</w:t>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872"/>
                <w:tab w:val="left" w:pos="1237"/>
              </w:tabs>
              <w:spacing w:before="55" w:after="30" w:line="240" w:lineRule="auto"/>
              <w:jc w:val="right"/>
            </w:pPr>
            <w:r>
              <w:rPr>
                <w:rFonts w:ascii="Times New Roman" w:eastAsia="Times New Roman" w:hAnsi="Times New Roman" w:cs="Times New Roman"/>
                <w:b w:val="0"/>
                <w:i w:val="0"/>
                <w:color w:val="000000"/>
                <w:sz w:val="20"/>
                <w:u w:val="none"/>
              </w:rPr>
              <w:t>$</w:t>
              <w:tab/>
              <w:t>431</w:t>
              <w:tab/>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872"/>
                <w:tab w:val="left" w:pos="1237"/>
              </w:tabs>
              <w:spacing w:before="55" w:after="30" w:line="240" w:lineRule="auto"/>
              <w:jc w:val="right"/>
            </w:pPr>
            <w:r>
              <w:rPr>
                <w:rFonts w:ascii="Times New Roman" w:eastAsia="Times New Roman" w:hAnsi="Times New Roman" w:cs="Times New Roman"/>
                <w:b w:val="0"/>
                <w:i w:val="0"/>
                <w:color w:val="000000"/>
                <w:sz w:val="20"/>
                <w:u w:val="none"/>
              </w:rPr>
              <w:t>$</w:t>
              <w:tab/>
              <w:t>987</w:t>
              <w:tab/>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786"/>
              </w:tabs>
              <w:spacing w:before="55" w:after="30" w:line="240" w:lineRule="auto"/>
              <w:jc w:val="right"/>
            </w:pPr>
            <w:r>
              <w:rPr>
                <w:rFonts w:ascii="Times New Roman" w:eastAsia="Times New Roman" w:hAnsi="Times New Roman" w:cs="Times New Roman"/>
                <w:b w:val="0"/>
                <w:i w:val="0"/>
                <w:color w:val="000000"/>
                <w:sz w:val="20"/>
                <w:u w:val="none"/>
              </w:rPr>
              <w:t>$</w:t>
              <w:tab/>
              <w:t>(556)</w:t>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1"/>
                <w:tab w:val="left" w:pos="336"/>
              </w:tabs>
              <w:spacing w:before="55" w:after="30" w:line="240" w:lineRule="auto"/>
              <w:jc w:val="right"/>
            </w:pPr>
            <w:r>
              <w:rPr>
                <w:rFonts w:ascii="Times New Roman" w:eastAsia="Times New Roman" w:hAnsi="Times New Roman" w:cs="Times New Roman"/>
                <w:b w:val="0"/>
                <w:i w:val="0"/>
                <w:color w:val="000000"/>
                <w:sz w:val="20"/>
                <w:u w:val="none"/>
              </w:rPr>
              <w:tab/>
              <w:t>(56)</w:t>
              <w:tab/>
              <w:t>%</w:t>
            </w:r>
          </w:p>
        </w:tc>
      </w:tr>
      <w:tr>
        <w:tblPrEx>
          <w:tblW w:w="8115" w:type="dxa"/>
          <w:jc w:val="center"/>
          <w:tblLayout w:type="fixed"/>
          <w:tblCellMar>
            <w:left w:w="108" w:type="dxa"/>
            <w:right w:w="108" w:type="dxa"/>
          </w:tblCellMar>
        </w:tblPrEx>
        <w:trPr>
          <w:cantSplit/>
          <w:trHeight w:hRule="exact" w:val="300"/>
          <w:jc w:val="center"/>
        </w:trPr>
        <w:tc>
          <w:tcPr>
            <w:tcW w:w="2895" w:type="dxa"/>
            <w:tcBorders>
              <w:top w:val="double" w:sz="8" w:space="0" w:color="000000"/>
              <w:left w:val="nil"/>
              <w:bottom w:val="nil"/>
              <w:right w:val="nil"/>
            </w:tcBorders>
            <w:tcMar>
              <w:top w:w="0" w:type="dxa"/>
              <w:left w:w="53" w:type="dxa"/>
              <w:bottom w:w="0" w:type="dxa"/>
              <w:right w:w="53" w:type="dxa"/>
            </w:tcMar>
            <w:vAlign w:val="bottom"/>
          </w:tcPr>
          <w:p>
            <w:pPr>
              <w:pageBreakBefore w:val="0"/>
              <w:spacing w:before="15" w:after="30" w:line="240" w:lineRule="auto"/>
              <w:jc w:val="left"/>
            </w:pPr>
            <w:r>
              <w:rPr>
                <w:rFonts w:ascii="Times New Roman" w:eastAsia="Times New Roman" w:hAnsi="Times New Roman" w:cs="Times New Roman"/>
                <w:b w:val="0"/>
                <w:i w:val="0"/>
                <w:color w:val="000000"/>
                <w:sz w:val="20"/>
                <w:u w:val="none"/>
              </w:rPr>
              <w:t>n/m = not meaningful</w:t>
            </w:r>
          </w:p>
        </w:tc>
        <w:tc>
          <w:tcPr>
            <w:tcW w:w="1305" w:type="dxa"/>
            <w:tcBorders>
              <w:top w:val="double" w:sz="8" w:space="0" w:color="000000"/>
              <w:left w:val="nil"/>
              <w:bottom w:val="nil"/>
              <w:right w:val="nil"/>
            </w:tcBorders>
            <w:tcMar>
              <w:top w:w="0" w:type="dxa"/>
              <w:left w:w="0" w:type="dxa"/>
              <w:bottom w:w="0" w:type="dxa"/>
              <w:right w:w="15" w:type="dxa"/>
            </w:tcMar>
            <w:vAlign w:val="bottom"/>
          </w:tcPr>
          <w:p>
            <w:pPr>
              <w:pageBreakBefore w:val="0"/>
              <w:spacing w:before="15" w:after="30" w:line="240" w:lineRule="auto"/>
              <w:jc w:val="right"/>
            </w:pPr>
          </w:p>
        </w:tc>
        <w:tc>
          <w:tcPr>
            <w:tcW w:w="1305" w:type="dxa"/>
            <w:tcBorders>
              <w:top w:val="double" w:sz="8" w:space="0" w:color="000000"/>
              <w:left w:val="nil"/>
              <w:bottom w:val="nil"/>
              <w:right w:val="nil"/>
            </w:tcBorders>
            <w:tcMar>
              <w:top w:w="0" w:type="dxa"/>
              <w:left w:w="0" w:type="dxa"/>
              <w:bottom w:w="0" w:type="dxa"/>
              <w:right w:w="15" w:type="dxa"/>
            </w:tcMar>
            <w:vAlign w:val="bottom"/>
          </w:tcPr>
          <w:p>
            <w:pPr>
              <w:pageBreakBefore w:val="0"/>
              <w:spacing w:before="15" w:after="30" w:line="240" w:lineRule="auto"/>
              <w:jc w:val="right"/>
            </w:pPr>
          </w:p>
        </w:tc>
        <w:tc>
          <w:tcPr>
            <w:tcW w:w="1305" w:type="dxa"/>
            <w:tcBorders>
              <w:top w:val="double" w:sz="8" w:space="0" w:color="000000"/>
              <w:left w:val="nil"/>
              <w:bottom w:val="nil"/>
              <w:right w:val="nil"/>
            </w:tcBorders>
            <w:tcMar>
              <w:top w:w="0" w:type="dxa"/>
              <w:left w:w="0" w:type="dxa"/>
              <w:bottom w:w="0" w:type="dxa"/>
              <w:right w:w="15" w:type="dxa"/>
            </w:tcMar>
            <w:vAlign w:val="bottom"/>
          </w:tcPr>
          <w:p>
            <w:pPr>
              <w:pageBreakBefore w:val="0"/>
              <w:spacing w:before="15" w:after="30" w:line="240" w:lineRule="auto"/>
              <w:jc w:val="right"/>
            </w:pPr>
          </w:p>
        </w:tc>
        <w:tc>
          <w:tcPr>
            <w:tcW w:w="1305" w:type="dxa"/>
            <w:tcBorders>
              <w:top w:val="double" w:sz="8" w:space="0" w:color="000000"/>
              <w:left w:val="nil"/>
              <w:bottom w:val="nil"/>
              <w:right w:val="nil"/>
            </w:tcBorders>
            <w:tcMar>
              <w:top w:w="0" w:type="dxa"/>
              <w:left w:w="0" w:type="dxa"/>
              <w:bottom w:w="0" w:type="dxa"/>
              <w:right w:w="15" w:type="dxa"/>
            </w:tcMar>
            <w:vAlign w:val="bottom"/>
          </w:tcPr>
          <w:p>
            <w:pPr>
              <w:pageBreakBefore w:val="0"/>
              <w:spacing w:before="15" w:after="30" w:line="240" w:lineRule="auto"/>
              <w:jc w:val="right"/>
            </w:pPr>
          </w:p>
        </w:tc>
      </w:tr>
    </w:tbl>
    <w:p>
      <w:pPr>
        <w:keepNext/>
        <w:keepLines/>
        <w:pageBreakBefore w:val="0"/>
        <w:widowControl w:val="0"/>
        <w:numPr>
          <w:ilvl w:val="0"/>
          <w:numId w:val="0"/>
        </w:numPr>
        <w:spacing w:before="160" w:after="160" w:line="288" w:lineRule="auto"/>
        <w:ind w:left="0" w:right="0" w:firstLine="0"/>
        <w:jc w:val="left"/>
        <w:outlineLvl w:val="9"/>
        <w:rPr>
          <w:rFonts w:ascii="Times New Roman" w:eastAsia="Times New Roman" w:hAnsi="Times New Roman" w:cs="Times New Roman"/>
          <w:b/>
          <w:i/>
          <w:sz w:val="20"/>
        </w:rPr>
      </w:pPr>
      <w:r>
        <w:rPr>
          <w:rFonts w:ascii="Times New Roman" w:eastAsia="Times New Roman" w:hAnsi="Times New Roman" w:cs="Times New Roman"/>
          <w:b/>
          <w:i/>
          <w:sz w:val="20"/>
        </w:rPr>
        <w:t xml:space="preserve">Operating Segments </w:t>
      </w:r>
    </w:p>
    <w:p>
      <w:pPr>
        <w:keepNext w:val="0"/>
        <w:keepLines/>
        <w:pageBreakBefore w:val="0"/>
        <w:widowControl w:val="0"/>
        <w:numPr>
          <w:ilvl w:val="0"/>
          <w:numId w:val="0"/>
        </w:numPr>
        <w:spacing w:before="0" w:after="0" w:line="288" w:lineRule="auto"/>
        <w:ind w:left="0" w:right="0" w:firstLine="720"/>
        <w:jc w:val="left"/>
        <w:outlineLvl w:val="9"/>
        <w:rPr>
          <w:rFonts w:ascii="Times New Roman" w:eastAsia="Times New Roman" w:hAnsi="Times New Roman" w:cs="Times New Roman"/>
          <w:b w:val="0"/>
          <w:i/>
          <w:sz w:val="20"/>
        </w:rPr>
      </w:pPr>
      <w:r>
        <w:rPr>
          <w:rFonts w:ascii="Times New Roman" w:eastAsia="Times New Roman" w:hAnsi="Times New Roman" w:cs="Times New Roman"/>
          <w:b w:val="0"/>
          <w:i/>
          <w:sz w:val="20"/>
        </w:rPr>
        <w:t>Completion and Production</w:t>
      </w:r>
    </w:p>
    <w:p>
      <w:pPr>
        <w:keepNext w:val="0"/>
        <w:keepLines/>
        <w:pageBreakBefore w:val="0"/>
        <w:widowControl w:val="0"/>
        <w:numPr>
          <w:ilvl w:val="0"/>
          <w:numId w:val="0"/>
        </w:numPr>
        <w:spacing w:before="0" w:after="160" w:line="288" w:lineRule="auto"/>
        <w:ind w:left="0" w:right="0" w:firstLine="720"/>
        <w:jc w:val="both"/>
        <w:outlineLvl w:val="9"/>
        <w:rPr>
          <w:rFonts w:ascii="Calibri" w:eastAsia="Calibri" w:hAnsi="Calibri" w:cs="Calibri"/>
          <w:b w:val="0"/>
          <w:i w:val="0"/>
          <w:sz w:val="22"/>
        </w:rPr>
      </w:pPr>
      <w:r>
        <w:rPr>
          <w:rFonts w:ascii="Times New Roman" w:eastAsia="Times New Roman" w:hAnsi="Times New Roman" w:cs="Times New Roman"/>
          <w:b w:val="0"/>
          <w:i w:val="0"/>
          <w:sz w:val="20"/>
        </w:rPr>
        <w:t xml:space="preserve">Completion and Production revenue in the </w:t>
      </w:r>
      <w:r>
        <w:rPr>
          <w:rFonts w:ascii="Times New Roman" w:eastAsia="Times New Roman" w:hAnsi="Times New Roman" w:cs="Times New Roman"/>
          <w:b w:val="0"/>
          <w:i w:val="0"/>
          <w:color w:val="000000"/>
          <w:sz w:val="20"/>
          <w:u w:val="none"/>
        </w:rPr>
        <w:t>first</w:t>
      </w:r>
      <w:r>
        <w:rPr>
          <w:rFonts w:ascii="Times New Roman" w:eastAsia="Times New Roman" w:hAnsi="Times New Roman" w:cs="Times New Roman"/>
          <w:b w:val="0"/>
          <w:i w:val="0"/>
          <w:sz w:val="20"/>
        </w:rPr>
        <w:t xml:space="preserve"> quarter of </w:t>
      </w:r>
      <w:r>
        <w:rPr>
          <w:rFonts w:ascii="Times New Roman" w:eastAsia="Times New Roman" w:hAnsi="Times New Roman" w:cs="Times New Roman"/>
          <w:b w:val="0"/>
          <w:i w:val="0"/>
          <w:color w:val="000000"/>
          <w:sz w:val="20"/>
          <w:u w:val="none"/>
        </w:rPr>
        <w:t>2025</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 xml:space="preserve">was </w:t>
      </w:r>
      <w:r>
        <w:rPr>
          <w:rFonts w:ascii="Times New Roman" w:eastAsia="Times New Roman" w:hAnsi="Times New Roman" w:cs="Times New Roman"/>
          <w:b w:val="0"/>
          <w:i w:val="0"/>
          <w:color w:val="000000"/>
          <w:sz w:val="20"/>
          <w:u w:val="none"/>
        </w:rPr>
        <w:t>$3.1 billion</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color w:val="000000"/>
          <w:sz w:val="20"/>
          <w:u w:val="none"/>
        </w:rPr>
        <w:t>a decrease</w:t>
      </w:r>
      <w:r>
        <w:rPr>
          <w:rFonts w:ascii="Times New Roman" w:eastAsia="Times New Roman" w:hAnsi="Times New Roman" w:cs="Times New Roman"/>
          <w:b w:val="0"/>
          <w:i w:val="0"/>
          <w:sz w:val="20"/>
        </w:rPr>
        <w:t xml:space="preserve"> of </w:t>
      </w:r>
      <w:r>
        <w:rPr>
          <w:rFonts w:ascii="Times New Roman" w:eastAsia="Times New Roman" w:hAnsi="Times New Roman" w:cs="Times New Roman"/>
          <w:b w:val="0"/>
          <w:i w:val="0"/>
          <w:color w:val="000000"/>
          <w:sz w:val="20"/>
          <w:u w:val="none"/>
        </w:rPr>
        <w:t>$253 million</w:t>
      </w:r>
      <w:r>
        <w:rPr>
          <w:rFonts w:ascii="Times New Roman" w:eastAsia="Times New Roman" w:hAnsi="Times New Roman" w:cs="Times New Roman"/>
          <w:b w:val="0"/>
          <w:i w:val="0"/>
          <w:sz w:val="20"/>
        </w:rPr>
        <w:t xml:space="preserve">, or </w:t>
      </w:r>
      <w:r>
        <w:rPr>
          <w:rFonts w:ascii="Times New Roman" w:eastAsia="Times New Roman" w:hAnsi="Times New Roman" w:cs="Times New Roman"/>
          <w:b w:val="0"/>
          <w:i w:val="0"/>
          <w:color w:val="000000"/>
          <w:sz w:val="20"/>
          <w:u w:val="none"/>
        </w:rPr>
        <w:t>8%</w:t>
      </w:r>
      <w:r>
        <w:rPr>
          <w:rFonts w:ascii="Times New Roman" w:eastAsia="Times New Roman" w:hAnsi="Times New Roman" w:cs="Times New Roman"/>
          <w:b w:val="0"/>
          <w:i w:val="0"/>
          <w:sz w:val="20"/>
        </w:rPr>
        <w:t>,</w:t>
      </w:r>
      <w:r>
        <w:rPr>
          <w:rFonts w:ascii="Times New Roman" w:eastAsia="Times New Roman" w:hAnsi="Times New Roman" w:cs="Times New Roman"/>
          <w:b w:val="0"/>
          <w:i w:val="0"/>
          <w:sz w:val="20"/>
        </w:rPr>
        <w:t xml:space="preserve"> when compared to the </w:t>
      </w:r>
      <w:r>
        <w:rPr>
          <w:rFonts w:ascii="Times New Roman" w:eastAsia="Times New Roman" w:hAnsi="Times New Roman" w:cs="Times New Roman"/>
          <w:b w:val="0"/>
          <w:i w:val="0"/>
          <w:color w:val="000000"/>
          <w:sz w:val="20"/>
          <w:u w:val="none"/>
        </w:rPr>
        <w:t>first</w:t>
      </w:r>
      <w:r>
        <w:rPr>
          <w:rFonts w:ascii="Times New Roman" w:eastAsia="Times New Roman" w:hAnsi="Times New Roman" w:cs="Times New Roman"/>
          <w:b w:val="0"/>
          <w:i w:val="0"/>
          <w:sz w:val="20"/>
        </w:rPr>
        <w:t xml:space="preserve"> quarter of </w:t>
      </w:r>
      <w:r>
        <w:rPr>
          <w:rFonts w:ascii="Times New Roman" w:eastAsia="Times New Roman" w:hAnsi="Times New Roman" w:cs="Times New Roman"/>
          <w:b w:val="0"/>
          <w:i w:val="0"/>
          <w:color w:val="000000"/>
          <w:sz w:val="20"/>
          <w:u w:val="none"/>
        </w:rPr>
        <w:t>2024</w:t>
      </w:r>
      <w:r>
        <w:rPr>
          <w:rFonts w:ascii="Times New Roman" w:eastAsia="Times New Roman" w:hAnsi="Times New Roman" w:cs="Times New Roman"/>
          <w:b w:val="0"/>
          <w:i w:val="0"/>
          <w:sz w:val="20"/>
        </w:rPr>
        <w:t xml:space="preserve">. Operating income in the </w:t>
      </w:r>
      <w:r>
        <w:rPr>
          <w:rFonts w:ascii="Times New Roman" w:eastAsia="Times New Roman" w:hAnsi="Times New Roman" w:cs="Times New Roman"/>
          <w:b w:val="0"/>
          <w:i w:val="0"/>
          <w:color w:val="000000"/>
          <w:sz w:val="20"/>
          <w:u w:val="none"/>
        </w:rPr>
        <w:t>first</w:t>
      </w:r>
      <w:r>
        <w:rPr>
          <w:rFonts w:ascii="Times New Roman" w:eastAsia="Times New Roman" w:hAnsi="Times New Roman" w:cs="Times New Roman"/>
          <w:b w:val="0"/>
          <w:i w:val="0"/>
          <w:sz w:val="20"/>
        </w:rPr>
        <w:t xml:space="preserve"> quarter of </w:t>
      </w:r>
      <w:r>
        <w:rPr>
          <w:rFonts w:ascii="Times New Roman" w:eastAsia="Times New Roman" w:hAnsi="Times New Roman" w:cs="Times New Roman"/>
          <w:b w:val="0"/>
          <w:i w:val="0"/>
          <w:color w:val="000000"/>
          <w:sz w:val="20"/>
          <w:u w:val="none"/>
        </w:rPr>
        <w:t>2025</w:t>
      </w:r>
      <w:r>
        <w:rPr>
          <w:rFonts w:ascii="Times New Roman" w:eastAsia="Times New Roman" w:hAnsi="Times New Roman" w:cs="Times New Roman"/>
          <w:b w:val="0"/>
          <w:i w:val="0"/>
          <w:sz w:val="20"/>
        </w:rPr>
        <w:t xml:space="preserve"> was </w:t>
      </w:r>
      <w:r>
        <w:rPr>
          <w:rFonts w:ascii="Times New Roman" w:eastAsia="Times New Roman" w:hAnsi="Times New Roman" w:cs="Times New Roman"/>
          <w:b w:val="0"/>
          <w:i w:val="0"/>
          <w:color w:val="000000"/>
          <w:sz w:val="20"/>
          <w:u w:val="none"/>
        </w:rPr>
        <w:t>$531 million</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color w:val="000000"/>
          <w:sz w:val="20"/>
          <w:u w:val="none"/>
        </w:rPr>
        <w:t>a decrease</w:t>
      </w:r>
      <w:r>
        <w:rPr>
          <w:rFonts w:ascii="Times New Roman" w:eastAsia="Times New Roman" w:hAnsi="Times New Roman" w:cs="Times New Roman"/>
          <w:b w:val="0"/>
          <w:i w:val="0"/>
          <w:sz w:val="20"/>
        </w:rPr>
        <w:t xml:space="preserve"> of </w:t>
      </w:r>
      <w:r>
        <w:rPr>
          <w:rFonts w:ascii="Times New Roman" w:eastAsia="Times New Roman" w:hAnsi="Times New Roman" w:cs="Times New Roman"/>
          <w:b w:val="0"/>
          <w:i w:val="0"/>
          <w:color w:val="000000"/>
          <w:sz w:val="20"/>
          <w:u w:val="none"/>
        </w:rPr>
        <w:t>$157 million</w:t>
      </w:r>
      <w:r>
        <w:rPr>
          <w:rFonts w:ascii="Times New Roman" w:eastAsia="Times New Roman" w:hAnsi="Times New Roman" w:cs="Times New Roman"/>
          <w:b w:val="0"/>
          <w:i w:val="0"/>
          <w:sz w:val="20"/>
        </w:rPr>
        <w:t xml:space="preserve">, or </w:t>
      </w:r>
      <w:r>
        <w:rPr>
          <w:rFonts w:ascii="Times New Roman" w:eastAsia="Times New Roman" w:hAnsi="Times New Roman" w:cs="Times New Roman"/>
          <w:b w:val="0"/>
          <w:i w:val="0"/>
          <w:color w:val="000000"/>
          <w:sz w:val="20"/>
          <w:u w:val="none"/>
        </w:rPr>
        <w:t>23%</w:t>
      </w:r>
      <w:r>
        <w:rPr>
          <w:rFonts w:ascii="Times New Roman" w:eastAsia="Times New Roman" w:hAnsi="Times New Roman" w:cs="Times New Roman"/>
          <w:b w:val="0"/>
          <w:i w:val="0"/>
          <w:sz w:val="20"/>
        </w:rPr>
        <w:t xml:space="preserve">, when compared to the </w:t>
      </w:r>
      <w:r>
        <w:rPr>
          <w:rFonts w:ascii="Times New Roman" w:eastAsia="Times New Roman" w:hAnsi="Times New Roman" w:cs="Times New Roman"/>
          <w:b w:val="0"/>
          <w:i w:val="0"/>
          <w:color w:val="000000"/>
          <w:sz w:val="20"/>
          <w:u w:val="none"/>
        </w:rPr>
        <w:t>first</w:t>
      </w:r>
      <w:r>
        <w:rPr>
          <w:rFonts w:ascii="Times New Roman" w:eastAsia="Times New Roman" w:hAnsi="Times New Roman" w:cs="Times New Roman"/>
          <w:b w:val="0"/>
          <w:i w:val="0"/>
          <w:sz w:val="20"/>
        </w:rPr>
        <w:t xml:space="preserve"> quarter of </w:t>
      </w:r>
      <w:r>
        <w:rPr>
          <w:rFonts w:ascii="Times New Roman" w:eastAsia="Times New Roman" w:hAnsi="Times New Roman" w:cs="Times New Roman"/>
          <w:b w:val="0"/>
          <w:i w:val="0"/>
          <w:color w:val="000000"/>
          <w:sz w:val="20"/>
          <w:u w:val="none"/>
        </w:rPr>
        <w:t>2024</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color w:val="000000"/>
          <w:sz w:val="20"/>
          <w:u w:val="none"/>
        </w:rPr>
        <w:t>The</w:t>
      </w:r>
      <w:r>
        <w:rPr>
          <w:rFonts w:ascii="Times New Roman" w:eastAsia="Times New Roman" w:hAnsi="Times New Roman" w:cs="Times New Roman"/>
          <w:b w:val="0"/>
          <w:i w:val="0"/>
          <w:color w:val="000000"/>
          <w:sz w:val="20"/>
          <w:u w:val="none"/>
        </w:rPr>
        <w:t>se results</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w</w:t>
      </w:r>
      <w:r>
        <w:rPr>
          <w:rFonts w:ascii="Times New Roman" w:eastAsia="Times New Roman" w:hAnsi="Times New Roman" w:cs="Times New Roman"/>
          <w:b w:val="0"/>
          <w:i w:val="0"/>
          <w:color w:val="000000"/>
          <w:sz w:val="20"/>
          <w:u w:val="none"/>
        </w:rPr>
        <w:t>ere</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primarily</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driven by</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de</w:t>
      </w:r>
      <w:r>
        <w:rPr>
          <w:rFonts w:ascii="Times New Roman" w:eastAsia="Times New Roman" w:hAnsi="Times New Roman" w:cs="Times New Roman"/>
          <w:b w:val="0"/>
          <w:i w:val="0"/>
          <w:color w:val="000000"/>
          <w:sz w:val="20"/>
          <w:u w:val="none"/>
        </w:rPr>
        <w:t>crease</w:t>
      </w:r>
      <w:r>
        <w:rPr>
          <w:rFonts w:ascii="Times New Roman" w:eastAsia="Times New Roman" w:hAnsi="Times New Roman" w:cs="Times New Roman"/>
          <w:b w:val="0"/>
          <w:i w:val="0"/>
          <w:color w:val="000000"/>
          <w:sz w:val="20"/>
          <w:u w:val="none"/>
        </w:rPr>
        <w:t>d</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 xml:space="preserve">pressure pumping services </w:t>
      </w:r>
      <w:r>
        <w:rPr>
          <w:rFonts w:ascii="Times New Roman" w:eastAsia="Times New Roman" w:hAnsi="Times New Roman" w:cs="Times New Roman"/>
          <w:b w:val="0"/>
          <w:i w:val="0"/>
          <w:color w:val="000000"/>
          <w:sz w:val="20"/>
          <w:u w:val="none"/>
        </w:rPr>
        <w:t xml:space="preserve">and lower completion tool sales </w:t>
      </w:r>
      <w:r>
        <w:rPr>
          <w:rFonts w:ascii="Times New Roman" w:eastAsia="Times New Roman" w:hAnsi="Times New Roman" w:cs="Times New Roman"/>
          <w:b w:val="0"/>
          <w:i w:val="0"/>
          <w:color w:val="000000"/>
          <w:sz w:val="20"/>
          <w:u w:val="none"/>
        </w:rPr>
        <w:t>in th</w:t>
      </w:r>
      <w:r>
        <w:rPr>
          <w:rFonts w:ascii="Times New Roman" w:eastAsia="Times New Roman" w:hAnsi="Times New Roman" w:cs="Times New Roman"/>
          <w:b w:val="0"/>
          <w:i w:val="0"/>
          <w:color w:val="000000"/>
          <w:sz w:val="20"/>
          <w:u w:val="none"/>
        </w:rPr>
        <w:t>e Western Hemi</w:t>
      </w:r>
      <w:r>
        <w:rPr>
          <w:rFonts w:ascii="Times New Roman" w:eastAsia="Times New Roman" w:hAnsi="Times New Roman" w:cs="Times New Roman"/>
          <w:b w:val="0"/>
          <w:i w:val="0"/>
          <w:color w:val="000000"/>
          <w:sz w:val="20"/>
          <w:u w:val="none"/>
        </w:rPr>
        <w:t>sphere</w:t>
      </w:r>
      <w:r>
        <w:rPr>
          <w:rFonts w:ascii="Times New Roman" w:eastAsia="Times New Roman" w:hAnsi="Times New Roman" w:cs="Times New Roman"/>
          <w:b w:val="0"/>
          <w:i w:val="0"/>
          <w:color w:val="000000"/>
          <w:sz w:val="20"/>
          <w:u w:val="none"/>
        </w:rPr>
        <w:t xml:space="preserve">. Partially offsetting these decreases were increased </w:t>
      </w:r>
      <w:r>
        <w:rPr>
          <w:rFonts w:ascii="Times New Roman" w:eastAsia="Times New Roman" w:hAnsi="Times New Roman" w:cs="Times New Roman"/>
          <w:b w:val="0"/>
          <w:i w:val="0"/>
          <w:color w:val="000000"/>
          <w:sz w:val="20"/>
          <w:u w:val="none"/>
        </w:rPr>
        <w:t>completion tool sales</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a</w:t>
      </w:r>
      <w:r>
        <w:rPr>
          <w:rFonts w:ascii="Times New Roman" w:eastAsia="Times New Roman" w:hAnsi="Times New Roman" w:cs="Times New Roman"/>
          <w:b w:val="0"/>
          <w:i w:val="0"/>
          <w:color w:val="000000"/>
          <w:sz w:val="20"/>
          <w:u w:val="none"/>
        </w:rPr>
        <w:t>nd improved stimulation activity in the Midd</w:t>
      </w:r>
      <w:r>
        <w:rPr>
          <w:rFonts w:ascii="Times New Roman" w:eastAsia="Times New Roman" w:hAnsi="Times New Roman" w:cs="Times New Roman"/>
          <w:b w:val="0"/>
          <w:i w:val="0"/>
          <w:color w:val="000000"/>
          <w:sz w:val="20"/>
          <w:u w:val="none"/>
        </w:rPr>
        <w:t>le E</w:t>
      </w:r>
      <w:r>
        <w:rPr>
          <w:rFonts w:ascii="Times New Roman" w:eastAsia="Times New Roman" w:hAnsi="Times New Roman" w:cs="Times New Roman"/>
          <w:b w:val="0"/>
          <w:i w:val="0"/>
          <w:color w:val="000000"/>
          <w:sz w:val="20"/>
          <w:u w:val="none"/>
        </w:rPr>
        <w:t>ast</w:t>
      </w:r>
      <w:r>
        <w:rPr>
          <w:rFonts w:ascii="Times New Roman" w:eastAsia="Times New Roman" w:hAnsi="Times New Roman" w:cs="Times New Roman"/>
          <w:b w:val="0"/>
          <w:i w:val="0"/>
          <w:color w:val="000000"/>
          <w:sz w:val="20"/>
          <w:u w:val="none"/>
        </w:rPr>
        <w:t>.</w:t>
      </w:r>
    </w:p>
    <w:p>
      <w:pPr>
        <w:keepNext/>
        <w:keepLines/>
        <w:pageBreakBefore w:val="0"/>
        <w:widowControl w:val="0"/>
        <w:numPr>
          <w:ilvl w:val="0"/>
          <w:numId w:val="0"/>
        </w:numPr>
        <w:spacing w:before="0" w:after="0" w:line="288" w:lineRule="auto"/>
        <w:ind w:left="0" w:right="0" w:firstLine="720"/>
        <w:jc w:val="left"/>
        <w:outlineLvl w:val="9"/>
        <w:rPr>
          <w:rFonts w:ascii="Times New Roman" w:eastAsia="Times New Roman" w:hAnsi="Times New Roman" w:cs="Times New Roman"/>
          <w:b w:val="0"/>
          <w:i/>
          <w:sz w:val="20"/>
        </w:rPr>
      </w:pPr>
      <w:r>
        <w:rPr>
          <w:rFonts w:ascii="Times New Roman" w:eastAsia="Times New Roman" w:hAnsi="Times New Roman" w:cs="Times New Roman"/>
          <w:b w:val="0"/>
          <w:i/>
          <w:sz w:val="20"/>
        </w:rPr>
        <w:t>Drilling and Evaluation</w:t>
      </w:r>
    </w:p>
    <w:p>
      <w:pPr>
        <w:keepNext w:val="0"/>
        <w:keepLines/>
        <w:pageBreakBefore w:val="0"/>
        <w:widowControl w:val="0"/>
        <w:numPr>
          <w:ilvl w:val="0"/>
          <w:numId w:val="0"/>
        </w:numPr>
        <w:spacing w:before="0" w:after="160" w:line="288" w:lineRule="auto"/>
        <w:ind w:left="0" w:right="0" w:firstLine="720"/>
        <w:jc w:val="both"/>
        <w:outlineLvl w:val="9"/>
        <w:rPr>
          <w:rFonts w:ascii="Calibri" w:eastAsia="Calibri" w:hAnsi="Calibri" w:cs="Calibri"/>
          <w:b w:val="0"/>
          <w:i w:val="0"/>
          <w:sz w:val="22"/>
        </w:rPr>
      </w:pPr>
      <w:r>
        <w:rPr>
          <w:rFonts w:ascii="Times New Roman" w:eastAsia="Times New Roman" w:hAnsi="Times New Roman" w:cs="Times New Roman"/>
          <w:b w:val="0"/>
          <w:i w:val="0"/>
          <w:sz w:val="20"/>
        </w:rPr>
        <w:t xml:space="preserve">Drilling and Evaluation revenue in the </w:t>
      </w:r>
      <w:r>
        <w:rPr>
          <w:rFonts w:ascii="Times New Roman" w:eastAsia="Times New Roman" w:hAnsi="Times New Roman" w:cs="Times New Roman"/>
          <w:b w:val="0"/>
          <w:i w:val="0"/>
          <w:color w:val="000000"/>
          <w:sz w:val="20"/>
          <w:u w:val="none"/>
        </w:rPr>
        <w:t>first</w:t>
      </w:r>
      <w:r>
        <w:rPr>
          <w:rFonts w:ascii="Times New Roman" w:eastAsia="Times New Roman" w:hAnsi="Times New Roman" w:cs="Times New Roman"/>
          <w:b w:val="0"/>
          <w:i w:val="0"/>
          <w:sz w:val="20"/>
        </w:rPr>
        <w:t xml:space="preserve"> quarter of </w:t>
      </w:r>
      <w:r>
        <w:rPr>
          <w:rFonts w:ascii="Times New Roman" w:eastAsia="Times New Roman" w:hAnsi="Times New Roman" w:cs="Times New Roman"/>
          <w:b w:val="0"/>
          <w:i w:val="0"/>
          <w:color w:val="000000"/>
          <w:sz w:val="20"/>
          <w:u w:val="none"/>
        </w:rPr>
        <w:t>2025</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was</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color w:val="000000"/>
          <w:sz w:val="20"/>
          <w:u w:val="none"/>
        </w:rPr>
        <w:t>$2.3 billion</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color w:val="000000"/>
          <w:sz w:val="20"/>
          <w:u w:val="none"/>
        </w:rPr>
        <w:t>a decrease</w:t>
      </w:r>
      <w:r>
        <w:rPr>
          <w:rFonts w:ascii="Times New Roman" w:eastAsia="Times New Roman" w:hAnsi="Times New Roman" w:cs="Times New Roman"/>
          <w:b w:val="0"/>
          <w:i w:val="0"/>
          <w:sz w:val="20"/>
        </w:rPr>
        <w:t xml:space="preserve"> of </w:t>
      </w:r>
      <w:r>
        <w:rPr>
          <w:rFonts w:ascii="Times New Roman" w:eastAsia="Times New Roman" w:hAnsi="Times New Roman" w:cs="Times New Roman"/>
          <w:b w:val="0"/>
          <w:i w:val="0"/>
          <w:color w:val="000000"/>
          <w:sz w:val="20"/>
          <w:u w:val="none"/>
        </w:rPr>
        <w:t>$134 million</w:t>
      </w:r>
      <w:r>
        <w:rPr>
          <w:rFonts w:ascii="Times New Roman" w:eastAsia="Times New Roman" w:hAnsi="Times New Roman" w:cs="Times New Roman"/>
          <w:b w:val="0"/>
          <w:i w:val="0"/>
          <w:sz w:val="20"/>
        </w:rPr>
        <w:t xml:space="preserve">, or </w:t>
      </w:r>
      <w:r>
        <w:rPr>
          <w:rFonts w:ascii="Times New Roman" w:eastAsia="Times New Roman" w:hAnsi="Times New Roman" w:cs="Times New Roman"/>
          <w:b w:val="0"/>
          <w:i w:val="0"/>
          <w:color w:val="000000"/>
          <w:sz w:val="20"/>
          <w:u w:val="none"/>
        </w:rPr>
        <w:t>6%</w:t>
      </w:r>
      <w:r>
        <w:rPr>
          <w:rFonts w:ascii="Times New Roman" w:eastAsia="Times New Roman" w:hAnsi="Times New Roman" w:cs="Times New Roman"/>
          <w:b w:val="0"/>
          <w:i w:val="0"/>
          <w:sz w:val="20"/>
        </w:rPr>
        <w:t xml:space="preserve">, when compared to the </w:t>
      </w:r>
      <w:r>
        <w:rPr>
          <w:rFonts w:ascii="Times New Roman" w:eastAsia="Times New Roman" w:hAnsi="Times New Roman" w:cs="Times New Roman"/>
          <w:b w:val="0"/>
          <w:i w:val="0"/>
          <w:color w:val="000000"/>
          <w:sz w:val="20"/>
          <w:u w:val="none"/>
        </w:rPr>
        <w:t>first</w:t>
      </w:r>
      <w:r>
        <w:rPr>
          <w:rFonts w:ascii="Times New Roman" w:eastAsia="Times New Roman" w:hAnsi="Times New Roman" w:cs="Times New Roman"/>
          <w:b w:val="0"/>
          <w:i w:val="0"/>
          <w:sz w:val="20"/>
        </w:rPr>
        <w:t xml:space="preserve"> quarter of </w:t>
      </w:r>
      <w:r>
        <w:rPr>
          <w:rFonts w:ascii="Times New Roman" w:eastAsia="Times New Roman" w:hAnsi="Times New Roman" w:cs="Times New Roman"/>
          <w:b w:val="0"/>
          <w:i w:val="0"/>
          <w:color w:val="000000"/>
          <w:sz w:val="20"/>
          <w:u w:val="none"/>
        </w:rPr>
        <w:t>2024</w:t>
      </w:r>
      <w:r>
        <w:rPr>
          <w:rFonts w:ascii="Times New Roman" w:eastAsia="Times New Roman" w:hAnsi="Times New Roman" w:cs="Times New Roman"/>
          <w:b w:val="0"/>
          <w:i w:val="0"/>
          <w:sz w:val="20"/>
        </w:rPr>
        <w:t xml:space="preserve">. Operating income in the </w:t>
      </w:r>
      <w:r>
        <w:rPr>
          <w:rFonts w:ascii="Times New Roman" w:eastAsia="Times New Roman" w:hAnsi="Times New Roman" w:cs="Times New Roman"/>
          <w:b w:val="0"/>
          <w:i w:val="0"/>
          <w:color w:val="000000"/>
          <w:sz w:val="20"/>
          <w:u w:val="none"/>
        </w:rPr>
        <w:t>first</w:t>
      </w:r>
      <w:r>
        <w:rPr>
          <w:rFonts w:ascii="Times New Roman" w:eastAsia="Times New Roman" w:hAnsi="Times New Roman" w:cs="Times New Roman"/>
          <w:b w:val="0"/>
          <w:i w:val="0"/>
          <w:sz w:val="20"/>
        </w:rPr>
        <w:t xml:space="preserve"> quarter of </w:t>
      </w:r>
      <w:r>
        <w:rPr>
          <w:rFonts w:ascii="Times New Roman" w:eastAsia="Times New Roman" w:hAnsi="Times New Roman" w:cs="Times New Roman"/>
          <w:b w:val="0"/>
          <w:i w:val="0"/>
          <w:color w:val="000000"/>
          <w:sz w:val="20"/>
          <w:u w:val="none"/>
        </w:rPr>
        <w:t>2025</w:t>
      </w:r>
      <w:r>
        <w:rPr>
          <w:rFonts w:ascii="Times New Roman" w:eastAsia="Times New Roman" w:hAnsi="Times New Roman" w:cs="Times New Roman"/>
          <w:b w:val="0"/>
          <w:i w:val="0"/>
          <w:sz w:val="20"/>
        </w:rPr>
        <w:t xml:space="preserve"> was </w:t>
      </w:r>
      <w:r>
        <w:rPr>
          <w:rFonts w:ascii="Times New Roman" w:eastAsia="Times New Roman" w:hAnsi="Times New Roman" w:cs="Times New Roman"/>
          <w:b w:val="0"/>
          <w:i w:val="0"/>
          <w:color w:val="000000"/>
          <w:sz w:val="20"/>
          <w:u w:val="none"/>
        </w:rPr>
        <w:t>$352 million</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color w:val="000000"/>
          <w:sz w:val="20"/>
          <w:u w:val="none"/>
        </w:rPr>
        <w:t>a decrease</w:t>
      </w:r>
      <w:r>
        <w:rPr>
          <w:rFonts w:ascii="Times New Roman" w:eastAsia="Times New Roman" w:hAnsi="Times New Roman" w:cs="Times New Roman"/>
          <w:b w:val="0"/>
          <w:i w:val="0"/>
          <w:sz w:val="20"/>
        </w:rPr>
        <w:t xml:space="preserve"> of </w:t>
      </w:r>
      <w:r>
        <w:rPr>
          <w:rFonts w:ascii="Times New Roman" w:eastAsia="Times New Roman" w:hAnsi="Times New Roman" w:cs="Times New Roman"/>
          <w:b w:val="0"/>
          <w:i w:val="0"/>
          <w:color w:val="000000"/>
          <w:sz w:val="20"/>
          <w:u w:val="none"/>
        </w:rPr>
        <w:t>$46 million</w:t>
      </w:r>
      <w:r>
        <w:rPr>
          <w:rFonts w:ascii="Times New Roman" w:eastAsia="Times New Roman" w:hAnsi="Times New Roman" w:cs="Times New Roman"/>
          <w:b w:val="0"/>
          <w:i w:val="0"/>
          <w:sz w:val="20"/>
        </w:rPr>
        <w:t xml:space="preserve">, or </w:t>
      </w:r>
      <w:r>
        <w:rPr>
          <w:rFonts w:ascii="Times New Roman" w:eastAsia="Times New Roman" w:hAnsi="Times New Roman" w:cs="Times New Roman"/>
          <w:b w:val="0"/>
          <w:i w:val="0"/>
          <w:color w:val="000000"/>
          <w:sz w:val="20"/>
          <w:u w:val="none"/>
        </w:rPr>
        <w:t>12%</w:t>
      </w:r>
      <w:r>
        <w:rPr>
          <w:rFonts w:ascii="Times New Roman" w:eastAsia="Times New Roman" w:hAnsi="Times New Roman" w:cs="Times New Roman"/>
          <w:b w:val="0"/>
          <w:i w:val="0"/>
          <w:sz w:val="20"/>
        </w:rPr>
        <w:t xml:space="preserve">, when compared to the </w:t>
      </w:r>
      <w:r>
        <w:rPr>
          <w:rFonts w:ascii="Times New Roman" w:eastAsia="Times New Roman" w:hAnsi="Times New Roman" w:cs="Times New Roman"/>
          <w:b w:val="0"/>
          <w:i w:val="0"/>
          <w:color w:val="000000"/>
          <w:sz w:val="20"/>
          <w:u w:val="none"/>
        </w:rPr>
        <w:t>first</w:t>
      </w:r>
      <w:r>
        <w:rPr>
          <w:rFonts w:ascii="Times New Roman" w:eastAsia="Times New Roman" w:hAnsi="Times New Roman" w:cs="Times New Roman"/>
          <w:b w:val="0"/>
          <w:i w:val="0"/>
          <w:sz w:val="20"/>
        </w:rPr>
        <w:t xml:space="preserve"> quarter of </w:t>
      </w:r>
      <w:r>
        <w:rPr>
          <w:rFonts w:ascii="Times New Roman" w:eastAsia="Times New Roman" w:hAnsi="Times New Roman" w:cs="Times New Roman"/>
          <w:b w:val="0"/>
          <w:i w:val="0"/>
          <w:color w:val="000000"/>
          <w:sz w:val="20"/>
          <w:u w:val="none"/>
        </w:rPr>
        <w:t>2024</w:t>
      </w:r>
      <w:r>
        <w:rPr>
          <w:rFonts w:ascii="Times New Roman" w:eastAsia="Times New Roman" w:hAnsi="Times New Roman" w:cs="Times New Roman"/>
          <w:b w:val="0"/>
          <w:i w:val="0"/>
          <w:sz w:val="20"/>
        </w:rPr>
        <w:t>.</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color w:val="000000"/>
          <w:sz w:val="20"/>
          <w:u w:val="none"/>
        </w:rPr>
        <w:t>These results were</w:t>
      </w:r>
      <w:r>
        <w:rPr>
          <w:rFonts w:ascii="Times New Roman" w:eastAsia="Times New Roman" w:hAnsi="Times New Roman" w:cs="Times New Roman"/>
          <w:b w:val="0"/>
          <w:i w:val="0"/>
          <w:color w:val="000000"/>
          <w:sz w:val="20"/>
          <w:u w:val="none"/>
        </w:rPr>
        <w:t xml:space="preserve"> primarily</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 xml:space="preserve">driven by </w:t>
      </w:r>
      <w:r>
        <w:rPr>
          <w:rFonts w:ascii="Times New Roman" w:eastAsia="Times New Roman" w:hAnsi="Times New Roman" w:cs="Times New Roman"/>
          <w:b w:val="0"/>
          <w:i w:val="0"/>
          <w:color w:val="000000"/>
          <w:sz w:val="20"/>
          <w:u w:val="none"/>
        </w:rPr>
        <w:t xml:space="preserve">decreased drilling services in </w:t>
      </w:r>
      <w:r>
        <w:rPr>
          <w:rFonts w:ascii="Times New Roman" w:eastAsia="Times New Roman" w:hAnsi="Times New Roman" w:cs="Times New Roman"/>
          <w:b w:val="0"/>
          <w:i w:val="0"/>
          <w:color w:val="000000"/>
          <w:sz w:val="20"/>
          <w:u w:val="none"/>
        </w:rPr>
        <w:t>Mexico</w:t>
      </w:r>
      <w:r>
        <w:rPr>
          <w:rFonts w:ascii="Times New Roman" w:eastAsia="Times New Roman" w:hAnsi="Times New Roman" w:cs="Times New Roman"/>
          <w:b w:val="0"/>
          <w:i w:val="0"/>
          <w:color w:val="000000"/>
          <w:sz w:val="20"/>
          <w:u w:val="none"/>
        </w:rPr>
        <w:t xml:space="preserve"> and the Middle East, </w:t>
      </w:r>
      <w:r>
        <w:rPr>
          <w:rFonts w:ascii="Times New Roman" w:eastAsia="Times New Roman" w:hAnsi="Times New Roman" w:cs="Times New Roman"/>
          <w:b w:val="0"/>
          <w:i w:val="0"/>
          <w:color w:val="000000"/>
          <w:sz w:val="20"/>
          <w:u w:val="none"/>
        </w:rPr>
        <w:t xml:space="preserve">reduced project management activity in Mexico, and </w:t>
      </w:r>
      <w:r>
        <w:rPr>
          <w:rFonts w:ascii="Times New Roman" w:eastAsia="Times New Roman" w:hAnsi="Times New Roman" w:cs="Times New Roman"/>
          <w:b w:val="0"/>
          <w:i w:val="0"/>
          <w:color w:val="000000"/>
          <w:sz w:val="20"/>
          <w:u w:val="none"/>
        </w:rPr>
        <w:t>lower wireline act</w:t>
      </w:r>
      <w:r>
        <w:rPr>
          <w:rFonts w:ascii="Times New Roman" w:eastAsia="Times New Roman" w:hAnsi="Times New Roman" w:cs="Times New Roman"/>
          <w:b w:val="0"/>
          <w:i w:val="0"/>
          <w:color w:val="000000"/>
          <w:sz w:val="20"/>
          <w:u w:val="none"/>
        </w:rPr>
        <w:t>ivity</w:t>
      </w:r>
      <w:r>
        <w:rPr>
          <w:rFonts w:ascii="Times New Roman" w:eastAsia="Times New Roman" w:hAnsi="Times New Roman" w:cs="Times New Roman"/>
          <w:b w:val="0"/>
          <w:i w:val="0"/>
          <w:color w:val="000000"/>
          <w:sz w:val="20"/>
          <w:u w:val="none"/>
        </w:rPr>
        <w:t xml:space="preserve"> in the Middle East/Asia</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Partially offsetting t</w:t>
      </w:r>
      <w:r>
        <w:rPr>
          <w:rFonts w:ascii="Times New Roman" w:eastAsia="Times New Roman" w:hAnsi="Times New Roman" w:cs="Times New Roman"/>
          <w:b w:val="0"/>
          <w:i w:val="0"/>
          <w:color w:val="000000"/>
          <w:sz w:val="20"/>
          <w:u w:val="none"/>
        </w:rPr>
        <w:t>hese</w:t>
      </w:r>
      <w:r>
        <w:rPr>
          <w:rFonts w:ascii="Times New Roman" w:eastAsia="Times New Roman" w:hAnsi="Times New Roman" w:cs="Times New Roman"/>
          <w:b w:val="0"/>
          <w:i w:val="0"/>
          <w:color w:val="000000"/>
          <w:sz w:val="20"/>
          <w:u w:val="none"/>
        </w:rPr>
        <w:t xml:space="preserve"> decreases w</w:t>
      </w:r>
      <w:r>
        <w:rPr>
          <w:rFonts w:ascii="Times New Roman" w:eastAsia="Times New Roman" w:hAnsi="Times New Roman" w:cs="Times New Roman"/>
          <w:b w:val="0"/>
          <w:i w:val="0"/>
          <w:color w:val="000000"/>
          <w:sz w:val="20"/>
          <w:u w:val="none"/>
        </w:rPr>
        <w:t>as</w:t>
      </w:r>
      <w:r>
        <w:rPr>
          <w:rFonts w:ascii="Times New Roman" w:eastAsia="Times New Roman" w:hAnsi="Times New Roman" w:cs="Times New Roman"/>
          <w:b w:val="0"/>
          <w:i w:val="0"/>
          <w:color w:val="000000"/>
          <w:sz w:val="20"/>
          <w:u w:val="none"/>
        </w:rPr>
        <w:t xml:space="preserve"> increased fluid services in t</w:t>
      </w:r>
      <w:r>
        <w:rPr>
          <w:rFonts w:ascii="Times New Roman" w:eastAsia="Times New Roman" w:hAnsi="Times New Roman" w:cs="Times New Roman"/>
          <w:b w:val="0"/>
          <w:i w:val="0"/>
          <w:color w:val="000000"/>
          <w:sz w:val="20"/>
          <w:u w:val="none"/>
        </w:rPr>
        <w:t>he</w:t>
      </w:r>
      <w:r>
        <w:rPr>
          <w:rFonts w:ascii="Times New Roman" w:eastAsia="Times New Roman" w:hAnsi="Times New Roman" w:cs="Times New Roman"/>
          <w:b w:val="0"/>
          <w:i w:val="0"/>
          <w:color w:val="000000"/>
          <w:sz w:val="20"/>
          <w:u w:val="none"/>
        </w:rPr>
        <w:t xml:space="preserve"> Middle East.</w:t>
      </w:r>
      <w:r>
        <w:rPr>
          <w:rFonts w:ascii="Times New Roman" w:eastAsia="Times New Roman" w:hAnsi="Times New Roman" w:cs="Times New Roman"/>
          <w:b w:val="0"/>
          <w:i w:val="0"/>
          <w:color w:val="000000"/>
          <w:sz w:val="20"/>
          <w:u w:val="none"/>
        </w:rPr>
        <w:t xml:space="preserve"> </w:t>
      </w:r>
    </w:p>
    <w:p>
      <w:pPr>
        <w:keepNext/>
        <w:keepLines/>
        <w:pageBreakBefore w:val="0"/>
        <w:widowControl w:val="0"/>
        <w:numPr>
          <w:ilvl w:val="0"/>
          <w:numId w:val="0"/>
        </w:numPr>
        <w:spacing w:before="0" w:after="160" w:line="288" w:lineRule="auto"/>
        <w:ind w:left="0" w:right="0" w:firstLine="0"/>
        <w:jc w:val="left"/>
        <w:outlineLvl w:val="9"/>
        <w:rPr>
          <w:rFonts w:ascii="Times New Roman" w:eastAsia="Times New Roman" w:hAnsi="Times New Roman" w:cs="Times New Roman"/>
          <w:b/>
          <w:i/>
          <w:sz w:val="20"/>
        </w:rPr>
      </w:pPr>
      <w:r>
        <w:rPr>
          <w:rFonts w:ascii="Times New Roman" w:eastAsia="Times New Roman" w:hAnsi="Times New Roman" w:cs="Times New Roman"/>
          <w:b/>
          <w:i/>
          <w:sz w:val="20"/>
        </w:rPr>
        <w:t>Geographic Regions</w:t>
      </w:r>
    </w:p>
    <w:p>
      <w:pPr>
        <w:keepNext/>
        <w:keepLines/>
        <w:pageBreakBefore w:val="0"/>
        <w:widowControl w:val="0"/>
        <w:numPr>
          <w:ilvl w:val="0"/>
          <w:numId w:val="0"/>
        </w:numPr>
        <w:spacing w:before="0" w:after="0" w:line="288" w:lineRule="auto"/>
        <w:ind w:left="0" w:right="0" w:firstLine="720"/>
        <w:jc w:val="left"/>
        <w:outlineLvl w:val="9"/>
        <w:rPr>
          <w:rFonts w:ascii="Times New Roman" w:eastAsia="Times New Roman" w:hAnsi="Times New Roman" w:cs="Times New Roman"/>
          <w:b w:val="0"/>
          <w:i/>
          <w:sz w:val="20"/>
        </w:rPr>
      </w:pPr>
      <w:r>
        <w:rPr>
          <w:rFonts w:ascii="Times New Roman" w:eastAsia="Times New Roman" w:hAnsi="Times New Roman" w:cs="Times New Roman"/>
          <w:b w:val="0"/>
          <w:i/>
          <w:sz w:val="20"/>
        </w:rPr>
        <w:t>North America</w:t>
      </w:r>
    </w:p>
    <w:p>
      <w:pPr>
        <w:keepNext w:val="0"/>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i/>
          <w:sz w:val="20"/>
        </w:rPr>
      </w:pPr>
      <w:r>
        <w:rPr>
          <w:rFonts w:ascii="Times New Roman" w:eastAsia="Times New Roman" w:hAnsi="Times New Roman" w:cs="Times New Roman"/>
          <w:b w:val="0"/>
          <w:i w:val="0"/>
          <w:sz w:val="20"/>
        </w:rPr>
        <w:t xml:space="preserve">North America revenue in the </w:t>
      </w:r>
      <w:r>
        <w:rPr>
          <w:rFonts w:ascii="Times New Roman" w:eastAsia="Times New Roman" w:hAnsi="Times New Roman" w:cs="Times New Roman"/>
          <w:b w:val="0"/>
          <w:i w:val="0"/>
          <w:color w:val="000000"/>
          <w:sz w:val="20"/>
          <w:u w:val="none"/>
        </w:rPr>
        <w:t>first</w:t>
      </w:r>
      <w:r>
        <w:rPr>
          <w:rFonts w:ascii="Times New Roman" w:eastAsia="Times New Roman" w:hAnsi="Times New Roman" w:cs="Times New Roman"/>
          <w:b w:val="0"/>
          <w:i w:val="0"/>
          <w:sz w:val="20"/>
        </w:rPr>
        <w:t xml:space="preserve"> quarter of </w:t>
      </w:r>
      <w:r>
        <w:rPr>
          <w:rFonts w:ascii="Times New Roman" w:eastAsia="Times New Roman" w:hAnsi="Times New Roman" w:cs="Times New Roman"/>
          <w:b w:val="0"/>
          <w:i w:val="0"/>
          <w:color w:val="000000"/>
          <w:sz w:val="20"/>
          <w:u w:val="none"/>
        </w:rPr>
        <w:t>2025</w:t>
      </w:r>
      <w:r>
        <w:rPr>
          <w:rFonts w:ascii="Times New Roman" w:eastAsia="Times New Roman" w:hAnsi="Times New Roman" w:cs="Times New Roman"/>
          <w:b w:val="0"/>
          <w:i w:val="0"/>
          <w:sz w:val="20"/>
        </w:rPr>
        <w:t xml:space="preserve"> was </w:t>
      </w:r>
      <w:r>
        <w:rPr>
          <w:rFonts w:ascii="Times New Roman" w:eastAsia="Times New Roman" w:hAnsi="Times New Roman" w:cs="Times New Roman"/>
          <w:b w:val="0"/>
          <w:i w:val="0"/>
          <w:color w:val="000000"/>
          <w:sz w:val="20"/>
          <w:u w:val="none"/>
        </w:rPr>
        <w:t>$2.2 billion</w:t>
      </w:r>
      <w:r>
        <w:rPr>
          <w:rFonts w:ascii="Times New Roman" w:eastAsia="Times New Roman" w:hAnsi="Times New Roman" w:cs="Times New Roman"/>
          <w:b w:val="0"/>
          <w:i w:val="0"/>
          <w:sz w:val="20"/>
        </w:rPr>
        <w:t>, a</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color w:val="000000"/>
          <w:sz w:val="20"/>
          <w:u w:val="none"/>
        </w:rPr>
        <w:t>12%</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color w:val="000000"/>
          <w:sz w:val="20"/>
          <w:u w:val="none"/>
        </w:rPr>
        <w:t xml:space="preserve"> decrease</w:t>
      </w:r>
      <w:r>
        <w:rPr>
          <w:rFonts w:ascii="Times New Roman" w:eastAsia="Times New Roman" w:hAnsi="Times New Roman" w:cs="Times New Roman"/>
          <w:b w:val="0"/>
          <w:i w:val="0"/>
          <w:sz w:val="20"/>
        </w:rPr>
        <w:t xml:space="preserve"> compared to the </w:t>
      </w:r>
      <w:r>
        <w:rPr>
          <w:rFonts w:ascii="Times New Roman" w:eastAsia="Times New Roman" w:hAnsi="Times New Roman" w:cs="Times New Roman"/>
          <w:b w:val="0"/>
          <w:i w:val="0"/>
          <w:color w:val="000000"/>
          <w:sz w:val="20"/>
          <w:u w:val="none"/>
        </w:rPr>
        <w:t>first</w:t>
      </w:r>
      <w:r>
        <w:rPr>
          <w:rFonts w:ascii="Times New Roman" w:eastAsia="Times New Roman" w:hAnsi="Times New Roman" w:cs="Times New Roman"/>
          <w:b w:val="0"/>
          <w:i w:val="0"/>
          <w:sz w:val="20"/>
        </w:rPr>
        <w:t xml:space="preserve"> quarter of </w:t>
      </w:r>
      <w:r>
        <w:rPr>
          <w:rFonts w:ascii="Times New Roman" w:eastAsia="Times New Roman" w:hAnsi="Times New Roman" w:cs="Times New Roman"/>
          <w:b w:val="0"/>
          <w:i w:val="0"/>
          <w:color w:val="000000"/>
          <w:sz w:val="20"/>
          <w:u w:val="none"/>
        </w:rPr>
        <w:t>2024</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color w:val="000000"/>
          <w:sz w:val="20"/>
          <w:u w:val="none"/>
        </w:rPr>
        <w:t>This dec</w:t>
      </w:r>
      <w:r>
        <w:rPr>
          <w:rFonts w:ascii="Times New Roman" w:eastAsia="Times New Roman" w:hAnsi="Times New Roman" w:cs="Times New Roman"/>
          <w:b w:val="0"/>
          <w:i w:val="0"/>
          <w:color w:val="000000"/>
          <w:sz w:val="20"/>
          <w:u w:val="none"/>
        </w:rPr>
        <w:t>rease</w:t>
      </w:r>
      <w:r>
        <w:rPr>
          <w:rFonts w:ascii="Times New Roman" w:eastAsia="Times New Roman" w:hAnsi="Times New Roman" w:cs="Times New Roman"/>
          <w:b w:val="0"/>
          <w:i w:val="0"/>
          <w:color w:val="000000"/>
          <w:sz w:val="20"/>
          <w:u w:val="none"/>
        </w:rPr>
        <w:t xml:space="preserve"> was primarily driven by </w:t>
      </w:r>
      <w:r>
        <w:rPr>
          <w:rFonts w:ascii="Times New Roman" w:eastAsia="Times New Roman" w:hAnsi="Times New Roman" w:cs="Times New Roman"/>
          <w:b w:val="0"/>
          <w:i w:val="0"/>
          <w:color w:val="000000"/>
          <w:sz w:val="20"/>
          <w:u w:val="none"/>
        </w:rPr>
        <w:t xml:space="preserve">lower </w:t>
      </w:r>
      <w:r>
        <w:rPr>
          <w:rFonts w:ascii="Times New Roman" w:eastAsia="Times New Roman" w:hAnsi="Times New Roman" w:cs="Times New Roman"/>
          <w:b w:val="0"/>
          <w:i w:val="0"/>
          <w:color w:val="000000"/>
          <w:sz w:val="20"/>
          <w:u w:val="none"/>
        </w:rPr>
        <w:t>stimulation activity in U</w:t>
      </w:r>
      <w:r>
        <w:rPr>
          <w:rFonts w:ascii="Times New Roman" w:eastAsia="Times New Roman" w:hAnsi="Times New Roman" w:cs="Times New Roman"/>
          <w:b w:val="0"/>
          <w:i w:val="0"/>
          <w:color w:val="000000"/>
          <w:sz w:val="20"/>
          <w:u w:val="none"/>
        </w:rPr>
        <w:t xml:space="preserve">S Land and </w:t>
      </w:r>
      <w:r>
        <w:rPr>
          <w:rFonts w:ascii="Times New Roman" w:eastAsia="Times New Roman" w:hAnsi="Times New Roman" w:cs="Times New Roman"/>
          <w:b w:val="0"/>
          <w:i w:val="0"/>
          <w:color w:val="000000"/>
          <w:sz w:val="20"/>
          <w:u w:val="none"/>
        </w:rPr>
        <w:t>reduced</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 xml:space="preserve">completion tool sales in the </w:t>
      </w:r>
      <w:r>
        <w:rPr>
          <w:rFonts w:ascii="Times New Roman" w:eastAsia="Times New Roman" w:hAnsi="Times New Roman" w:cs="Times New Roman"/>
          <w:b w:val="0"/>
          <w:i w:val="0"/>
          <w:color w:val="000000"/>
          <w:sz w:val="20"/>
          <w:u w:val="none"/>
        </w:rPr>
        <w:t xml:space="preserve">Gulf of America. </w:t>
      </w:r>
      <w:r>
        <w:rPr>
          <w:rFonts w:ascii="Times New Roman" w:eastAsia="Times New Roman" w:hAnsi="Times New Roman" w:cs="Times New Roman"/>
          <w:b w:val="0"/>
          <w:i w:val="0"/>
          <w:color w:val="000000"/>
          <w:sz w:val="20"/>
          <w:u w:val="none"/>
        </w:rPr>
        <w:t>Partially offsetting these dec</w:t>
      </w:r>
      <w:r>
        <w:rPr>
          <w:rFonts w:ascii="Times New Roman" w:eastAsia="Times New Roman" w:hAnsi="Times New Roman" w:cs="Times New Roman"/>
          <w:b w:val="0"/>
          <w:i w:val="0"/>
          <w:color w:val="000000"/>
          <w:sz w:val="20"/>
          <w:u w:val="none"/>
        </w:rPr>
        <w:t>reases</w:t>
      </w:r>
      <w:r>
        <w:rPr>
          <w:rFonts w:ascii="Times New Roman" w:eastAsia="Times New Roman" w:hAnsi="Times New Roman" w:cs="Times New Roman"/>
          <w:b w:val="0"/>
          <w:i w:val="0"/>
          <w:color w:val="000000"/>
          <w:sz w:val="20"/>
          <w:u w:val="none"/>
        </w:rPr>
        <w:t xml:space="preserve"> were </w:t>
      </w:r>
      <w:r>
        <w:rPr>
          <w:rFonts w:ascii="Times New Roman" w:eastAsia="Times New Roman" w:hAnsi="Times New Roman" w:cs="Times New Roman"/>
          <w:b w:val="0"/>
          <w:i w:val="0"/>
          <w:color w:val="000000"/>
          <w:sz w:val="20"/>
          <w:u w:val="none"/>
        </w:rPr>
        <w:t xml:space="preserve">higher artificial lift activity and </w:t>
      </w:r>
      <w:r>
        <w:rPr>
          <w:rFonts w:ascii="Times New Roman" w:eastAsia="Times New Roman" w:hAnsi="Times New Roman" w:cs="Times New Roman"/>
          <w:b w:val="0"/>
          <w:i w:val="0"/>
          <w:color w:val="000000"/>
          <w:sz w:val="20"/>
          <w:u w:val="none"/>
        </w:rPr>
        <w:t xml:space="preserve">improved </w:t>
      </w:r>
      <w:r>
        <w:rPr>
          <w:rFonts w:ascii="Times New Roman" w:eastAsia="Times New Roman" w:hAnsi="Times New Roman" w:cs="Times New Roman"/>
          <w:b w:val="0"/>
          <w:i w:val="0"/>
          <w:color w:val="000000"/>
          <w:sz w:val="20"/>
          <w:u w:val="none"/>
        </w:rPr>
        <w:t>drilling services in US Land</w:t>
      </w:r>
      <w:r>
        <w:rPr>
          <w:rFonts w:ascii="Times New Roman" w:eastAsia="Times New Roman" w:hAnsi="Times New Roman" w:cs="Times New Roman"/>
          <w:b w:val="0"/>
          <w:i w:val="0"/>
          <w:color w:val="000000"/>
          <w:sz w:val="20"/>
          <w:u w:val="none"/>
        </w:rPr>
        <w:t xml:space="preserve"> and</w:t>
      </w:r>
      <w:r>
        <w:rPr>
          <w:rFonts w:ascii="Times New Roman" w:eastAsia="Times New Roman" w:hAnsi="Times New Roman" w:cs="Times New Roman"/>
          <w:b w:val="0"/>
          <w:i w:val="0"/>
          <w:color w:val="000000"/>
          <w:sz w:val="20"/>
          <w:u w:val="none"/>
        </w:rPr>
        <w:t xml:space="preserve"> increase</w:t>
      </w:r>
      <w:r>
        <w:rPr>
          <w:rFonts w:ascii="Times New Roman" w:eastAsia="Times New Roman" w:hAnsi="Times New Roman" w:cs="Times New Roman"/>
          <w:b w:val="0"/>
          <w:i w:val="0"/>
          <w:color w:val="000000"/>
          <w:sz w:val="20"/>
          <w:u w:val="none"/>
        </w:rPr>
        <w:t>d</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s</w:t>
      </w:r>
      <w:r>
        <w:rPr>
          <w:rFonts w:ascii="Times New Roman" w:eastAsia="Times New Roman" w:hAnsi="Times New Roman" w:cs="Times New Roman"/>
          <w:b w:val="0"/>
          <w:i w:val="0"/>
          <w:color w:val="000000"/>
          <w:sz w:val="20"/>
          <w:u w:val="none"/>
        </w:rPr>
        <w:t xml:space="preserve">timulation activity in </w:t>
      </w:r>
      <w:r>
        <w:rPr>
          <w:rFonts w:ascii="Times New Roman" w:eastAsia="Times New Roman" w:hAnsi="Times New Roman" w:cs="Times New Roman"/>
          <w:b w:val="0"/>
          <w:i w:val="0"/>
          <w:color w:val="000000"/>
          <w:sz w:val="20"/>
          <w:u w:val="none"/>
        </w:rPr>
        <w:t xml:space="preserve">the Gulf of </w:t>
      </w:r>
      <w:r>
        <w:rPr>
          <w:rFonts w:ascii="Times New Roman" w:eastAsia="Times New Roman" w:hAnsi="Times New Roman" w:cs="Times New Roman"/>
          <w:b w:val="0"/>
          <w:i w:val="0"/>
          <w:color w:val="000000"/>
          <w:sz w:val="20"/>
          <w:u w:val="none"/>
        </w:rPr>
        <w:t>America</w:t>
      </w:r>
      <w:r>
        <w:rPr>
          <w:rFonts w:ascii="Times New Roman" w:eastAsia="Times New Roman" w:hAnsi="Times New Roman" w:cs="Times New Roman"/>
          <w:b w:val="0"/>
          <w:i w:val="0"/>
          <w:color w:val="000000"/>
          <w:sz w:val="20"/>
          <w:u w:val="none"/>
        </w:rPr>
        <w:t>.</w:t>
      </w:r>
      <w:r>
        <w:rPr>
          <w:rFonts w:ascii="Times New Roman" w:eastAsia="Times New Roman" w:hAnsi="Times New Roman" w:cs="Times New Roman"/>
          <w:b w:val="0"/>
          <w:i w:val="0"/>
          <w:sz w:val="20"/>
        </w:rPr>
        <w:t xml:space="preserve"> </w:t>
      </w:r>
    </w:p>
    <w:p>
      <w:pPr>
        <w:keepNext/>
        <w:keepLines w:val="0"/>
        <w:pageBreakBefore w:val="0"/>
        <w:widowControl/>
        <w:numPr>
          <w:ilvl w:val="0"/>
          <w:numId w:val="0"/>
        </w:numPr>
        <w:spacing w:before="0" w:after="0" w:line="288" w:lineRule="auto"/>
        <w:ind w:left="0" w:right="0" w:firstLine="720"/>
        <w:jc w:val="left"/>
        <w:outlineLvl w:val="9"/>
        <w:rPr>
          <w:rFonts w:ascii="Times New Roman" w:eastAsia="Times New Roman" w:hAnsi="Times New Roman" w:cs="Times New Roman"/>
          <w:b w:val="0"/>
          <w:i/>
          <w:sz w:val="20"/>
        </w:rPr>
      </w:pPr>
      <w:r>
        <w:rPr>
          <w:rFonts w:ascii="Times New Roman" w:eastAsia="Times New Roman" w:hAnsi="Times New Roman" w:cs="Times New Roman"/>
          <w:b w:val="0"/>
          <w:i/>
          <w:sz w:val="20"/>
        </w:rPr>
        <w:t>Latin America</w:t>
      </w:r>
    </w:p>
    <w:p>
      <w:pPr>
        <w:keepNext/>
        <w:keepLines w:val="0"/>
        <w:pageBreakBefore w:val="0"/>
        <w:widowControl/>
        <w:numPr>
          <w:ilvl w:val="0"/>
          <w:numId w:val="0"/>
        </w:numPr>
        <w:spacing w:before="0" w:after="160" w:line="288" w:lineRule="auto"/>
        <w:ind w:left="0" w:right="0" w:firstLine="720"/>
        <w:jc w:val="both"/>
        <w:outlineLvl w:val="9"/>
        <w:rPr>
          <w:rFonts w:ascii="Times New Roman" w:eastAsia="Times New Roman" w:hAnsi="Times New Roman" w:cs="Times New Roman"/>
          <w:b/>
          <w:i w:val="0"/>
          <w:sz w:val="20"/>
        </w:rPr>
      </w:pPr>
      <w:r>
        <w:rPr>
          <w:rFonts w:ascii="Times New Roman" w:eastAsia="Times New Roman" w:hAnsi="Times New Roman" w:cs="Times New Roman"/>
          <w:b w:val="0"/>
          <w:i w:val="0"/>
          <w:color w:val="000000"/>
          <w:sz w:val="20"/>
          <w:u w:val="none"/>
        </w:rPr>
        <w:t xml:space="preserve">Latin America revenue in the </w:t>
      </w:r>
      <w:r>
        <w:rPr>
          <w:rFonts w:ascii="Times New Roman" w:eastAsia="Times New Roman" w:hAnsi="Times New Roman" w:cs="Times New Roman"/>
          <w:b w:val="0"/>
          <w:i w:val="0"/>
          <w:color w:val="000000"/>
          <w:sz w:val="20"/>
          <w:u w:val="none"/>
        </w:rPr>
        <w:t>first</w:t>
      </w:r>
      <w:r>
        <w:rPr>
          <w:rFonts w:ascii="Times New Roman" w:eastAsia="Times New Roman" w:hAnsi="Times New Roman" w:cs="Times New Roman"/>
          <w:b w:val="0"/>
          <w:i w:val="0"/>
          <w:color w:val="000000"/>
          <w:sz w:val="20"/>
          <w:u w:val="none"/>
        </w:rPr>
        <w:t xml:space="preserve"> quarter of </w:t>
      </w:r>
      <w:r>
        <w:rPr>
          <w:rFonts w:ascii="Times New Roman" w:eastAsia="Times New Roman" w:hAnsi="Times New Roman" w:cs="Times New Roman"/>
          <w:b w:val="0"/>
          <w:i w:val="0"/>
          <w:color w:val="000000"/>
          <w:sz w:val="20"/>
          <w:u w:val="none"/>
        </w:rPr>
        <w:t>2025</w:t>
      </w:r>
      <w:r>
        <w:rPr>
          <w:rFonts w:ascii="Times New Roman" w:eastAsia="Times New Roman" w:hAnsi="Times New Roman" w:cs="Times New Roman"/>
          <w:b w:val="0"/>
          <w:i w:val="0"/>
          <w:color w:val="000000"/>
          <w:sz w:val="20"/>
          <w:u w:val="none"/>
        </w:rPr>
        <w:t xml:space="preserve"> was </w:t>
      </w:r>
      <w:r>
        <w:rPr>
          <w:rFonts w:ascii="Times New Roman" w:eastAsia="Times New Roman" w:hAnsi="Times New Roman" w:cs="Times New Roman"/>
          <w:b w:val="0"/>
          <w:i w:val="0"/>
          <w:color w:val="000000"/>
          <w:sz w:val="20"/>
          <w:u w:val="none"/>
        </w:rPr>
        <w:t>$896 million</w:t>
      </w:r>
      <w:r>
        <w:rPr>
          <w:rFonts w:ascii="Times New Roman" w:eastAsia="Times New Roman" w:hAnsi="Times New Roman" w:cs="Times New Roman"/>
          <w:b w:val="0"/>
          <w:i w:val="0"/>
          <w:color w:val="000000"/>
          <w:sz w:val="20"/>
          <w:u w:val="none"/>
        </w:rPr>
        <w:t>,</w:t>
      </w:r>
      <w:r>
        <w:rPr>
          <w:rFonts w:ascii="Times New Roman" w:eastAsia="Times New Roman" w:hAnsi="Times New Roman" w:cs="Times New Roman"/>
          <w:b w:val="0"/>
          <w:i w:val="0"/>
          <w:color w:val="000000"/>
          <w:sz w:val="20"/>
          <w:u w:val="none"/>
        </w:rPr>
        <w:t xml:space="preserve"> a </w:t>
      </w:r>
      <w:r>
        <w:rPr>
          <w:rFonts w:ascii="Times New Roman" w:eastAsia="Times New Roman" w:hAnsi="Times New Roman" w:cs="Times New Roman"/>
          <w:b w:val="0"/>
          <w:i w:val="0"/>
          <w:color w:val="000000"/>
          <w:sz w:val="20"/>
          <w:u w:val="none"/>
        </w:rPr>
        <w:t>19%</w:t>
      </w:r>
      <w:r>
        <w:rPr>
          <w:rFonts w:ascii="Times New Roman" w:eastAsia="Times New Roman" w:hAnsi="Times New Roman" w:cs="Times New Roman"/>
          <w:b w:val="0"/>
          <w:i w:val="0"/>
          <w:color w:val="000000"/>
          <w:sz w:val="20"/>
          <w:u w:val="none"/>
        </w:rPr>
        <w:t xml:space="preserve"> decrease</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 xml:space="preserve">compared to the </w:t>
      </w:r>
      <w:r>
        <w:rPr>
          <w:rFonts w:ascii="Times New Roman" w:eastAsia="Times New Roman" w:hAnsi="Times New Roman" w:cs="Times New Roman"/>
          <w:b w:val="0"/>
          <w:i w:val="0"/>
          <w:color w:val="000000"/>
          <w:sz w:val="20"/>
          <w:u w:val="none"/>
        </w:rPr>
        <w:t>first</w:t>
      </w:r>
      <w:r>
        <w:rPr>
          <w:rFonts w:ascii="Times New Roman" w:eastAsia="Times New Roman" w:hAnsi="Times New Roman" w:cs="Times New Roman"/>
          <w:b w:val="0"/>
          <w:i w:val="0"/>
          <w:color w:val="000000"/>
          <w:sz w:val="20"/>
          <w:u w:val="none"/>
        </w:rPr>
        <w:t xml:space="preserve"> quarter of </w:t>
      </w:r>
      <w:r>
        <w:rPr>
          <w:rFonts w:ascii="Times New Roman" w:eastAsia="Times New Roman" w:hAnsi="Times New Roman" w:cs="Times New Roman"/>
          <w:b w:val="0"/>
          <w:i w:val="0"/>
          <w:color w:val="000000"/>
          <w:sz w:val="20"/>
          <w:u w:val="none"/>
        </w:rPr>
        <w:t>2024</w:t>
      </w:r>
      <w:r>
        <w:rPr>
          <w:rFonts w:ascii="Times New Roman" w:eastAsia="Times New Roman" w:hAnsi="Times New Roman" w:cs="Times New Roman"/>
          <w:b w:val="0"/>
          <w:i w:val="0"/>
          <w:color w:val="000000"/>
          <w:sz w:val="20"/>
          <w:u w:val="none"/>
        </w:rPr>
        <w:t>.</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This decrease was primarily due to lower activity across multiple product service lines in Mexico and decreased compl</w:t>
      </w:r>
      <w:r>
        <w:rPr>
          <w:rFonts w:ascii="Times New Roman" w:eastAsia="Times New Roman" w:hAnsi="Times New Roman" w:cs="Times New Roman"/>
          <w:b w:val="0"/>
          <w:i w:val="0"/>
          <w:color w:val="000000"/>
          <w:sz w:val="20"/>
          <w:u w:val="none"/>
        </w:rPr>
        <w:t>e</w:t>
      </w:r>
      <w:r>
        <w:rPr>
          <w:rFonts w:ascii="Times New Roman" w:eastAsia="Times New Roman" w:hAnsi="Times New Roman" w:cs="Times New Roman"/>
          <w:b w:val="0"/>
          <w:i w:val="0"/>
          <w:color w:val="000000"/>
          <w:sz w:val="20"/>
          <w:u w:val="none"/>
        </w:rPr>
        <w:t>tion tool sales across the region. Partially offsetting these decreases were increased drilling-related services in Argentina, Brazil, and the Caribbean</w:t>
      </w:r>
      <w:r>
        <w:rPr>
          <w:rFonts w:ascii="Times New Roman" w:eastAsia="Times New Roman" w:hAnsi="Times New Roman" w:cs="Times New Roman"/>
          <w:b w:val="0"/>
          <w:i w:val="0"/>
          <w:color w:val="000000"/>
          <w:sz w:val="20"/>
          <w:u w:val="none"/>
        </w:rPr>
        <w:t>.</w:t>
      </w:r>
    </w:p>
    <w:p>
      <w:pPr>
        <w:keepNext w:val="0"/>
        <w:keepLines w:val="0"/>
        <w:pageBreakBefore w:val="0"/>
        <w:widowControl/>
        <w:numPr>
          <w:ilvl w:val="0"/>
          <w:numId w:val="0"/>
        </w:numPr>
        <w:spacing w:before="0" w:after="0" w:line="288" w:lineRule="auto"/>
        <w:ind w:left="0" w:right="0" w:firstLine="720"/>
        <w:jc w:val="left"/>
        <w:outlineLvl w:val="9"/>
        <w:rPr>
          <w:rFonts w:ascii="Times New Roman" w:eastAsia="Times New Roman" w:hAnsi="Times New Roman" w:cs="Times New Roman"/>
          <w:b w:val="0"/>
          <w:i/>
          <w:sz w:val="20"/>
        </w:rPr>
      </w:pPr>
      <w:r>
        <w:rPr>
          <w:rFonts w:ascii="Times New Roman" w:eastAsia="Times New Roman" w:hAnsi="Times New Roman" w:cs="Times New Roman"/>
          <w:b w:val="0"/>
          <w:i/>
          <w:sz w:val="20"/>
        </w:rPr>
        <w:t>Europe/Africa/CIS</w:t>
      </w:r>
    </w:p>
    <w:p>
      <w:pPr>
        <w:keepNext w:val="0"/>
        <w:keepLines w:val="0"/>
        <w:pageBreakBefore w:val="0"/>
        <w:widowControl/>
        <w:numPr>
          <w:ilvl w:val="0"/>
          <w:numId w:val="0"/>
        </w:numPr>
        <w:spacing w:before="0" w:after="16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Europe/Africa/CIS revenue in the </w:t>
      </w:r>
      <w:r>
        <w:rPr>
          <w:rFonts w:ascii="Times New Roman" w:eastAsia="Times New Roman" w:hAnsi="Times New Roman" w:cs="Times New Roman"/>
          <w:b w:val="0"/>
          <w:i w:val="0"/>
          <w:color w:val="000000"/>
          <w:sz w:val="20"/>
          <w:u w:val="none"/>
        </w:rPr>
        <w:t>first</w:t>
      </w:r>
      <w:r>
        <w:rPr>
          <w:rFonts w:ascii="Times New Roman" w:eastAsia="Times New Roman" w:hAnsi="Times New Roman" w:cs="Times New Roman"/>
          <w:b w:val="0"/>
          <w:i w:val="0"/>
          <w:sz w:val="20"/>
        </w:rPr>
        <w:t xml:space="preserve"> quarter of </w:t>
      </w:r>
      <w:r>
        <w:rPr>
          <w:rFonts w:ascii="Times New Roman" w:eastAsia="Times New Roman" w:hAnsi="Times New Roman" w:cs="Times New Roman"/>
          <w:b w:val="0"/>
          <w:i w:val="0"/>
          <w:color w:val="000000"/>
          <w:sz w:val="20"/>
          <w:u w:val="none"/>
        </w:rPr>
        <w:t>2025</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 xml:space="preserve">was </w:t>
      </w:r>
      <w:r>
        <w:rPr>
          <w:rFonts w:ascii="Times New Roman" w:eastAsia="Times New Roman" w:hAnsi="Times New Roman" w:cs="Times New Roman"/>
          <w:b w:val="0"/>
          <w:i w:val="0"/>
          <w:color w:val="000000"/>
          <w:sz w:val="20"/>
          <w:u w:val="none"/>
        </w:rPr>
        <w:t>$775 million</w:t>
      </w:r>
      <w:r>
        <w:rPr>
          <w:rFonts w:ascii="Times New Roman" w:eastAsia="Times New Roman" w:hAnsi="Times New Roman" w:cs="Times New Roman"/>
          <w:b w:val="0"/>
          <w:i w:val="0"/>
          <w:sz w:val="20"/>
        </w:rPr>
        <w:t>, a</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color w:val="000000"/>
          <w:sz w:val="20"/>
          <w:u w:val="none"/>
        </w:rPr>
        <w:t>6%</w:t>
      </w:r>
      <w:r>
        <w:rPr>
          <w:rFonts w:ascii="Times New Roman" w:eastAsia="Times New Roman" w:hAnsi="Times New Roman" w:cs="Times New Roman"/>
          <w:b w:val="0"/>
          <w:i w:val="0"/>
          <w:color w:val="000000"/>
          <w:sz w:val="20"/>
          <w:u w:val="none"/>
        </w:rPr>
        <w:t xml:space="preserve"> increase</w:t>
      </w:r>
      <w:r>
        <w:rPr>
          <w:rFonts w:ascii="Times New Roman" w:eastAsia="Times New Roman" w:hAnsi="Times New Roman" w:cs="Times New Roman"/>
          <w:b w:val="0"/>
          <w:i w:val="0"/>
          <w:sz w:val="20"/>
        </w:rPr>
        <w:t xml:space="preserve"> compared to the </w:t>
      </w:r>
      <w:r>
        <w:rPr>
          <w:rFonts w:ascii="Times New Roman" w:eastAsia="Times New Roman" w:hAnsi="Times New Roman" w:cs="Times New Roman"/>
          <w:b w:val="0"/>
          <w:i w:val="0"/>
          <w:color w:val="000000"/>
          <w:sz w:val="20"/>
          <w:u w:val="none"/>
        </w:rPr>
        <w:t>first</w:t>
      </w:r>
      <w:r>
        <w:rPr>
          <w:rFonts w:ascii="Times New Roman" w:eastAsia="Times New Roman" w:hAnsi="Times New Roman" w:cs="Times New Roman"/>
          <w:b w:val="0"/>
          <w:i w:val="0"/>
          <w:sz w:val="20"/>
        </w:rPr>
        <w:t xml:space="preserve"> quarter of </w:t>
      </w:r>
      <w:r>
        <w:rPr>
          <w:rFonts w:ascii="Times New Roman" w:eastAsia="Times New Roman" w:hAnsi="Times New Roman" w:cs="Times New Roman"/>
          <w:b w:val="0"/>
          <w:i w:val="0"/>
          <w:color w:val="000000"/>
          <w:sz w:val="20"/>
          <w:u w:val="none"/>
        </w:rPr>
        <w:t>2024</w:t>
      </w:r>
      <w:r>
        <w:rPr>
          <w:rFonts w:ascii="Times New Roman" w:eastAsia="Times New Roman" w:hAnsi="Times New Roman" w:cs="Times New Roman"/>
          <w:b w:val="0"/>
          <w:i w:val="0"/>
          <w:sz w:val="20"/>
        </w:rPr>
        <w:t>.</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color w:val="000000"/>
          <w:sz w:val="20"/>
          <w:u w:val="none"/>
        </w:rPr>
        <w:t>This increase was primarily driven by improved activity across multiple product service lines in Norway, higher well construction activity in Namibia, as well as improved completion tools sales in the Caspian Area. Partially offsetting these increases was decreased activity across multiple product service lines in Senegal and Italy.</w:t>
      </w:r>
    </w:p>
    <w:p>
      <w:pPr>
        <w:keepNext w:val="0"/>
        <w:keepLines w:val="0"/>
        <w:pageBreakBefore w:val="0"/>
        <w:widowControl/>
        <w:numPr>
          <w:ilvl w:val="0"/>
          <w:numId w:val="0"/>
        </w:numPr>
        <w:spacing w:before="0" w:after="0" w:line="288" w:lineRule="auto"/>
        <w:ind w:left="0" w:right="0" w:firstLine="720"/>
        <w:jc w:val="left"/>
        <w:outlineLvl w:val="9"/>
        <w:rPr>
          <w:rFonts w:ascii="Times New Roman" w:eastAsia="Times New Roman" w:hAnsi="Times New Roman" w:cs="Times New Roman"/>
          <w:b w:val="0"/>
          <w:i/>
          <w:sz w:val="20"/>
        </w:rPr>
      </w:pPr>
      <w:r>
        <w:rPr>
          <w:rFonts w:ascii="Times New Roman" w:eastAsia="Times New Roman" w:hAnsi="Times New Roman" w:cs="Times New Roman"/>
          <w:b w:val="0"/>
          <w:i/>
          <w:sz w:val="20"/>
        </w:rPr>
        <w:t>Middle East/Asia</w:t>
      </w:r>
    </w:p>
    <w:p>
      <w:pPr>
        <w:keepNext w:val="0"/>
        <w:keepLines w:val="0"/>
        <w:pageBreakBefore w:val="0"/>
        <w:widowControl/>
        <w:numPr>
          <w:ilvl w:val="0"/>
          <w:numId w:val="0"/>
        </w:numPr>
        <w:spacing w:before="0" w:after="16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Middle East/Asia revenue in the </w:t>
      </w:r>
      <w:r>
        <w:rPr>
          <w:rFonts w:ascii="Times New Roman" w:eastAsia="Times New Roman" w:hAnsi="Times New Roman" w:cs="Times New Roman"/>
          <w:b w:val="0"/>
          <w:i w:val="0"/>
          <w:color w:val="000000"/>
          <w:sz w:val="20"/>
          <w:u w:val="none"/>
        </w:rPr>
        <w:t>first</w:t>
      </w:r>
      <w:r>
        <w:rPr>
          <w:rFonts w:ascii="Times New Roman" w:eastAsia="Times New Roman" w:hAnsi="Times New Roman" w:cs="Times New Roman"/>
          <w:b w:val="0"/>
          <w:i w:val="0"/>
          <w:sz w:val="20"/>
        </w:rPr>
        <w:t xml:space="preserve"> quarter of </w:t>
      </w:r>
      <w:r>
        <w:rPr>
          <w:rFonts w:ascii="Times New Roman" w:eastAsia="Times New Roman" w:hAnsi="Times New Roman" w:cs="Times New Roman"/>
          <w:b w:val="0"/>
          <w:i w:val="0"/>
          <w:color w:val="000000"/>
          <w:sz w:val="20"/>
          <w:u w:val="none"/>
        </w:rPr>
        <w:t>2025</w:t>
      </w:r>
      <w:r>
        <w:rPr>
          <w:rFonts w:ascii="Times New Roman" w:eastAsia="Times New Roman" w:hAnsi="Times New Roman" w:cs="Times New Roman"/>
          <w:b w:val="0"/>
          <w:i w:val="0"/>
          <w:sz w:val="20"/>
        </w:rPr>
        <w:t xml:space="preserve"> was </w:t>
      </w:r>
      <w:r>
        <w:rPr>
          <w:rFonts w:ascii="Times New Roman" w:eastAsia="Times New Roman" w:hAnsi="Times New Roman" w:cs="Times New Roman"/>
          <w:b w:val="0"/>
          <w:i w:val="0"/>
          <w:color w:val="000000"/>
          <w:sz w:val="20"/>
          <w:u w:val="none"/>
        </w:rPr>
        <w:t>$1.5 billion</w:t>
      </w:r>
      <w:r>
        <w:rPr>
          <w:rFonts w:ascii="Times New Roman" w:eastAsia="Times New Roman" w:hAnsi="Times New Roman" w:cs="Times New Roman"/>
          <w:b w:val="0"/>
          <w:i w:val="0"/>
          <w:sz w:val="20"/>
        </w:rPr>
        <w:t xml:space="preserve">, a </w:t>
      </w:r>
      <w:r>
        <w:rPr>
          <w:rFonts w:ascii="Times New Roman" w:eastAsia="Times New Roman" w:hAnsi="Times New Roman" w:cs="Times New Roman"/>
          <w:b w:val="0"/>
          <w:i w:val="0"/>
          <w:color w:val="000000"/>
          <w:sz w:val="20"/>
          <w:u w:val="none"/>
        </w:rPr>
        <w:t>6%</w:t>
      </w:r>
      <w:r>
        <w:rPr>
          <w:rFonts w:ascii="Times New Roman" w:eastAsia="Times New Roman" w:hAnsi="Times New Roman" w:cs="Times New Roman"/>
          <w:b w:val="0"/>
          <w:i w:val="0"/>
          <w:color w:val="000000"/>
          <w:sz w:val="20"/>
          <w:u w:val="none"/>
        </w:rPr>
        <w:t xml:space="preserve"> increase</w:t>
      </w:r>
      <w:r>
        <w:rPr>
          <w:rFonts w:ascii="Times New Roman" w:eastAsia="Times New Roman" w:hAnsi="Times New Roman" w:cs="Times New Roman"/>
          <w:b w:val="0"/>
          <w:i w:val="0"/>
          <w:sz w:val="20"/>
        </w:rPr>
        <w:t xml:space="preserve"> compared to the </w:t>
      </w:r>
      <w:r>
        <w:rPr>
          <w:rFonts w:ascii="Times New Roman" w:eastAsia="Times New Roman" w:hAnsi="Times New Roman" w:cs="Times New Roman"/>
          <w:b w:val="0"/>
          <w:i w:val="0"/>
          <w:color w:val="000000"/>
          <w:sz w:val="20"/>
          <w:u w:val="none"/>
        </w:rPr>
        <w:t>first</w:t>
      </w:r>
      <w:r>
        <w:rPr>
          <w:rFonts w:ascii="Times New Roman" w:eastAsia="Times New Roman" w:hAnsi="Times New Roman" w:cs="Times New Roman"/>
          <w:b w:val="0"/>
          <w:i w:val="0"/>
          <w:sz w:val="20"/>
        </w:rPr>
        <w:t xml:space="preserve"> quarter of </w:t>
      </w:r>
      <w:r>
        <w:rPr>
          <w:rFonts w:ascii="Times New Roman" w:eastAsia="Times New Roman" w:hAnsi="Times New Roman" w:cs="Times New Roman"/>
          <w:b w:val="0"/>
          <w:i w:val="0"/>
          <w:color w:val="000000"/>
          <w:sz w:val="20"/>
          <w:u w:val="none"/>
        </w:rPr>
        <w:t>2024</w:t>
      </w:r>
      <w:r>
        <w:rPr>
          <w:rFonts w:ascii="Times New Roman" w:eastAsia="Times New Roman" w:hAnsi="Times New Roman" w:cs="Times New Roman"/>
          <w:b w:val="0"/>
          <w:i w:val="0"/>
          <w:sz w:val="20"/>
        </w:rPr>
        <w:t>.</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 xml:space="preserve">This </w:t>
      </w:r>
      <w:r>
        <w:rPr>
          <w:rFonts w:ascii="Times New Roman" w:eastAsia="Times New Roman" w:hAnsi="Times New Roman" w:cs="Times New Roman"/>
          <w:b w:val="0"/>
          <w:i w:val="0"/>
          <w:sz w:val="20"/>
        </w:rPr>
        <w:t>increase</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r</w:t>
      </w:r>
      <w:r>
        <w:rPr>
          <w:rFonts w:ascii="Times New Roman" w:eastAsia="Times New Roman" w:hAnsi="Times New Roman" w:cs="Times New Roman"/>
          <w:b w:val="0"/>
          <w:i w:val="0"/>
          <w:sz w:val="20"/>
        </w:rPr>
        <w:t>esulted from i</w:t>
      </w:r>
      <w:r>
        <w:rPr>
          <w:rFonts w:ascii="Times New Roman" w:eastAsia="Times New Roman" w:hAnsi="Times New Roman" w:cs="Times New Roman"/>
          <w:b w:val="0"/>
          <w:i w:val="0"/>
          <w:sz w:val="20"/>
        </w:rPr>
        <w:t>mproved</w:t>
      </w:r>
      <w:r>
        <w:rPr>
          <w:rFonts w:ascii="Times New Roman" w:eastAsia="Times New Roman" w:hAnsi="Times New Roman" w:cs="Times New Roman"/>
          <w:b w:val="0"/>
          <w:i w:val="0"/>
          <w:sz w:val="20"/>
        </w:rPr>
        <w:t xml:space="preserve"> activity across multiple product ser</w:t>
      </w:r>
      <w:r>
        <w:rPr>
          <w:rFonts w:ascii="Times New Roman" w:eastAsia="Times New Roman" w:hAnsi="Times New Roman" w:cs="Times New Roman"/>
          <w:b w:val="0"/>
          <w:i w:val="0"/>
          <w:sz w:val="20"/>
        </w:rPr>
        <w:t>vice lines in Kuwait</w:t>
      </w:r>
      <w:r>
        <w:rPr>
          <w:rFonts w:ascii="Times New Roman" w:eastAsia="Times New Roman" w:hAnsi="Times New Roman" w:cs="Times New Roman"/>
          <w:b w:val="0"/>
          <w:i w:val="0"/>
          <w:sz w:val="20"/>
        </w:rPr>
        <w:t>, i</w:t>
      </w:r>
      <w:r>
        <w:rPr>
          <w:rFonts w:ascii="Times New Roman" w:eastAsia="Times New Roman" w:hAnsi="Times New Roman" w:cs="Times New Roman"/>
          <w:b w:val="0"/>
          <w:i w:val="0"/>
          <w:sz w:val="20"/>
        </w:rPr>
        <w:t xml:space="preserve">mproved </w:t>
      </w:r>
      <w:r>
        <w:rPr>
          <w:rFonts w:ascii="Times New Roman" w:eastAsia="Times New Roman" w:hAnsi="Times New Roman" w:cs="Times New Roman"/>
          <w:b w:val="0"/>
          <w:i w:val="0"/>
          <w:sz w:val="20"/>
        </w:rPr>
        <w:t>stimulation activity</w:t>
      </w:r>
      <w:r>
        <w:rPr>
          <w:rFonts w:ascii="Times New Roman" w:eastAsia="Times New Roman" w:hAnsi="Times New Roman" w:cs="Times New Roman"/>
          <w:b w:val="0"/>
          <w:i w:val="0"/>
          <w:sz w:val="20"/>
        </w:rPr>
        <w:t xml:space="preserve"> and </w:t>
      </w:r>
      <w:r>
        <w:rPr>
          <w:rFonts w:ascii="Times New Roman" w:eastAsia="Times New Roman" w:hAnsi="Times New Roman" w:cs="Times New Roman"/>
          <w:b w:val="0"/>
          <w:i w:val="0"/>
          <w:sz w:val="20"/>
        </w:rPr>
        <w:t>increased</w:t>
      </w:r>
      <w:r>
        <w:rPr>
          <w:rFonts w:ascii="Times New Roman" w:eastAsia="Times New Roman" w:hAnsi="Times New Roman" w:cs="Times New Roman"/>
          <w:b w:val="0"/>
          <w:i w:val="0"/>
          <w:sz w:val="20"/>
        </w:rPr>
        <w:t xml:space="preserve"> completion </w:t>
      </w:r>
      <w:r>
        <w:rPr>
          <w:rFonts w:ascii="Times New Roman" w:eastAsia="Times New Roman" w:hAnsi="Times New Roman" w:cs="Times New Roman"/>
          <w:b w:val="0"/>
          <w:i w:val="0"/>
          <w:color w:val="000000"/>
          <w:sz w:val="20"/>
          <w:u w:val="none"/>
        </w:rPr>
        <w:t>tool</w:t>
      </w:r>
      <w:r>
        <w:rPr>
          <w:rFonts w:ascii="Times New Roman" w:eastAsia="Times New Roman" w:hAnsi="Times New Roman" w:cs="Times New Roman"/>
          <w:b w:val="0"/>
          <w:i w:val="0"/>
          <w:sz w:val="20"/>
        </w:rPr>
        <w:t xml:space="preserve"> sales in Saudi Arabia, </w:t>
      </w:r>
      <w:r>
        <w:rPr>
          <w:rFonts w:ascii="Times New Roman" w:eastAsia="Times New Roman" w:hAnsi="Times New Roman" w:cs="Times New Roman"/>
          <w:b w:val="0"/>
          <w:i w:val="0"/>
          <w:sz w:val="20"/>
        </w:rPr>
        <w:t>and higher fluid services in the United Arab Emirates.</w:t>
      </w:r>
      <w:r>
        <w:rPr>
          <w:rFonts w:ascii="Times New Roman" w:eastAsia="Times New Roman" w:hAnsi="Times New Roman" w:cs="Times New Roman"/>
          <w:b w:val="0"/>
          <w:i w:val="0"/>
          <w:sz w:val="20"/>
        </w:rPr>
        <w:t xml:space="preserve"> Partially offsetting these </w:t>
      </w:r>
      <w:r>
        <w:rPr>
          <w:rFonts w:ascii="Times New Roman" w:eastAsia="Times New Roman" w:hAnsi="Times New Roman" w:cs="Times New Roman"/>
          <w:b w:val="0"/>
          <w:i w:val="0"/>
          <w:color w:val="000000"/>
          <w:sz w:val="20"/>
          <w:u w:val="none"/>
        </w:rPr>
        <w:t>improvement</w:t>
      </w:r>
      <w:r>
        <w:rPr>
          <w:rFonts w:ascii="Times New Roman" w:eastAsia="Times New Roman" w:hAnsi="Times New Roman" w:cs="Times New Roman"/>
          <w:b w:val="0"/>
          <w:i w:val="0"/>
          <w:color w:val="000000"/>
          <w:sz w:val="20"/>
          <w:u w:val="none"/>
        </w:rPr>
        <w:t>s</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 xml:space="preserve">were </w:t>
      </w:r>
      <w:r>
        <w:rPr>
          <w:rFonts w:ascii="Times New Roman" w:eastAsia="Times New Roman" w:hAnsi="Times New Roman" w:cs="Times New Roman"/>
          <w:b w:val="0"/>
          <w:i w:val="0"/>
          <w:sz w:val="20"/>
        </w:rPr>
        <w:t xml:space="preserve">lower </w:t>
      </w:r>
      <w:r>
        <w:rPr>
          <w:rFonts w:ascii="Times New Roman" w:eastAsia="Times New Roman" w:hAnsi="Times New Roman" w:cs="Times New Roman"/>
          <w:b w:val="0"/>
          <w:i w:val="0"/>
          <w:sz w:val="20"/>
        </w:rPr>
        <w:t>well construction activity in Saudi Arabia and Australia, decreased completion to</w:t>
      </w:r>
      <w:r>
        <w:rPr>
          <w:rFonts w:ascii="Times New Roman" w:eastAsia="Times New Roman" w:hAnsi="Times New Roman" w:cs="Times New Roman"/>
          <w:b w:val="0"/>
          <w:i w:val="0"/>
          <w:sz w:val="20"/>
        </w:rPr>
        <w:t xml:space="preserve">ol sales in </w:t>
      </w:r>
      <w:r>
        <w:rPr>
          <w:rFonts w:ascii="Times New Roman" w:eastAsia="Times New Roman" w:hAnsi="Times New Roman" w:cs="Times New Roman"/>
          <w:b w:val="0"/>
          <w:i w:val="0"/>
          <w:sz w:val="20"/>
        </w:rPr>
        <w:t>Malaysia, and declined drilling-relat</w:t>
      </w:r>
      <w:r>
        <w:rPr>
          <w:rFonts w:ascii="Times New Roman" w:eastAsia="Times New Roman" w:hAnsi="Times New Roman" w:cs="Times New Roman"/>
          <w:b w:val="0"/>
          <w:i w:val="0"/>
          <w:sz w:val="20"/>
        </w:rPr>
        <w:t>ed activity in Oman</w:t>
      </w:r>
      <w:r>
        <w:rPr>
          <w:rFonts w:ascii="Times New Roman" w:eastAsia="Times New Roman" w:hAnsi="Times New Roman" w:cs="Times New Roman"/>
          <w:b w:val="0"/>
          <w:i w:val="0"/>
          <w:sz w:val="20"/>
        </w:rPr>
        <w:t>.</w:t>
      </w:r>
    </w:p>
    <w:p>
      <w:pPr>
        <w:keepNext/>
        <w:keepLines/>
        <w:pageBreakBefore w:val="0"/>
        <w:widowControl w:val="0"/>
        <w:numPr>
          <w:ilvl w:val="0"/>
          <w:numId w:val="0"/>
        </w:numPr>
        <w:spacing w:before="0" w:after="160" w:line="288" w:lineRule="auto"/>
        <w:ind w:left="0" w:right="0" w:firstLine="0"/>
        <w:jc w:val="left"/>
        <w:outlineLvl w:val="9"/>
        <w:rPr>
          <w:rFonts w:ascii="Times New Roman" w:eastAsia="Times New Roman" w:hAnsi="Times New Roman" w:cs="Times New Roman"/>
          <w:b/>
          <w:i/>
          <w:sz w:val="20"/>
        </w:rPr>
      </w:pPr>
      <w:r>
        <w:rPr>
          <w:rFonts w:ascii="Times New Roman" w:eastAsia="Times New Roman" w:hAnsi="Times New Roman" w:cs="Times New Roman"/>
          <w:b/>
          <w:i/>
          <w:sz w:val="20"/>
        </w:rPr>
        <w:t>Other Operating Items</w:t>
      </w:r>
    </w:p>
    <w:p>
      <w:pPr>
        <w:keepNext/>
        <w:keepLines/>
        <w:pageBreakBefore w:val="0"/>
        <w:widowControl w:val="0"/>
        <w:numPr>
          <w:ilvl w:val="0"/>
          <w:numId w:val="0"/>
        </w:numPr>
        <w:spacing w:before="0" w:after="160" w:line="288" w:lineRule="auto"/>
        <w:ind w:left="0" w:right="0" w:firstLine="720"/>
        <w:jc w:val="both"/>
        <w:outlineLvl w:val="9"/>
        <w:rPr>
          <w:rFonts w:ascii="Calibri" w:eastAsia="Calibri" w:hAnsi="Calibri" w:cs="Calibri"/>
          <w:b/>
          <w:i/>
          <w:sz w:val="22"/>
        </w:rPr>
      </w:pPr>
      <w:r>
        <w:rPr>
          <w:rFonts w:ascii="Times New Roman" w:eastAsia="Times New Roman" w:hAnsi="Times New Roman" w:cs="Times New Roman"/>
          <w:b w:val="0"/>
          <w:i/>
          <w:sz w:val="20"/>
        </w:rPr>
        <w:t xml:space="preserve">SAP S4 Upgrade Expense. </w:t>
      </w:r>
      <w:r>
        <w:rPr>
          <w:rFonts w:ascii="Times New Roman" w:eastAsia="Times New Roman" w:hAnsi="Times New Roman" w:cs="Times New Roman"/>
          <w:b w:val="0"/>
          <w:i w:val="0"/>
          <w:sz w:val="20"/>
        </w:rPr>
        <w:t>As previously mentioned, during</w:t>
      </w:r>
      <w:r>
        <w:rPr>
          <w:rFonts w:ascii="Times New Roman" w:eastAsia="Times New Roman" w:hAnsi="Times New Roman" w:cs="Times New Roman"/>
          <w:b w:val="0"/>
          <w:i w:val="0"/>
          <w:sz w:val="20"/>
        </w:rPr>
        <w:t xml:space="preserve"> 2023, we began our migration to SAP S4, which we</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 xml:space="preserve">expect to complete </w:t>
      </w:r>
      <w:r>
        <w:rPr>
          <w:rFonts w:ascii="Times New Roman" w:eastAsia="Times New Roman" w:hAnsi="Times New Roman" w:cs="Times New Roman"/>
          <w:b w:val="0"/>
          <w:i w:val="0"/>
          <w:sz w:val="20"/>
        </w:rPr>
        <w:t>in</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 xml:space="preserve">the </w:t>
      </w:r>
      <w:r>
        <w:rPr>
          <w:rFonts w:ascii="Times New Roman" w:eastAsia="Times New Roman" w:hAnsi="Times New Roman" w:cs="Times New Roman"/>
          <w:b w:val="0"/>
          <w:i w:val="0"/>
          <w:color w:val="000000"/>
          <w:sz w:val="20"/>
          <w:u w:val="none"/>
        </w:rPr>
        <w:t>first half</w:t>
      </w:r>
      <w:r>
        <w:rPr>
          <w:rFonts w:ascii="Times New Roman" w:eastAsia="Times New Roman" w:hAnsi="Times New Roman" w:cs="Times New Roman"/>
          <w:b w:val="0"/>
          <w:i w:val="0"/>
          <w:color w:val="000000"/>
          <w:sz w:val="20"/>
          <w:u w:val="none"/>
        </w:rPr>
        <w:t xml:space="preserve"> of 2026</w:t>
      </w:r>
      <w:r>
        <w:rPr>
          <w:rFonts w:ascii="Times New Roman" w:eastAsia="Times New Roman" w:hAnsi="Times New Roman" w:cs="Times New Roman"/>
          <w:b w:val="0"/>
          <w:i w:val="0"/>
          <w:sz w:val="20"/>
        </w:rPr>
        <w:t xml:space="preserve">. During the </w:t>
      </w:r>
      <w:r>
        <w:rPr>
          <w:rFonts w:ascii="Times New Roman" w:eastAsia="Times New Roman" w:hAnsi="Times New Roman" w:cs="Times New Roman"/>
          <w:b w:val="0"/>
          <w:i w:val="0"/>
          <w:color w:val="000000"/>
          <w:sz w:val="20"/>
          <w:u w:val="none"/>
        </w:rPr>
        <w:t>first</w:t>
      </w:r>
      <w:r>
        <w:rPr>
          <w:rFonts w:ascii="Times New Roman" w:eastAsia="Times New Roman" w:hAnsi="Times New Roman" w:cs="Times New Roman"/>
          <w:b w:val="0"/>
          <w:i w:val="0"/>
          <w:sz w:val="20"/>
        </w:rPr>
        <w:t xml:space="preserve"> quarter of </w:t>
      </w:r>
      <w:r>
        <w:rPr>
          <w:rFonts w:ascii="Times New Roman" w:eastAsia="Times New Roman" w:hAnsi="Times New Roman" w:cs="Times New Roman"/>
          <w:b w:val="0"/>
          <w:i w:val="0"/>
          <w:color w:val="000000"/>
          <w:sz w:val="20"/>
          <w:u w:val="none"/>
        </w:rPr>
        <w:t>2025</w:t>
      </w:r>
      <w:r>
        <w:rPr>
          <w:rFonts w:ascii="Times New Roman" w:eastAsia="Times New Roman" w:hAnsi="Times New Roman" w:cs="Times New Roman"/>
          <w:b w:val="0"/>
          <w:i w:val="0"/>
          <w:sz w:val="20"/>
        </w:rPr>
        <w:t xml:space="preserve">, we recognized </w:t>
      </w:r>
      <w:r>
        <w:rPr>
          <w:rFonts w:ascii="Times New Roman" w:eastAsia="Times New Roman" w:hAnsi="Times New Roman" w:cs="Times New Roman"/>
          <w:b w:val="0"/>
          <w:i w:val="0"/>
          <w:color w:val="000000"/>
          <w:sz w:val="20"/>
          <w:u w:val="none"/>
        </w:rPr>
        <w:t>$30 million</w:t>
      </w:r>
      <w:r>
        <w:rPr>
          <w:rFonts w:ascii="Times New Roman" w:eastAsia="Times New Roman" w:hAnsi="Times New Roman" w:cs="Times New Roman"/>
          <w:b w:val="0"/>
          <w:i w:val="0"/>
          <w:sz w:val="20"/>
        </w:rPr>
        <w:t xml:space="preserve"> of expense on our SAP S4 migration. During the </w:t>
      </w:r>
      <w:r>
        <w:rPr>
          <w:rFonts w:ascii="Times New Roman" w:eastAsia="Times New Roman" w:hAnsi="Times New Roman" w:cs="Times New Roman"/>
          <w:b w:val="0"/>
          <w:i w:val="0"/>
          <w:color w:val="000000"/>
          <w:sz w:val="20"/>
          <w:u w:val="none"/>
        </w:rPr>
        <w:t>first</w:t>
      </w:r>
      <w:r>
        <w:rPr>
          <w:rFonts w:ascii="Times New Roman" w:eastAsia="Times New Roman" w:hAnsi="Times New Roman" w:cs="Times New Roman"/>
          <w:b w:val="0"/>
          <w:i w:val="0"/>
          <w:sz w:val="20"/>
        </w:rPr>
        <w:t xml:space="preserve"> quarter of </w:t>
      </w:r>
      <w:r>
        <w:rPr>
          <w:rFonts w:ascii="Times New Roman" w:eastAsia="Times New Roman" w:hAnsi="Times New Roman" w:cs="Times New Roman"/>
          <w:b w:val="0"/>
          <w:i w:val="0"/>
          <w:color w:val="000000"/>
          <w:sz w:val="20"/>
          <w:u w:val="none"/>
        </w:rPr>
        <w:t>2024</w:t>
      </w:r>
      <w:r>
        <w:rPr>
          <w:rFonts w:ascii="Times New Roman" w:eastAsia="Times New Roman" w:hAnsi="Times New Roman" w:cs="Times New Roman"/>
          <w:b w:val="0"/>
          <w:i w:val="0"/>
          <w:sz w:val="20"/>
        </w:rPr>
        <w:t xml:space="preserve">, we recognized </w:t>
      </w:r>
      <w:r>
        <w:rPr>
          <w:rFonts w:ascii="Times New Roman" w:eastAsia="Times New Roman" w:hAnsi="Times New Roman" w:cs="Times New Roman"/>
          <w:b w:val="0"/>
          <w:i w:val="0"/>
          <w:color w:val="000000"/>
          <w:sz w:val="20"/>
          <w:u w:val="none"/>
        </w:rPr>
        <w:t>$34 million</w:t>
      </w:r>
      <w:r>
        <w:rPr>
          <w:rFonts w:ascii="Times New Roman" w:eastAsia="Times New Roman" w:hAnsi="Times New Roman" w:cs="Times New Roman"/>
          <w:b w:val="0"/>
          <w:i w:val="0"/>
          <w:sz w:val="20"/>
        </w:rPr>
        <w:t xml:space="preserve"> of expense on our SAP </w:t>
      </w:r>
      <w:r>
        <w:rPr>
          <w:rFonts w:ascii="Times New Roman" w:eastAsia="Times New Roman" w:hAnsi="Times New Roman" w:cs="Times New Roman"/>
          <w:b w:val="0"/>
          <w:i w:val="0"/>
          <w:sz w:val="20"/>
        </w:rPr>
        <w:t>S4</w:t>
      </w:r>
      <w:r>
        <w:rPr>
          <w:rFonts w:ascii="Times New Roman" w:eastAsia="Times New Roman" w:hAnsi="Times New Roman" w:cs="Times New Roman"/>
          <w:b w:val="0"/>
          <w:i w:val="0"/>
          <w:sz w:val="20"/>
        </w:rPr>
        <w:t xml:space="preserve"> migration. </w:t>
      </w:r>
    </w:p>
    <w:p>
      <w:pPr>
        <w:keepNext/>
        <w:keepLines/>
        <w:pageBreakBefore w:val="0"/>
        <w:widowControl w:val="0"/>
        <w:numPr>
          <w:ilvl w:val="0"/>
          <w:numId w:val="0"/>
        </w:numPr>
        <w:spacing w:before="0" w:after="160" w:line="288" w:lineRule="auto"/>
        <w:ind w:left="0" w:right="0" w:firstLine="720"/>
        <w:jc w:val="both"/>
        <w:outlineLvl w:val="9"/>
        <w:rPr>
          <w:rFonts w:ascii="Calibri" w:eastAsia="Calibri" w:hAnsi="Calibri" w:cs="Calibri"/>
          <w:b/>
          <w:i/>
          <w:sz w:val="22"/>
        </w:rPr>
      </w:pPr>
      <w:r>
        <w:rPr>
          <w:rFonts w:ascii="Times New Roman" w:eastAsia="Times New Roman" w:hAnsi="Times New Roman" w:cs="Times New Roman"/>
          <w:b w:val="0"/>
          <w:i/>
          <w:color w:val="000000"/>
          <w:sz w:val="20"/>
          <w:u w:val="none"/>
        </w:rPr>
        <w:t>Impairment</w:t>
      </w:r>
      <w:r>
        <w:rPr>
          <w:rFonts w:ascii="Times New Roman" w:eastAsia="Times New Roman" w:hAnsi="Times New Roman" w:cs="Times New Roman"/>
          <w:b w:val="0"/>
          <w:i/>
          <w:color w:val="000000"/>
          <w:sz w:val="20"/>
          <w:u w:val="none"/>
        </w:rPr>
        <w:t>s</w:t>
      </w:r>
      <w:r>
        <w:rPr>
          <w:rFonts w:ascii="Times New Roman" w:eastAsia="Times New Roman" w:hAnsi="Times New Roman" w:cs="Times New Roman"/>
          <w:b w:val="0"/>
          <w:i/>
          <w:color w:val="000000"/>
          <w:sz w:val="20"/>
          <w:u w:val="none"/>
        </w:rPr>
        <w:t xml:space="preserve"> and </w:t>
      </w:r>
      <w:r>
        <w:rPr>
          <w:rFonts w:ascii="Times New Roman" w:eastAsia="Times New Roman" w:hAnsi="Times New Roman" w:cs="Times New Roman"/>
          <w:b w:val="0"/>
          <w:i/>
          <w:color w:val="000000"/>
          <w:sz w:val="20"/>
          <w:u w:val="none"/>
        </w:rPr>
        <w:t>O</w:t>
      </w:r>
      <w:r>
        <w:rPr>
          <w:rFonts w:ascii="Times New Roman" w:eastAsia="Times New Roman" w:hAnsi="Times New Roman" w:cs="Times New Roman"/>
          <w:b w:val="0"/>
          <w:i/>
          <w:color w:val="000000"/>
          <w:sz w:val="20"/>
          <w:u w:val="none"/>
        </w:rPr>
        <w:t xml:space="preserve">ther </w:t>
      </w:r>
      <w:r>
        <w:rPr>
          <w:rFonts w:ascii="Times New Roman" w:eastAsia="Times New Roman" w:hAnsi="Times New Roman" w:cs="Times New Roman"/>
          <w:b w:val="0"/>
          <w:i/>
          <w:color w:val="000000"/>
          <w:sz w:val="20"/>
          <w:u w:val="none"/>
        </w:rPr>
        <w:t>C</w:t>
      </w:r>
      <w:r>
        <w:rPr>
          <w:rFonts w:ascii="Times New Roman" w:eastAsia="Times New Roman" w:hAnsi="Times New Roman" w:cs="Times New Roman"/>
          <w:b w:val="0"/>
          <w:i/>
          <w:color w:val="000000"/>
          <w:sz w:val="20"/>
          <w:u w:val="none"/>
        </w:rPr>
        <w:t>harges</w:t>
      </w:r>
      <w:r>
        <w:rPr>
          <w:rFonts w:ascii="Times New Roman" w:eastAsia="Times New Roman" w:hAnsi="Times New Roman" w:cs="Times New Roman"/>
          <w:b w:val="0"/>
          <w:i/>
          <w:color w:val="000000"/>
          <w:sz w:val="20"/>
          <w:u w:val="none"/>
        </w:rPr>
        <w:t>.</w:t>
      </w:r>
      <w:r>
        <w:rPr>
          <w:rFonts w:ascii="Times New Roman" w:eastAsia="Times New Roman" w:hAnsi="Times New Roman" w:cs="Times New Roman"/>
          <w:b w:val="0"/>
          <w:i/>
          <w:color w:val="000000"/>
          <w:sz w:val="20"/>
          <w:u w:val="none"/>
        </w:rPr>
        <w:t xml:space="preserve"> </w:t>
      </w:r>
      <w:r>
        <w:rPr>
          <w:rFonts w:ascii="Times New Roman" w:eastAsia="Times New Roman" w:hAnsi="Times New Roman" w:cs="Times New Roman"/>
          <w:b w:val="0"/>
          <w:i w:val="0"/>
          <w:color w:val="000000"/>
          <w:sz w:val="20"/>
          <w:u w:val="none"/>
        </w:rPr>
        <w:t>During the</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three months ended</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color w:val="000000"/>
          <w:sz w:val="20"/>
          <w:u w:val="none"/>
        </w:rPr>
        <w:t xml:space="preserve">, we </w:t>
      </w:r>
      <w:r>
        <w:rPr>
          <w:rFonts w:ascii="Times New Roman" w:eastAsia="Times New Roman" w:hAnsi="Times New Roman" w:cs="Times New Roman"/>
          <w:b w:val="0"/>
          <w:i w:val="0"/>
          <w:color w:val="000000"/>
          <w:sz w:val="20"/>
          <w:u w:val="none"/>
        </w:rPr>
        <w:t xml:space="preserve">took a </w:t>
      </w:r>
      <w:r>
        <w:rPr>
          <w:rFonts w:ascii="Times New Roman" w:eastAsia="Times New Roman" w:hAnsi="Times New Roman" w:cs="Times New Roman"/>
          <w:b w:val="0"/>
          <w:i w:val="0"/>
          <w:color w:val="000000"/>
          <w:sz w:val="20"/>
          <w:u w:val="none"/>
        </w:rPr>
        <w:t>pre-tax charge of</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$356 million</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to adjust our cost structure to market condition</w:t>
      </w:r>
      <w:r>
        <w:rPr>
          <w:rFonts w:ascii="Times New Roman" w:eastAsia="Times New Roman" w:hAnsi="Times New Roman" w:cs="Times New Roman"/>
          <w:b w:val="0"/>
          <w:i w:val="0"/>
          <w:color w:val="000000"/>
          <w:sz w:val="20"/>
          <w:u w:val="none"/>
        </w:rPr>
        <w:t>s. These charges cons</w:t>
      </w:r>
      <w:r>
        <w:rPr>
          <w:rFonts w:ascii="Times New Roman" w:eastAsia="Times New Roman" w:hAnsi="Times New Roman" w:cs="Times New Roman"/>
          <w:b w:val="0"/>
          <w:i w:val="0"/>
          <w:color w:val="000000"/>
          <w:sz w:val="20"/>
          <w:u w:val="none"/>
        </w:rPr>
        <w:t>isted p</w:t>
      </w:r>
      <w:r>
        <w:rPr>
          <w:rFonts w:ascii="Times New Roman" w:eastAsia="Times New Roman" w:hAnsi="Times New Roman" w:cs="Times New Roman"/>
          <w:b w:val="0"/>
          <w:i w:val="0"/>
          <w:color w:val="000000"/>
          <w:sz w:val="20"/>
          <w:u w:val="none"/>
        </w:rPr>
        <w:t xml:space="preserve">rimarily of </w:t>
      </w:r>
      <w:r>
        <w:rPr>
          <w:rFonts w:ascii="Times New Roman" w:eastAsia="Times New Roman" w:hAnsi="Times New Roman" w:cs="Times New Roman"/>
          <w:b w:val="0"/>
          <w:i w:val="0"/>
          <w:color w:val="000000"/>
          <w:sz w:val="20"/>
          <w:u w:val="none"/>
        </w:rPr>
        <w:t xml:space="preserve">severance costs, </w:t>
      </w:r>
      <w:r>
        <w:rPr>
          <w:rFonts w:ascii="Times New Roman" w:eastAsia="Times New Roman" w:hAnsi="Times New Roman" w:cs="Times New Roman"/>
          <w:b w:val="0"/>
          <w:i w:val="0"/>
          <w:color w:val="000000"/>
          <w:sz w:val="20"/>
          <w:u w:val="none"/>
        </w:rPr>
        <w:t>an</w:t>
      </w:r>
      <w:r>
        <w:rPr>
          <w:rFonts w:ascii="Times New Roman" w:eastAsia="Times New Roman" w:hAnsi="Times New Roman" w:cs="Times New Roman"/>
          <w:b w:val="0"/>
          <w:i w:val="0"/>
          <w:color w:val="000000"/>
          <w:sz w:val="20"/>
          <w:u w:val="none"/>
        </w:rPr>
        <w:t xml:space="preserve"> impairment of assets held for sa</w:t>
      </w:r>
      <w:r>
        <w:rPr>
          <w:rFonts w:ascii="Times New Roman" w:eastAsia="Times New Roman" w:hAnsi="Times New Roman" w:cs="Times New Roman"/>
          <w:b w:val="0"/>
          <w:i w:val="0"/>
          <w:color w:val="000000"/>
          <w:sz w:val="20"/>
          <w:u w:val="none"/>
        </w:rPr>
        <w:t>le</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 xml:space="preserve">an </w:t>
      </w:r>
      <w:r>
        <w:rPr>
          <w:rFonts w:ascii="Times New Roman" w:eastAsia="Times New Roman" w:hAnsi="Times New Roman" w:cs="Times New Roman"/>
          <w:b w:val="0"/>
          <w:i w:val="0"/>
          <w:color w:val="000000"/>
          <w:sz w:val="20"/>
          <w:u w:val="none"/>
        </w:rPr>
        <w:t>im</w:t>
      </w:r>
      <w:r>
        <w:rPr>
          <w:rFonts w:ascii="Times New Roman" w:eastAsia="Times New Roman" w:hAnsi="Times New Roman" w:cs="Times New Roman"/>
          <w:b w:val="0"/>
          <w:i w:val="0"/>
          <w:color w:val="000000"/>
          <w:sz w:val="20"/>
          <w:u w:val="none"/>
        </w:rPr>
        <w:t>pairm</w:t>
      </w:r>
      <w:r>
        <w:rPr>
          <w:rFonts w:ascii="Times New Roman" w:eastAsia="Times New Roman" w:hAnsi="Times New Roman" w:cs="Times New Roman"/>
          <w:b w:val="0"/>
          <w:i w:val="0"/>
          <w:color w:val="000000"/>
          <w:sz w:val="20"/>
          <w:u w:val="none"/>
        </w:rPr>
        <w:t xml:space="preserve">ent of </w:t>
      </w:r>
      <w:r>
        <w:rPr>
          <w:rFonts w:ascii="Times New Roman" w:eastAsia="Times New Roman" w:hAnsi="Times New Roman" w:cs="Times New Roman"/>
          <w:b w:val="0"/>
          <w:i w:val="0"/>
          <w:color w:val="000000"/>
          <w:sz w:val="20"/>
          <w:u w:val="none"/>
        </w:rPr>
        <w:t>facilit</w:t>
      </w:r>
      <w:r>
        <w:rPr>
          <w:rFonts w:ascii="Times New Roman" w:eastAsia="Times New Roman" w:hAnsi="Times New Roman" w:cs="Times New Roman"/>
          <w:b w:val="0"/>
          <w:i w:val="0"/>
          <w:color w:val="000000"/>
          <w:sz w:val="20"/>
          <w:u w:val="none"/>
        </w:rPr>
        <w:t>y closures and lease termination</w:t>
      </w:r>
      <w:r>
        <w:rPr>
          <w:rFonts w:ascii="Times New Roman" w:eastAsia="Times New Roman" w:hAnsi="Times New Roman" w:cs="Times New Roman"/>
          <w:b w:val="0"/>
          <w:i w:val="0"/>
          <w:color w:val="000000"/>
          <w:sz w:val="20"/>
          <w:u w:val="none"/>
        </w:rPr>
        <w:t>s,</w:t>
      </w:r>
      <w:r>
        <w:rPr>
          <w:rFonts w:ascii="Times New Roman" w:eastAsia="Times New Roman" w:hAnsi="Times New Roman" w:cs="Times New Roman"/>
          <w:b w:val="0"/>
          <w:i w:val="0"/>
          <w:color w:val="000000"/>
          <w:sz w:val="20"/>
          <w:u w:val="none"/>
        </w:rPr>
        <w:t xml:space="preserve"> and </w:t>
      </w:r>
      <w:r>
        <w:rPr>
          <w:rFonts w:ascii="Times New Roman" w:eastAsia="Times New Roman" w:hAnsi="Times New Roman" w:cs="Times New Roman"/>
          <w:b w:val="0"/>
          <w:i w:val="0"/>
          <w:color w:val="000000"/>
          <w:sz w:val="20"/>
          <w:u w:val="none"/>
        </w:rPr>
        <w:t>other items</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 xml:space="preserve">See Notes to </w:t>
      </w:r>
      <w:r>
        <w:rPr>
          <w:rFonts w:ascii="Times New Roman" w:eastAsia="Times New Roman" w:hAnsi="Times New Roman" w:cs="Times New Roman"/>
          <w:b w:val="0"/>
          <w:i w:val="0"/>
          <w:color w:val="000000"/>
          <w:sz w:val="20"/>
          <w:u w:val="none"/>
        </w:rPr>
        <w:t>Condensed Consolidated</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Financial Statements</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 xml:space="preserve">Note </w:t>
      </w:r>
      <w:r>
        <w:rPr>
          <w:rFonts w:ascii="Times New Roman" w:eastAsia="Times New Roman" w:hAnsi="Times New Roman" w:cs="Times New Roman"/>
          <w:b w:val="0"/>
          <w:i w:val="0"/>
          <w:color w:val="000000"/>
          <w:sz w:val="20"/>
          <w:u w:val="none"/>
        </w:rPr>
        <w:t>2</w:t>
      </w:r>
      <w:r>
        <w:rPr>
          <w:rFonts w:ascii="Times New Roman" w:eastAsia="Times New Roman" w:hAnsi="Times New Roman" w:cs="Times New Roman"/>
          <w:b w:val="0"/>
          <w:i w:val="0"/>
          <w:color w:val="000000"/>
          <w:sz w:val="20"/>
          <w:u w:val="none"/>
        </w:rPr>
        <w:t xml:space="preserve">. Impairments and </w:t>
      </w:r>
      <w:r>
        <w:rPr>
          <w:rFonts w:ascii="Times New Roman" w:eastAsia="Times New Roman" w:hAnsi="Times New Roman" w:cs="Times New Roman"/>
          <w:b w:val="0"/>
          <w:i w:val="0"/>
          <w:color w:val="000000"/>
          <w:sz w:val="20"/>
          <w:u w:val="none"/>
        </w:rPr>
        <w:t>Ot</w:t>
      </w:r>
      <w:r>
        <w:rPr>
          <w:rFonts w:ascii="Times New Roman" w:eastAsia="Times New Roman" w:hAnsi="Times New Roman" w:cs="Times New Roman"/>
          <w:b w:val="0"/>
          <w:i w:val="0"/>
          <w:color w:val="000000"/>
          <w:sz w:val="20"/>
          <w:u w:val="none"/>
        </w:rPr>
        <w:t xml:space="preserve">her </w:t>
      </w:r>
      <w:r>
        <w:rPr>
          <w:rFonts w:ascii="Times New Roman" w:eastAsia="Times New Roman" w:hAnsi="Times New Roman" w:cs="Times New Roman"/>
          <w:b w:val="0"/>
          <w:i w:val="0"/>
          <w:color w:val="000000"/>
          <w:sz w:val="20"/>
          <w:u w:val="none"/>
        </w:rPr>
        <w:t>C</w:t>
      </w:r>
      <w:r>
        <w:rPr>
          <w:rFonts w:ascii="Times New Roman" w:eastAsia="Times New Roman" w:hAnsi="Times New Roman" w:cs="Times New Roman"/>
          <w:b w:val="0"/>
          <w:i w:val="0"/>
          <w:color w:val="000000"/>
          <w:sz w:val="20"/>
          <w:u w:val="none"/>
        </w:rPr>
        <w:t xml:space="preserve">harges </w:t>
      </w:r>
      <w:r>
        <w:rPr>
          <w:rFonts w:ascii="Times New Roman" w:eastAsia="Times New Roman" w:hAnsi="Times New Roman" w:cs="Times New Roman"/>
          <w:b w:val="0"/>
          <w:i w:val="0"/>
          <w:color w:val="000000"/>
          <w:sz w:val="20"/>
          <w:u w:val="none"/>
        </w:rPr>
        <w:t>for further discussion of these charges.</w:t>
      </w:r>
    </w:p>
    <w:p>
      <w:pPr>
        <w:keepNext w:val="0"/>
        <w:keepLines w:val="0"/>
        <w:pageBreakBefore w:val="0"/>
        <w:widowControl/>
        <w:numPr>
          <w:ilvl w:val="0"/>
          <w:numId w:val="0"/>
        </w:numPr>
        <w:spacing w:before="0" w:after="160" w:line="288" w:lineRule="auto"/>
        <w:ind w:left="0" w:right="0" w:firstLine="0"/>
        <w:jc w:val="left"/>
        <w:outlineLvl w:val="9"/>
        <w:rPr>
          <w:rFonts w:ascii="Times New Roman" w:eastAsia="Times New Roman" w:hAnsi="Times New Roman" w:cs="Times New Roman"/>
          <w:b/>
          <w:i/>
          <w:sz w:val="20"/>
        </w:rPr>
      </w:pPr>
      <w:r>
        <w:rPr>
          <w:rFonts w:ascii="Times New Roman" w:eastAsia="Times New Roman" w:hAnsi="Times New Roman" w:cs="Times New Roman"/>
          <w:b/>
          <w:i/>
          <w:color w:val="000000"/>
          <w:sz w:val="20"/>
          <w:u w:val="none"/>
        </w:rPr>
        <w:t>Nonoperating Items</w:t>
      </w:r>
    </w:p>
    <w:p>
      <w:pPr>
        <w:keepNext/>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sz w:val="20"/>
        </w:rPr>
      </w:pPr>
      <w:r>
        <w:rPr>
          <w:rFonts w:ascii="Times New Roman" w:eastAsia="Times New Roman" w:hAnsi="Times New Roman" w:cs="Times New Roman"/>
          <w:b w:val="0"/>
          <w:i/>
          <w:color w:val="000000"/>
          <w:sz w:val="20"/>
          <w:u w:val="none"/>
        </w:rPr>
        <w:t>Argentina Impairment on Investment.</w:t>
      </w:r>
      <w:r>
        <w:rPr>
          <w:rFonts w:ascii="Times New Roman" w:eastAsia="Times New Roman" w:hAnsi="Times New Roman" w:cs="Times New Roman"/>
          <w:b w:val="0"/>
          <w:i w:val="0"/>
          <w:color w:val="000000"/>
          <w:sz w:val="20"/>
          <w:u w:val="none"/>
        </w:rPr>
        <w:t xml:space="preserve"> In 2022 and 2023, we executed a series of loans to a third party and received notes that are to be repaid in U.S. dollars upon maturity or earlier if certain conditions are met. </w:t>
      </w:r>
      <w:r>
        <w:rPr>
          <w:rFonts w:ascii="Times New Roman" w:eastAsia="Times New Roman" w:hAnsi="Times New Roman" w:cs="Times New Roman"/>
          <w:b w:val="0"/>
          <w:i w:val="0"/>
          <w:color w:val="000000"/>
          <w:sz w:val="20"/>
          <w:u w:val="none"/>
        </w:rPr>
        <w:t xml:space="preserve">During the </w:t>
      </w:r>
      <w:r>
        <w:rPr>
          <w:rFonts w:ascii="Times New Roman" w:eastAsia="Times New Roman" w:hAnsi="Times New Roman" w:cs="Times New Roman"/>
          <w:b w:val="0"/>
          <w:i w:val="0"/>
          <w:color w:val="000000"/>
          <w:sz w:val="20"/>
          <w:u w:val="none"/>
        </w:rPr>
        <w:t>three months ended</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March 31, 2024</w:t>
      </w:r>
      <w:r>
        <w:rPr>
          <w:rFonts w:ascii="Times New Roman" w:eastAsia="Times New Roman" w:hAnsi="Times New Roman" w:cs="Times New Roman"/>
          <w:b w:val="0"/>
          <w:i w:val="0"/>
          <w:color w:val="000000"/>
          <w:sz w:val="20"/>
          <w:u w:val="none"/>
        </w:rPr>
        <w:t xml:space="preserve">, we recorded a loss of $38 million due to the fair value decrease in one of the notes in March 2024, resulting from the deterioration in the outlook of the debtor’s liquidity and financial projections. This is </w:t>
      </w:r>
      <w:r>
        <w:rPr>
          <w:rFonts w:ascii="Times New Roman" w:eastAsia="Times New Roman" w:hAnsi="Times New Roman" w:cs="Times New Roman"/>
          <w:b w:val="0"/>
          <w:i w:val="0"/>
          <w:color w:val="000000"/>
          <w:sz w:val="20"/>
          <w:u w:val="none"/>
        </w:rPr>
        <w:t>included in “Other, net” on the consolidated statements of operations.</w:t>
      </w:r>
    </w:p>
    <w:p>
      <w:pPr>
        <w:keepNext/>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color w:val="000000"/>
          <w:sz w:val="20"/>
          <w:u w:val="none"/>
        </w:rPr>
        <w:t>Egypt Currency Impact.</w:t>
      </w:r>
      <w:r>
        <w:rPr>
          <w:rFonts w:ascii="Times New Roman" w:eastAsia="Times New Roman" w:hAnsi="Times New Roman" w:cs="Times New Roman"/>
          <w:b w:val="0"/>
          <w:i w:val="0"/>
          <w:color w:val="000000"/>
          <w:sz w:val="20"/>
          <w:u w:val="none"/>
        </w:rPr>
        <w:t xml:space="preserve"> In the first quarter of 2024, the Egyptian pound devalued by approximately 35% relative to the U.S. dollar. Consequently, we incurred a loss of</w:t>
      </w:r>
      <w:r>
        <w:rPr>
          <w:rFonts w:ascii="Times New Roman" w:eastAsia="Times New Roman" w:hAnsi="Times New Roman" w:cs="Times New Roman"/>
          <w:b w:val="0"/>
          <w:i w:val="0"/>
          <w:color w:val="000000"/>
          <w:sz w:val="20"/>
          <w:u w:val="none"/>
        </w:rPr>
        <w:t xml:space="preserve"> $3</w:t>
      </w:r>
      <w:r>
        <w:rPr>
          <w:rFonts w:ascii="Times New Roman" w:eastAsia="Times New Roman" w:hAnsi="Times New Roman" w:cs="Times New Roman"/>
          <w:b w:val="0"/>
          <w:i w:val="0"/>
          <w:color w:val="000000"/>
          <w:sz w:val="20"/>
          <w:u w:val="none"/>
        </w:rPr>
        <w:t>8</w:t>
      </w:r>
      <w:r>
        <w:rPr>
          <w:rFonts w:ascii="Times New Roman" w:eastAsia="Times New Roman" w:hAnsi="Times New Roman" w:cs="Times New Roman"/>
          <w:b w:val="0"/>
          <w:i w:val="0"/>
          <w:color w:val="000000"/>
          <w:sz w:val="20"/>
          <w:u w:val="none"/>
        </w:rPr>
        <w:t xml:space="preserve"> m</w:t>
      </w:r>
      <w:r>
        <w:rPr>
          <w:rFonts w:ascii="Times New Roman" w:eastAsia="Times New Roman" w:hAnsi="Times New Roman" w:cs="Times New Roman"/>
          <w:b w:val="0"/>
          <w:i w:val="0"/>
          <w:color w:val="000000"/>
          <w:sz w:val="20"/>
          <w:u w:val="none"/>
        </w:rPr>
        <w:t xml:space="preserve">illion during the </w:t>
      </w:r>
      <w:r>
        <w:rPr>
          <w:rFonts w:ascii="Times New Roman" w:eastAsia="Times New Roman" w:hAnsi="Times New Roman" w:cs="Times New Roman"/>
          <w:b w:val="0"/>
          <w:i w:val="0"/>
          <w:color w:val="000000"/>
          <w:sz w:val="20"/>
          <w:u w:val="none"/>
        </w:rPr>
        <w:t>three months ended</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March 31, 2024</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d</w:t>
      </w:r>
      <w:r>
        <w:rPr>
          <w:rFonts w:ascii="Times New Roman" w:eastAsia="Times New Roman" w:hAnsi="Times New Roman" w:cs="Times New Roman"/>
          <w:b w:val="0"/>
          <w:i w:val="0"/>
          <w:color w:val="000000"/>
          <w:sz w:val="20"/>
          <w:u w:val="none"/>
        </w:rPr>
        <w:t xml:space="preserve">ue to the devaluation of the currency in Egypt. This is </w:t>
      </w:r>
      <w:r>
        <w:rPr>
          <w:rFonts w:ascii="Times New Roman" w:eastAsia="Times New Roman" w:hAnsi="Times New Roman" w:cs="Times New Roman"/>
          <w:b w:val="0"/>
          <w:i w:val="0"/>
          <w:color w:val="000000"/>
          <w:sz w:val="20"/>
          <w:u w:val="none"/>
        </w:rPr>
        <w:t>included in “Other, net” on the consolidated statements of operations.</w:t>
      </w:r>
    </w:p>
    <w:p>
      <w:pPr>
        <w:keepNext w:val="0"/>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sz w:val="20"/>
        </w:rPr>
      </w:pPr>
      <w:r>
        <w:rPr>
          <w:rFonts w:ascii="Times New Roman" w:eastAsia="Times New Roman" w:hAnsi="Times New Roman" w:cs="Times New Roman"/>
          <w:b w:val="0"/>
          <w:i/>
          <w:color w:val="000000"/>
          <w:sz w:val="20"/>
          <w:u w:val="none"/>
        </w:rPr>
        <w:t>Income Tax Provision</w:t>
      </w:r>
      <w:r>
        <w:rPr>
          <w:rFonts w:ascii="Times New Roman" w:eastAsia="Times New Roman" w:hAnsi="Times New Roman" w:cs="Times New Roman"/>
          <w:b w:val="0"/>
          <w:i w:val="0"/>
          <w:color w:val="000000"/>
          <w:sz w:val="20"/>
          <w:u w:val="none"/>
        </w:rPr>
        <w:t>.</w:t>
      </w:r>
      <w:r>
        <w:rPr>
          <w:rFonts w:ascii="Times New Roman" w:eastAsia="Times New Roman" w:hAnsi="Times New Roman" w:cs="Times New Roman"/>
          <w:b w:val="0"/>
          <w:i w:val="0"/>
          <w:color w:val="000000"/>
          <w:sz w:val="20"/>
          <w:u w:val="none"/>
        </w:rPr>
        <w:t xml:space="preserve"> During the </w:t>
      </w:r>
      <w:r>
        <w:rPr>
          <w:rFonts w:ascii="Times New Roman" w:eastAsia="Times New Roman" w:hAnsi="Times New Roman" w:cs="Times New Roman"/>
          <w:b w:val="0"/>
          <w:i w:val="0"/>
          <w:color w:val="000000"/>
          <w:sz w:val="20"/>
          <w:u w:val="none"/>
        </w:rPr>
        <w:t>three months ended</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color w:val="000000"/>
          <w:sz w:val="20"/>
          <w:u w:val="none"/>
        </w:rPr>
        <w:t xml:space="preserve">, we recorded a total income tax provision of </w:t>
      </w:r>
      <w:r>
        <w:rPr>
          <w:rFonts w:ascii="Times New Roman" w:eastAsia="Times New Roman" w:hAnsi="Times New Roman" w:cs="Times New Roman"/>
          <w:b w:val="0"/>
          <w:i w:val="0"/>
          <w:color w:val="000000"/>
          <w:sz w:val="20"/>
          <w:u w:val="none"/>
        </w:rPr>
        <w:t>$103 million</w:t>
      </w:r>
      <w:r>
        <w:rPr>
          <w:rFonts w:ascii="Times New Roman" w:eastAsia="Times New Roman" w:hAnsi="Times New Roman" w:cs="Times New Roman"/>
          <w:b w:val="0"/>
          <w:i w:val="0"/>
          <w:color w:val="000000"/>
          <w:sz w:val="20"/>
          <w:u w:val="none"/>
        </w:rPr>
        <w:t xml:space="preserve"> on a pre-tax income of </w:t>
      </w:r>
      <w:r>
        <w:rPr>
          <w:rFonts w:ascii="Times New Roman" w:eastAsia="Times New Roman" w:hAnsi="Times New Roman" w:cs="Times New Roman"/>
          <w:b w:val="0"/>
          <w:i w:val="0"/>
          <w:color w:val="000000"/>
          <w:sz w:val="20"/>
          <w:u w:val="none"/>
        </w:rPr>
        <w:t>$306 million</w:t>
      </w:r>
      <w:r>
        <w:rPr>
          <w:rFonts w:ascii="Times New Roman" w:eastAsia="Times New Roman" w:hAnsi="Times New Roman" w:cs="Times New Roman"/>
          <w:b w:val="0"/>
          <w:i w:val="0"/>
          <w:color w:val="000000"/>
          <w:sz w:val="20"/>
          <w:u w:val="none"/>
        </w:rPr>
        <w:t xml:space="preserve">, resulting in an effective tax rate of </w:t>
      </w:r>
      <w:r>
        <w:rPr>
          <w:rFonts w:ascii="Times New Roman" w:eastAsia="Times New Roman" w:hAnsi="Times New Roman" w:cs="Times New Roman"/>
          <w:b w:val="0"/>
          <w:i w:val="0"/>
          <w:color w:val="000000"/>
          <w:sz w:val="20"/>
          <w:u w:val="none"/>
        </w:rPr>
        <w:t>33.7%</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fo</w:t>
      </w:r>
      <w:r>
        <w:rPr>
          <w:rFonts w:ascii="Times New Roman" w:eastAsia="Times New Roman" w:hAnsi="Times New Roman" w:cs="Times New Roman"/>
          <w:b w:val="0"/>
          <w:i w:val="0"/>
          <w:color w:val="000000"/>
          <w:sz w:val="20"/>
          <w:u w:val="none"/>
        </w:rPr>
        <w:t>r t</w:t>
      </w:r>
      <w:r>
        <w:rPr>
          <w:rFonts w:ascii="Times New Roman" w:eastAsia="Times New Roman" w:hAnsi="Times New Roman" w:cs="Times New Roman"/>
          <w:b w:val="0"/>
          <w:i w:val="0"/>
          <w:color w:val="000000"/>
          <w:sz w:val="20"/>
          <w:u w:val="none"/>
        </w:rPr>
        <w:t>he quarte</w:t>
      </w:r>
      <w:r>
        <w:rPr>
          <w:rFonts w:ascii="Times New Roman" w:eastAsia="Times New Roman" w:hAnsi="Times New Roman" w:cs="Times New Roman"/>
          <w:b w:val="0"/>
          <w:i w:val="0"/>
          <w:color w:val="000000"/>
          <w:sz w:val="20"/>
          <w:u w:val="none"/>
        </w:rPr>
        <w:t>r.</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The effective tax rate for this period was primarily impacted by the additional valuation allowance recognized on our deferred tax assets, which resulted from the pre-tax $356 million of impairments and other charges.</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 xml:space="preserve">During the </w:t>
      </w:r>
      <w:r>
        <w:rPr>
          <w:rFonts w:ascii="Times New Roman" w:eastAsia="Times New Roman" w:hAnsi="Times New Roman" w:cs="Times New Roman"/>
          <w:b w:val="0"/>
          <w:i w:val="0"/>
          <w:color w:val="000000"/>
          <w:sz w:val="20"/>
          <w:u w:val="none"/>
        </w:rPr>
        <w:t>three months ended</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March 31, 2024</w:t>
      </w:r>
      <w:r>
        <w:rPr>
          <w:rFonts w:ascii="Times New Roman" w:eastAsia="Times New Roman" w:hAnsi="Times New Roman" w:cs="Times New Roman"/>
          <w:b w:val="0"/>
          <w:i w:val="0"/>
          <w:color w:val="000000"/>
          <w:sz w:val="20"/>
          <w:u w:val="none"/>
        </w:rPr>
        <w:t xml:space="preserve">, we recorded a total income tax provision of </w:t>
      </w:r>
      <w:r>
        <w:rPr>
          <w:rFonts w:ascii="Times New Roman" w:eastAsia="Times New Roman" w:hAnsi="Times New Roman" w:cs="Times New Roman"/>
          <w:b w:val="0"/>
          <w:i w:val="0"/>
          <w:color w:val="000000"/>
          <w:sz w:val="20"/>
          <w:u w:val="none"/>
        </w:rPr>
        <w:t>$178 million</w:t>
      </w:r>
      <w:r>
        <w:rPr>
          <w:rFonts w:ascii="Times New Roman" w:eastAsia="Times New Roman" w:hAnsi="Times New Roman" w:cs="Times New Roman"/>
          <w:b w:val="0"/>
          <w:i w:val="0"/>
          <w:color w:val="000000"/>
          <w:sz w:val="20"/>
          <w:u w:val="none"/>
        </w:rPr>
        <w:t xml:space="preserve"> on a pre-tax income of </w:t>
      </w:r>
      <w:r>
        <w:rPr>
          <w:rFonts w:ascii="Times New Roman" w:eastAsia="Times New Roman" w:hAnsi="Times New Roman" w:cs="Times New Roman"/>
          <w:b w:val="0"/>
          <w:i w:val="0"/>
          <w:color w:val="000000"/>
          <w:sz w:val="20"/>
          <w:u w:val="none"/>
        </w:rPr>
        <w:t>$787 million</w:t>
      </w:r>
      <w:r>
        <w:rPr>
          <w:rFonts w:ascii="Times New Roman" w:eastAsia="Times New Roman" w:hAnsi="Times New Roman" w:cs="Times New Roman"/>
          <w:b w:val="0"/>
          <w:i w:val="0"/>
          <w:color w:val="000000"/>
          <w:sz w:val="20"/>
          <w:u w:val="none"/>
        </w:rPr>
        <w:t xml:space="preserve">, resulting in an effective tax rate of </w:t>
      </w:r>
      <w:r>
        <w:rPr>
          <w:rFonts w:ascii="Times New Roman" w:eastAsia="Times New Roman" w:hAnsi="Times New Roman" w:cs="Times New Roman"/>
          <w:b w:val="0"/>
          <w:i w:val="0"/>
          <w:color w:val="000000"/>
          <w:sz w:val="20"/>
          <w:u w:val="none"/>
        </w:rPr>
        <w:t>22.6%</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for the quarter.</w:t>
      </w:r>
    </w:p>
    <w:p>
      <w:pPr>
        <w:keepNext w:val="0"/>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i/>
          <w:color w:val="000000"/>
          <w:sz w:val="20"/>
          <w:u w:val="none"/>
          <w:shd w:val="clear" w:color="auto" w:fill="FFF7C3"/>
        </w:rPr>
      </w:pPr>
      <w:r>
        <w:rPr>
          <w:rFonts w:ascii="Times New Roman" w:eastAsia="Times New Roman" w:hAnsi="Times New Roman" w:cs="Times New Roman"/>
          <w:b w:val="0"/>
          <w:i/>
          <w:color w:val="000000"/>
          <w:sz w:val="20"/>
          <w:u w:val="none"/>
        </w:rPr>
        <w:t>Pillar Two</w:t>
      </w:r>
      <w:r>
        <w:rPr>
          <w:rFonts w:ascii="Times New Roman" w:eastAsia="Times New Roman" w:hAnsi="Times New Roman" w:cs="Times New Roman"/>
          <w:b w:val="0"/>
          <w:i/>
          <w:color w:val="000000"/>
          <w:sz w:val="20"/>
          <w:u w:val="none"/>
        </w:rPr>
        <w:t xml:space="preserve">. </w:t>
      </w:r>
      <w:r>
        <w:rPr>
          <w:rFonts w:ascii="Times New Roman" w:eastAsia="Times New Roman" w:hAnsi="Times New Roman" w:cs="Times New Roman"/>
          <w:b w:val="0"/>
          <w:i w:val="0"/>
          <w:color w:val="000000"/>
          <w:sz w:val="20"/>
          <w:u w:val="none"/>
        </w:rPr>
        <w:t>The Organization for Economic Co-operation and Development enacted model rules for a new global minimum tax framework, also known as Pillar Two, and certain governm</w:t>
      </w:r>
      <w:r>
        <w:rPr>
          <w:rFonts w:ascii="Times New Roman" w:eastAsia="Times New Roman" w:hAnsi="Times New Roman" w:cs="Times New Roman"/>
          <w:b w:val="0"/>
          <w:i w:val="0"/>
          <w:color w:val="000000"/>
          <w:sz w:val="20"/>
          <w:u w:val="none"/>
        </w:rPr>
        <w:t>ents globally have enacted, or are in the process of enacting, legislation considering these model rules. T</w:t>
      </w:r>
      <w:r>
        <w:rPr>
          <w:rFonts w:ascii="Times New Roman" w:eastAsia="Times New Roman" w:hAnsi="Times New Roman" w:cs="Times New Roman"/>
          <w:b w:val="0"/>
          <w:i w:val="0"/>
          <w:color w:val="000000"/>
          <w:sz w:val="20"/>
          <w:u w:val="none"/>
        </w:rPr>
        <w:t xml:space="preserve">hese rules did not have a material impact on our taxes for the </w:t>
      </w:r>
      <w:r>
        <w:rPr>
          <w:rFonts w:ascii="Times New Roman" w:eastAsia="Times New Roman" w:hAnsi="Times New Roman" w:cs="Times New Roman"/>
          <w:b w:val="0"/>
          <w:i w:val="0"/>
          <w:color w:val="000000"/>
          <w:sz w:val="20"/>
          <w:u w:val="none"/>
        </w:rPr>
        <w:t>three months ended</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color w:val="000000"/>
          <w:sz w:val="20"/>
          <w:u w:val="none"/>
        </w:rPr>
        <w:t>.</w:t>
      </w:r>
    </w:p>
    <w:p>
      <w:pPr>
        <w:keepNext/>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sz w:val="20"/>
        </w:rPr>
      </w:pPr>
      <w:r>
        <w:rPr>
          <w:rFonts w:ascii="Times New Roman" w:eastAsia="Times New Roman" w:hAnsi="Times New Roman" w:cs="Times New Roman"/>
          <w:b w:val="0"/>
          <w:i/>
          <w:color w:val="000000"/>
          <w:sz w:val="20"/>
          <w:u w:val="none"/>
        </w:rPr>
        <w:t>Internal Revenue Service Notice of Proposed Adjustment.</w:t>
      </w:r>
      <w:r>
        <w:rPr>
          <w:rFonts w:ascii="Times New Roman" w:eastAsia="Times New Roman" w:hAnsi="Times New Roman" w:cs="Times New Roman"/>
          <w:b w:val="0"/>
          <w:i/>
          <w:color w:val="000000"/>
          <w:sz w:val="20"/>
          <w:u w:val="none"/>
        </w:rPr>
        <w:t xml:space="preserve"> </w:t>
      </w:r>
      <w:r>
        <w:rPr>
          <w:rFonts w:ascii="Times New Roman" w:eastAsia="Times New Roman" w:hAnsi="Times New Roman" w:cs="Times New Roman"/>
          <w:b w:val="0"/>
          <w:i w:val="0"/>
          <w:color w:val="000000"/>
          <w:sz w:val="20"/>
          <w:u w:val="none"/>
        </w:rPr>
        <w:t xml:space="preserve">We are subject to taxes in the United States and in numerous jurisdictions where we operate or where our subsidiaries are organized. Our tax returns are routinely subject to examination by the taxing authorities in the jurisdictions where we file tax returns. In most cases we are no longer subject to examination by tax authorities for years </w:t>
      </w:r>
      <w:r>
        <w:rPr>
          <w:rFonts w:ascii="Times New Roman" w:eastAsia="Times New Roman" w:hAnsi="Times New Roman" w:cs="Times New Roman"/>
          <w:b w:val="0"/>
          <w:i w:val="0"/>
          <w:color w:val="000000"/>
          <w:sz w:val="20"/>
          <w:u w:val="none"/>
        </w:rPr>
        <w:t>before 201</w:t>
      </w:r>
      <w:r>
        <w:rPr>
          <w:rFonts w:ascii="Times New Roman" w:eastAsia="Times New Roman" w:hAnsi="Times New Roman" w:cs="Times New Roman"/>
          <w:b w:val="0"/>
          <w:i w:val="0"/>
          <w:color w:val="000000"/>
          <w:sz w:val="20"/>
          <w:u w:val="none"/>
        </w:rPr>
        <w:t>3</w:t>
      </w:r>
      <w:r>
        <w:rPr>
          <w:rFonts w:ascii="Times New Roman" w:eastAsia="Times New Roman" w:hAnsi="Times New Roman" w:cs="Times New Roman"/>
          <w:b w:val="0"/>
          <w:i w:val="0"/>
          <w:color w:val="000000"/>
          <w:sz w:val="20"/>
          <w:u w:val="none"/>
        </w:rPr>
        <w:t xml:space="preserve">. The only significant operating jurisdiction that has tax filings under review or subject to examination by the tax authorities is the United States. Our United States federal income tax filings for tax years 2016 through 2023, including carry back of 2016 net operating losses to 2014, are currently under review or remain open for review by the </w:t>
      </w:r>
      <w:r>
        <w:rPr>
          <w:rFonts w:ascii="Times New Roman" w:eastAsia="Times New Roman" w:hAnsi="Times New Roman" w:cs="Times New Roman"/>
          <w:b w:val="0"/>
          <w:i w:val="0"/>
          <w:color w:val="000000"/>
          <w:sz w:val="20"/>
          <w:u w:val="none"/>
        </w:rPr>
        <w:t>IRS.</w:t>
      </w:r>
    </w:p>
    <w:p>
      <w:pPr>
        <w:keepNext w:val="0"/>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On September 28, 2023, we received a NOPA from the IRS covering our 2016 U.S. tax return. The NOPA proposed an adjustment to reclassify approximately 95% of the $3.5 billion termination fee paid to Baker Hughes in 2016 from an ordinary expense deduction to a capital loss. The termination fee was paid to Baker Hughes under the merger agreement after antitrust regulators in multiple jurisdictions failed to approve our proposed merger. It is common commercial practice to include a termination fee in a merger agreement to compensate the target for damages incurred when the acquisition does not go forward. The IRS’s long-understood position at the time of the payment had been to treat such payments as an ordinary and necessary business expense. We strongly disagree with the proposed adjustment on both a factual and legal basis, and we plan to vigorously contest it. </w:t>
      </w:r>
    </w:p>
    <w:p>
      <w:pPr>
        <w:keepNext w:val="0"/>
        <w:keepLines w:val="0"/>
        <w:pageBreakBefore w:val="0"/>
        <w:widowControl/>
        <w:numPr>
          <w:ilvl w:val="0"/>
          <w:numId w:val="0"/>
        </w:numPr>
        <w:spacing w:before="0" w:after="16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We expect that resolving this dispute will take substantial time. In</w:t>
      </w:r>
      <w:r>
        <w:rPr>
          <w:rFonts w:ascii="Times New Roman" w:eastAsia="Times New Roman" w:hAnsi="Times New Roman" w:cs="Times New Roman"/>
          <w:b w:val="0"/>
          <w:i w:val="0"/>
          <w:color w:val="000000"/>
          <w:sz w:val="20"/>
          <w:u w:val="none"/>
        </w:rPr>
        <w:t xml:space="preserve"> 2023, we initiated the IRS administrative appeals process, which </w:t>
      </w:r>
      <w:r>
        <w:rPr>
          <w:rFonts w:ascii="Times New Roman" w:eastAsia="Times New Roman" w:hAnsi="Times New Roman" w:cs="Times New Roman"/>
          <w:b w:val="0"/>
          <w:i w:val="0"/>
          <w:color w:val="000000"/>
          <w:sz w:val="20"/>
          <w:u w:val="none"/>
        </w:rPr>
        <w:t>is ongoing</w:t>
      </w:r>
      <w:r>
        <w:rPr>
          <w:rFonts w:ascii="Times New Roman" w:eastAsia="Times New Roman" w:hAnsi="Times New Roman" w:cs="Times New Roman"/>
          <w:b w:val="0"/>
          <w:i w:val="0"/>
          <w:color w:val="000000"/>
          <w:sz w:val="20"/>
          <w:u w:val="none"/>
        </w:rPr>
        <w:t>. Failing a resolution through that process, the matter would ultimately be resolved by the United States federal courts.</w:t>
      </w:r>
    </w:p>
    <w:p>
      <w:pPr>
        <w:keepNext w:val="0"/>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We regularly assess the likelihood of adverse outcomes resulting from tax examinations to determine the adequacy of our tax reserves, and we believe our income tax reserves are appropriately provided for all open tax years. We cannot assure you that the matter will be determined in our favor or against us, and if the matter is ultimately determined unfavorably to us, it could have a material adverse impact on our results of operations and cash flows. Based on tax attributes currently available, we estimate that, should the IRS's position prevail through its appellate process and subsequent litigation, the proposed adjustment could result in cash taxes due of approximately </w:t>
      </w:r>
      <w:r>
        <w:rPr>
          <w:rFonts w:ascii="Times New Roman" w:eastAsia="Times New Roman" w:hAnsi="Times New Roman" w:cs="Times New Roman"/>
          <w:b w:val="0"/>
          <w:i w:val="0"/>
          <w:color w:val="000000"/>
          <w:sz w:val="20"/>
          <w:u w:val="none"/>
        </w:rPr>
        <w:t>$6</w:t>
      </w:r>
      <w:r>
        <w:rPr>
          <w:rFonts w:ascii="Times New Roman" w:eastAsia="Times New Roman" w:hAnsi="Times New Roman" w:cs="Times New Roman"/>
          <w:b w:val="0"/>
          <w:i w:val="0"/>
          <w:color w:val="000000"/>
          <w:sz w:val="20"/>
          <w:u w:val="none"/>
        </w:rPr>
        <w:t>4</w:t>
      </w:r>
      <w:r>
        <w:rPr>
          <w:rFonts w:ascii="Times New Roman" w:eastAsia="Times New Roman" w:hAnsi="Times New Roman" w:cs="Times New Roman"/>
          <w:b w:val="0"/>
          <w:i w:val="0"/>
          <w:color w:val="000000"/>
          <w:sz w:val="20"/>
          <w:u w:val="none"/>
        </w:rPr>
        <w:t>0</w:t>
      </w:r>
      <w:r>
        <w:rPr>
          <w:rFonts w:ascii="Times New Roman" w:eastAsia="Times New Roman" w:hAnsi="Times New Roman" w:cs="Times New Roman"/>
          <w:b w:val="0"/>
          <w:i w:val="0"/>
          <w:color w:val="000000"/>
          <w:sz w:val="20"/>
          <w:u w:val="none"/>
        </w:rPr>
        <w:t xml:space="preserve"> m</w:t>
      </w:r>
      <w:r>
        <w:rPr>
          <w:rFonts w:ascii="Times New Roman" w:eastAsia="Times New Roman" w:hAnsi="Times New Roman" w:cs="Times New Roman"/>
          <w:b w:val="0"/>
          <w:i w:val="0"/>
          <w:color w:val="000000"/>
          <w:sz w:val="20"/>
          <w:u w:val="none"/>
        </w:rPr>
        <w:t>illion</w:t>
      </w:r>
      <w:r>
        <w:rPr>
          <w:rFonts w:ascii="Times New Roman" w:eastAsia="Times New Roman" w:hAnsi="Times New Roman" w:cs="Times New Roman"/>
          <w:b w:val="0"/>
          <w:i w:val="0"/>
          <w:color w:val="000000"/>
          <w:sz w:val="20"/>
          <w:u w:val="none"/>
        </w:rPr>
        <w:t xml:space="preserve"> (plus interest thereon in the case of amounts due for previous tax years). Our estimates are calculated under current tax law and on the bases of our assumptions regarding taxable income and loss and other tax attributes over the relevant period, which law could change and which assumptions could and likely will differ materially from actual results. In any event, no payment of any additional tax is currently required, nor do we anticipate that the proposed adjustment would materially and adversely impact our ability to meet our expected uses of cash, including future capital expenditures, working capital investments, and scheduled debt repayments, or our ability to return cash to shareholders, even if a final determination of the matter is reached that is adverse to us.</w:t>
      </w:r>
    </w:p>
    <w:p>
      <w:pPr>
        <w:keepNext w:val="0"/>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i/>
          <w:sz w:val="20"/>
        </w:rPr>
        <w:sectPr>
          <w:headerReference w:type="default" r:id="rId94"/>
          <w:footerReference w:type="default" r:id="rId95"/>
          <w:headerReference w:type="first" r:id="rId96"/>
          <w:footerReference w:type="first" r:id="rId97"/>
          <w:pgSz w:w="12240" w:h="15840"/>
          <w:pgMar w:top="855" w:right="990" w:bottom="765" w:left="990" w:header="270" w:footer="270"/>
          <w:cols w:space="708"/>
          <w:titlePg/>
        </w:sectPr>
      </w:pPr>
    </w:p>
    <w:p>
      <w:pPr>
        <w:keepNext/>
        <w:keepLines/>
        <w:pageBreakBefore w:val="0"/>
        <w:widowControl w:val="0"/>
        <w:numPr>
          <w:ilvl w:val="0"/>
          <w:numId w:val="0"/>
        </w:numPr>
        <w:spacing w:before="0" w:after="160" w:line="288" w:lineRule="auto"/>
        <w:ind w:left="0" w:right="0" w:firstLine="0"/>
        <w:jc w:val="left"/>
        <w:outlineLvl w:val="1"/>
        <w:rPr>
          <w:rFonts w:ascii="Times New Roman" w:eastAsia="Times New Roman" w:hAnsi="Times New Roman" w:cs="Times New Roman"/>
          <w:b/>
          <w:i w:val="0"/>
          <w:sz w:val="20"/>
        </w:rPr>
      </w:pPr>
      <w:bookmarkStart w:id="45" w:name="Section46"/>
      <w:bookmarkEnd w:id="45"/>
      <w:r>
        <w:rPr>
          <w:rFonts w:ascii="Times New Roman" w:eastAsia="Times New Roman" w:hAnsi="Times New Roman" w:cs="Times New Roman"/>
          <w:b/>
          <w:i w:val="0"/>
          <w:sz w:val="20"/>
        </w:rPr>
        <w:t>FORWARD-LOOKING INFORMATION</w:t>
      </w:r>
    </w:p>
    <w:p>
      <w:pPr>
        <w:keepNext w:val="0"/>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The Private Securities Litigation Reform Act of 1995 provides safe harbor provisions for forward-looking information. Forward-looking information is based on projections and estimates, not historical information. Some statements in this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20"/>
        </w:rPr>
        <w:t xml:space="preserve"> are forward-looking and use words like “may,” “may not,” “believe,” “do not believe,” “plan,” “estimate,” “intend,” “expect,” “do not expect,” “anticipate,” “do not anticipate,” “should,” “likely,” and other expressions. We may also provide oral or written forward-looking information in our statements and other materials we release to the public. Forward-looking information involves risks and uncertainties and reflects our best judgment based on current information. Our results of operations can be affected by inaccurate assumptions we make or by known or unknown risks and uncertainties. In addition, other factors may affect the accuracy of our forward-looking information. As a result, no forward-looking information can be guaranteed. Actual events and the results of our operations may vary materially.</w:t>
      </w:r>
    </w:p>
    <w:p>
      <w:pPr>
        <w:keepNext w:val="0"/>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do not assume any responsibility to publicly update any of our forward-looking statements regardless of whether factors change as a result of new information, future events, or for any other reason. You should review any additional disclosures we make in our press releases and Forms 10-K, 10-Q, and 8-K filed with or furnished to the SEC. We also suggest that you listen to our quarterly earnings release conference calls with financial analysts.</w:t>
      </w:r>
    </w:p>
    <w:p>
      <w:pPr>
        <w:keepNext w:val="0"/>
        <w:keepLines/>
        <w:pageBreakBefore w:val="0"/>
        <w:widowControl w:val="0"/>
        <w:numPr>
          <w:ilvl w:val="0"/>
          <w:numId w:val="0"/>
        </w:numPr>
        <w:spacing w:before="0" w:after="160" w:line="288" w:lineRule="auto"/>
        <w:ind w:left="0" w:right="0" w:firstLine="720"/>
        <w:jc w:val="both"/>
        <w:outlineLvl w:val="9"/>
        <w:sectPr>
          <w:headerReference w:type="default" r:id="rId98"/>
          <w:footerReference w:type="default" r:id="rId99"/>
          <w:headerReference w:type="first" r:id="rId100"/>
          <w:footerReference w:type="first" r:id="rId101"/>
          <w:pgSz w:w="12240" w:h="15840"/>
          <w:pgMar w:top="900" w:right="990" w:bottom="900" w:left="990" w:header="270" w:footer="270"/>
          <w:cols w:space="708"/>
          <w:titlePg/>
        </w:sectPr>
      </w:pPr>
    </w:p>
    <w:p>
      <w:pPr>
        <w:keepNext/>
        <w:keepLines/>
        <w:pageBreakBefore w:val="0"/>
        <w:widowControl w:val="0"/>
        <w:numPr>
          <w:ilvl w:val="0"/>
          <w:numId w:val="0"/>
        </w:numPr>
        <w:spacing w:before="0" w:after="160" w:line="288" w:lineRule="auto"/>
        <w:ind w:left="0" w:right="0" w:firstLine="0"/>
        <w:jc w:val="left"/>
        <w:outlineLvl w:val="0"/>
        <w:rPr>
          <w:rFonts w:ascii="Times New Roman" w:eastAsia="Times New Roman" w:hAnsi="Times New Roman" w:cs="Times New Roman"/>
          <w:b/>
          <w:i w:val="0"/>
          <w:sz w:val="20"/>
        </w:rPr>
      </w:pPr>
      <w:bookmarkStart w:id="46" w:name="Section47"/>
      <w:bookmarkEnd w:id="46"/>
      <w:r>
        <w:rPr>
          <w:rFonts w:ascii="Times New Roman" w:eastAsia="Times New Roman" w:hAnsi="Times New Roman" w:cs="Times New Roman"/>
          <w:b/>
          <w:i w:val="0"/>
          <w:color w:val="000000"/>
          <w:sz w:val="20"/>
          <w:u w:val="none"/>
        </w:rPr>
        <w:t>Item 3.</w:t>
      </w:r>
      <w:r>
        <w:rPr>
          <w:rFonts w:ascii="Times New Roman" w:eastAsia="Times New Roman" w:hAnsi="Times New Roman" w:cs="Times New Roman"/>
          <w:b/>
          <w:i w:val="0"/>
          <w:sz w:val="20"/>
        </w:rPr>
        <w:t xml:space="preserve"> </w:t>
      </w:r>
      <w:r>
        <w:rPr>
          <w:rFonts w:ascii="Times New Roman" w:eastAsia="Times New Roman" w:hAnsi="Times New Roman" w:cs="Times New Roman"/>
          <w:b/>
          <w:i w:val="0"/>
          <w:sz w:val="20"/>
        </w:rPr>
        <w:t>Quantitative and Qualitative Disclosures About Market Risk</w:t>
      </w:r>
    </w:p>
    <w:p>
      <w:pPr>
        <w:keepNext w:val="0"/>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For quantitative and qualitative disclosures about market risk, see Part II, Item 7(a), “Quantitative and Qualitative Disclosures About Market Risk,” in our </w:t>
      </w:r>
      <w:r>
        <w:rPr>
          <w:rFonts w:ascii="Times New Roman" w:eastAsia="Times New Roman" w:hAnsi="Times New Roman" w:cs="Times New Roman"/>
          <w:b w:val="0"/>
          <w:i w:val="0"/>
          <w:color w:val="000000"/>
          <w:sz w:val="20"/>
          <w:u w:val="none"/>
        </w:rPr>
        <w:t>2024</w:t>
      </w:r>
      <w:r>
        <w:rPr>
          <w:rFonts w:ascii="Times New Roman" w:eastAsia="Times New Roman" w:hAnsi="Times New Roman" w:cs="Times New Roman"/>
          <w:b w:val="0"/>
          <w:i w:val="0"/>
          <w:sz w:val="20"/>
        </w:rPr>
        <w:t xml:space="preserve"> Annual Report on Form 10-K. Our exposure to market risk has not changed materially since </w:t>
      </w:r>
      <w:r>
        <w:rPr>
          <w:rFonts w:ascii="Times New Roman" w:eastAsia="Times New Roman" w:hAnsi="Times New Roman" w:cs="Times New Roman"/>
          <w:b w:val="0"/>
          <w:i w:val="0"/>
          <w:color w:val="000000"/>
          <w:sz w:val="20"/>
          <w:u w:val="none"/>
        </w:rPr>
        <w:t>December 31, 2024</w:t>
      </w:r>
      <w:r>
        <w:rPr>
          <w:rFonts w:ascii="Times New Roman" w:eastAsia="Times New Roman" w:hAnsi="Times New Roman" w:cs="Times New Roman"/>
          <w:b w:val="0"/>
          <w:i w:val="0"/>
          <w:sz w:val="20"/>
        </w:rPr>
        <w:t>.</w:t>
      </w:r>
    </w:p>
    <w:p>
      <w:pPr>
        <w:keepNext w:val="0"/>
        <w:keepLines/>
        <w:pageBreakBefore w:val="0"/>
        <w:widowControl w:val="0"/>
        <w:numPr>
          <w:ilvl w:val="0"/>
          <w:numId w:val="0"/>
        </w:numPr>
        <w:spacing w:before="0" w:after="160" w:line="288" w:lineRule="auto"/>
        <w:ind w:left="0" w:right="0" w:firstLine="720"/>
        <w:jc w:val="both"/>
        <w:outlineLvl w:val="9"/>
        <w:sectPr>
          <w:headerReference w:type="default" r:id="rId102"/>
          <w:footerReference w:type="default" r:id="rId103"/>
          <w:headerReference w:type="first" r:id="rId104"/>
          <w:footerReference w:type="first" r:id="rId105"/>
          <w:type w:val="continuous"/>
          <w:pgSz w:w="12240" w:h="15840"/>
          <w:pgMar w:top="900" w:right="990" w:bottom="900" w:left="990" w:header="270" w:footer="270"/>
          <w:cols w:space="708"/>
          <w:titlePg/>
        </w:sectPr>
      </w:pPr>
    </w:p>
    <w:p>
      <w:pPr>
        <w:keepNext/>
        <w:keepLines/>
        <w:pageBreakBefore w:val="0"/>
        <w:widowControl w:val="0"/>
        <w:numPr>
          <w:ilvl w:val="0"/>
          <w:numId w:val="0"/>
        </w:numPr>
        <w:spacing w:before="0" w:after="160" w:line="288" w:lineRule="auto"/>
        <w:ind w:left="0" w:right="0" w:firstLine="0"/>
        <w:jc w:val="left"/>
        <w:outlineLvl w:val="0"/>
        <w:rPr>
          <w:rFonts w:ascii="Times New Roman" w:eastAsia="Times New Roman" w:hAnsi="Times New Roman" w:cs="Times New Roman"/>
          <w:b/>
          <w:i w:val="0"/>
          <w:sz w:val="20"/>
        </w:rPr>
      </w:pPr>
      <w:bookmarkStart w:id="47" w:name="Section48"/>
      <w:bookmarkEnd w:id="47"/>
      <w:r>
        <w:rPr>
          <w:rFonts w:ascii="Times New Roman" w:eastAsia="Times New Roman" w:hAnsi="Times New Roman" w:cs="Times New Roman"/>
          <w:b/>
          <w:i w:val="0"/>
          <w:color w:val="000000"/>
          <w:sz w:val="20"/>
          <w:u w:val="none"/>
        </w:rPr>
        <w:t>Item 4.</w:t>
      </w:r>
      <w:r>
        <w:rPr>
          <w:rFonts w:ascii="Times New Roman" w:eastAsia="Times New Roman" w:hAnsi="Times New Roman" w:cs="Times New Roman"/>
          <w:b/>
          <w:i w:val="0"/>
          <w:sz w:val="20"/>
        </w:rPr>
        <w:t xml:space="preserve"> </w:t>
      </w:r>
      <w:r>
        <w:rPr>
          <w:rFonts w:ascii="Times New Roman" w:eastAsia="Times New Roman" w:hAnsi="Times New Roman" w:cs="Times New Roman"/>
          <w:b/>
          <w:i w:val="0"/>
          <w:sz w:val="20"/>
        </w:rPr>
        <w:t>Controls and Procedures</w:t>
      </w:r>
    </w:p>
    <w:p>
      <w:pPr>
        <w:keepNext/>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In accordance with the Securities Exchange Act of 1934 Rules 13a-15 and 15d-15, we carried out an evaluation, under the supervision and with the participation of management, including our Chief Executive Officer and Chief Financial Officer, of the effectiveness of our disclosure controls and procedures as of the end of the period covered by this report. Based on that evaluation, our Chief Executive Officer and Chief Financial Officer concluded that our disclosure controls and procedures were effective as of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sz w:val="20"/>
        </w:rPr>
        <w:t xml:space="preserve"> to provide reasonable assurance that information required to be disclosed in our reports filed or submitted under the Exchange Act is recorded, processed, summarized, and reported within the time periods specified in the Securities and Exchange Commission’s rules and forms. Our disclosure controls and procedures include controls and procedures designed to ensure that information required to be disclosed in reports filed or submitted under the Exchange Act is accumulated and communicated to our management, including our Chief Executive Officer and Chief Financial Officer, as appropriate, to allow timely decisions regarding required disclosure.</w:t>
      </w:r>
    </w:p>
    <w:p>
      <w:pPr>
        <w:keepNext w:val="0"/>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There has been no change in our internal control over financial reporting that occurred during the quarter ended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sz w:val="20"/>
        </w:rPr>
        <w:t xml:space="preserve"> that has materially affected, or is reasonably likely to materially affect, our internal control over financial reporting.</w:t>
      </w:r>
    </w:p>
    <w:p>
      <w:pPr>
        <w:keepNext w:val="0"/>
        <w:keepLines/>
        <w:pageBreakBefore w:val="0"/>
        <w:widowControl w:val="0"/>
        <w:numPr>
          <w:ilvl w:val="0"/>
          <w:numId w:val="0"/>
        </w:numPr>
        <w:spacing w:before="0" w:after="160" w:line="288" w:lineRule="auto"/>
        <w:ind w:left="0" w:right="0" w:firstLine="720"/>
        <w:jc w:val="both"/>
        <w:outlineLvl w:val="9"/>
        <w:sectPr>
          <w:headerReference w:type="default" r:id="rId106"/>
          <w:footerReference w:type="default" r:id="rId107"/>
          <w:headerReference w:type="first" r:id="rId108"/>
          <w:footerReference w:type="first" r:id="rId109"/>
          <w:type w:val="continuous"/>
          <w:pgSz w:w="12240" w:h="15840"/>
          <w:pgMar w:top="900" w:right="990" w:bottom="900" w:left="990" w:header="270" w:footer="270"/>
          <w:cols w:space="708"/>
          <w:titlePg/>
        </w:sectPr>
      </w:pPr>
    </w:p>
    <w:p>
      <w:pPr>
        <w:keepNext w:val="0"/>
        <w:keepLines w:val="0"/>
        <w:pageBreakBefore w:val="0"/>
        <w:widowControl/>
        <w:numPr>
          <w:ilvl w:val="0"/>
          <w:numId w:val="0"/>
        </w:numPr>
        <w:spacing w:before="0" w:after="160" w:line="288" w:lineRule="auto"/>
        <w:ind w:left="0" w:right="0" w:firstLine="0"/>
        <w:jc w:val="left"/>
        <w:outlineLvl w:val="0"/>
        <w:rPr>
          <w:rFonts w:ascii="Times New Roman" w:eastAsia="Times New Roman" w:hAnsi="Times New Roman" w:cs="Times New Roman"/>
          <w:b/>
          <w:i w:val="0"/>
          <w:sz w:val="20"/>
        </w:rPr>
      </w:pPr>
      <w:bookmarkStart w:id="48" w:name="Section49"/>
      <w:bookmarkEnd w:id="48"/>
      <w:r>
        <w:rPr>
          <w:rFonts w:ascii="Times New Roman" w:eastAsia="Times New Roman" w:hAnsi="Times New Roman" w:cs="Times New Roman"/>
          <w:b/>
          <w:i w:val="0"/>
          <w:sz w:val="20"/>
        </w:rPr>
        <w:t>PART II.</w:t>
      </w:r>
      <w:r>
        <w:rPr>
          <w:rFonts w:ascii="Times New Roman" w:eastAsia="Times New Roman" w:hAnsi="Times New Roman" w:cs="Times New Roman"/>
          <w:b/>
          <w:i w:val="0"/>
          <w:sz w:val="20"/>
        </w:rPr>
        <w:t xml:space="preserve"> </w:t>
      </w:r>
      <w:r>
        <w:rPr>
          <w:rFonts w:ascii="Times New Roman" w:eastAsia="Times New Roman" w:hAnsi="Times New Roman" w:cs="Times New Roman"/>
          <w:b/>
          <w:i w:val="0"/>
          <w:sz w:val="20"/>
        </w:rPr>
        <w:t>OTHER INFORMATION</w:t>
      </w:r>
    </w:p>
    <w:p>
      <w:pPr>
        <w:keepNext w:val="0"/>
        <w:keepLines w:val="0"/>
        <w:pageBreakBefore w:val="0"/>
        <w:widowControl/>
        <w:numPr>
          <w:ilvl w:val="0"/>
          <w:numId w:val="0"/>
        </w:numPr>
        <w:spacing w:before="0" w:after="160" w:line="288" w:lineRule="auto"/>
        <w:ind w:left="0" w:right="0" w:firstLine="0"/>
        <w:jc w:val="left"/>
        <w:outlineLvl w:val="0"/>
        <w:sectPr>
          <w:headerReference w:type="default" r:id="rId110"/>
          <w:footerReference w:type="default" r:id="rId111"/>
          <w:headerReference w:type="first" r:id="rId112"/>
          <w:footerReference w:type="first" r:id="rId113"/>
          <w:type w:val="continuous"/>
          <w:pgSz w:w="12240" w:h="15840"/>
          <w:pgMar w:top="900" w:right="990" w:bottom="900" w:left="990" w:header="270" w:footer="270"/>
          <w:cols w:space="708"/>
          <w:titlePg/>
        </w:sectPr>
      </w:pPr>
    </w:p>
    <w:p>
      <w:pPr>
        <w:keepNext w:val="0"/>
        <w:keepLines/>
        <w:pageBreakBefore w:val="0"/>
        <w:widowControl w:val="0"/>
        <w:numPr>
          <w:ilvl w:val="0"/>
          <w:numId w:val="0"/>
        </w:numPr>
        <w:spacing w:before="0" w:after="160" w:line="288" w:lineRule="auto"/>
        <w:ind w:left="0" w:right="0" w:firstLine="0"/>
        <w:jc w:val="left"/>
        <w:outlineLvl w:val="1"/>
        <w:rPr>
          <w:rFonts w:ascii="Times New Roman" w:eastAsia="Times New Roman" w:hAnsi="Times New Roman" w:cs="Times New Roman"/>
          <w:b/>
          <w:i w:val="0"/>
          <w:sz w:val="20"/>
        </w:rPr>
      </w:pPr>
      <w:bookmarkStart w:id="49" w:name="Section50"/>
      <w:bookmarkEnd w:id="49"/>
      <w:r>
        <w:rPr>
          <w:rFonts w:ascii="Times New Roman" w:eastAsia="Times New Roman" w:hAnsi="Times New Roman" w:cs="Times New Roman"/>
          <w:b/>
          <w:i w:val="0"/>
          <w:color w:val="000000"/>
          <w:sz w:val="20"/>
          <w:u w:val="none"/>
        </w:rPr>
        <w:t>Item 1.</w:t>
      </w:r>
      <w:r>
        <w:rPr>
          <w:rFonts w:ascii="Times New Roman" w:eastAsia="Times New Roman" w:hAnsi="Times New Roman" w:cs="Times New Roman"/>
          <w:b/>
          <w:i w:val="0"/>
          <w:sz w:val="20"/>
        </w:rPr>
        <w:t xml:space="preserve"> </w:t>
      </w:r>
      <w:r>
        <w:rPr>
          <w:rFonts w:ascii="Times New Roman" w:eastAsia="Times New Roman" w:hAnsi="Times New Roman" w:cs="Times New Roman"/>
          <w:b/>
          <w:i w:val="0"/>
          <w:sz w:val="20"/>
        </w:rPr>
        <w:t>Legal Proceedings</w:t>
      </w:r>
    </w:p>
    <w:p>
      <w:pPr>
        <w:keepNext w:val="0"/>
        <w:keepLines w:val="0"/>
        <w:pageBreakBefore w:val="0"/>
        <w:widowControl/>
        <w:numPr>
          <w:ilvl w:val="0"/>
          <w:numId w:val="0"/>
        </w:numPr>
        <w:spacing w:before="0" w:after="16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Information related to Item </w:t>
      </w:r>
      <w:r>
        <w:rPr>
          <w:rFonts w:ascii="Times New Roman" w:eastAsia="Times New Roman" w:hAnsi="Times New Roman" w:cs="Times New Roman"/>
          <w:b w:val="0"/>
          <w:i w:val="0"/>
          <w:sz w:val="20"/>
        </w:rPr>
        <w:t>1</w:t>
      </w:r>
      <w:r>
        <w:rPr>
          <w:rFonts w:ascii="Times New Roman" w:eastAsia="Times New Roman" w:hAnsi="Times New Roman" w:cs="Times New Roman"/>
          <w:b w:val="0"/>
          <w:i w:val="0"/>
          <w:sz w:val="20"/>
        </w:rPr>
        <w:t xml:space="preserve">. Legal Proceedings is included in </w:t>
      </w:r>
      <w:r>
        <w:rPr>
          <w:rFonts w:ascii="Times New Roman" w:eastAsia="Times New Roman" w:hAnsi="Times New Roman" w:cs="Times New Roman"/>
          <w:b w:val="0"/>
          <w:i w:val="0"/>
          <w:sz w:val="20"/>
        </w:rPr>
        <w:t xml:space="preserve">Note </w:t>
      </w:r>
      <w:r>
        <w:rPr>
          <w:rFonts w:ascii="Times New Roman" w:eastAsia="Times New Roman" w:hAnsi="Times New Roman" w:cs="Times New Roman"/>
          <w:b w:val="0"/>
          <w:i w:val="0"/>
          <w:color w:val="000000"/>
          <w:sz w:val="20"/>
          <w:u w:val="none"/>
        </w:rPr>
        <w:t>9</w:t>
      </w:r>
      <w:r>
        <w:rPr>
          <w:rFonts w:ascii="Times New Roman" w:eastAsia="Times New Roman" w:hAnsi="Times New Roman" w:cs="Times New Roman"/>
          <w:b w:val="0"/>
          <w:i w:val="0"/>
          <w:sz w:val="20"/>
        </w:rPr>
        <w:t xml:space="preserve"> to the </w:t>
      </w:r>
      <w:r>
        <w:rPr>
          <w:rFonts w:ascii="Times New Roman" w:eastAsia="Times New Roman" w:hAnsi="Times New Roman" w:cs="Times New Roman"/>
          <w:b w:val="0"/>
          <w:i w:val="0"/>
          <w:color w:val="000000"/>
          <w:sz w:val="20"/>
          <w:u w:val="none"/>
        </w:rPr>
        <w:t>condensed</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consolidated financial statements.</w:t>
      </w:r>
    </w:p>
    <w:p>
      <w:pPr>
        <w:keepNext w:val="0"/>
        <w:keepLines w:val="0"/>
        <w:pageBreakBefore w:val="0"/>
        <w:widowControl/>
        <w:numPr>
          <w:ilvl w:val="0"/>
          <w:numId w:val="0"/>
        </w:numPr>
        <w:spacing w:before="0" w:after="160" w:line="288" w:lineRule="auto"/>
        <w:ind w:left="0" w:right="0" w:firstLine="720"/>
        <w:jc w:val="both"/>
        <w:outlineLvl w:val="9"/>
        <w:sectPr>
          <w:headerReference w:type="default" r:id="rId114"/>
          <w:footerReference w:type="default" r:id="rId115"/>
          <w:headerReference w:type="first" r:id="rId116"/>
          <w:footerReference w:type="first" r:id="rId117"/>
          <w:type w:val="continuous"/>
          <w:pgSz w:w="12240" w:h="15840"/>
          <w:pgMar w:top="900" w:right="990" w:bottom="900" w:left="990" w:header="270" w:footer="270"/>
          <w:cols w:space="708"/>
          <w:titlePg/>
        </w:sectPr>
      </w:pPr>
    </w:p>
    <w:p>
      <w:pPr>
        <w:keepNext w:val="0"/>
        <w:keepLines w:val="0"/>
        <w:pageBreakBefore w:val="0"/>
        <w:widowControl w:val="0"/>
        <w:numPr>
          <w:ilvl w:val="0"/>
          <w:numId w:val="0"/>
        </w:numPr>
        <w:spacing w:before="0" w:after="160" w:line="288" w:lineRule="auto"/>
        <w:ind w:left="0" w:right="0" w:firstLine="0"/>
        <w:jc w:val="left"/>
        <w:outlineLvl w:val="1"/>
        <w:rPr>
          <w:rFonts w:ascii="Times New Roman" w:eastAsia="Times New Roman" w:hAnsi="Times New Roman" w:cs="Times New Roman"/>
          <w:b/>
          <w:i w:val="0"/>
          <w:sz w:val="20"/>
        </w:rPr>
      </w:pPr>
      <w:bookmarkStart w:id="50" w:name="Section51"/>
      <w:bookmarkEnd w:id="50"/>
      <w:r>
        <w:rPr>
          <w:rFonts w:ascii="Times New Roman" w:eastAsia="Times New Roman" w:hAnsi="Times New Roman" w:cs="Times New Roman"/>
          <w:b/>
          <w:i w:val="0"/>
          <w:color w:val="000000"/>
          <w:sz w:val="20"/>
          <w:u w:val="none"/>
        </w:rPr>
        <w:t>Item 1(a).</w:t>
      </w:r>
      <w:r>
        <w:rPr>
          <w:rFonts w:ascii="Times New Roman" w:eastAsia="Times New Roman" w:hAnsi="Times New Roman" w:cs="Times New Roman"/>
          <w:b/>
          <w:i w:val="0"/>
          <w:color w:val="000000"/>
          <w:sz w:val="20"/>
          <w:u w:val="none"/>
        </w:rPr>
        <w:t xml:space="preserve"> </w:t>
      </w:r>
      <w:r>
        <w:rPr>
          <w:rFonts w:ascii="Times New Roman" w:eastAsia="Times New Roman" w:hAnsi="Times New Roman" w:cs="Times New Roman"/>
          <w:b/>
          <w:i w:val="0"/>
          <w:color w:val="000000"/>
          <w:sz w:val="20"/>
          <w:u w:val="none"/>
        </w:rPr>
        <w:t>Risk Factors</w:t>
      </w:r>
    </w:p>
    <w:p>
      <w:pPr>
        <w:keepNext w:val="0"/>
        <w:keepLines w:val="0"/>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i w:val="0"/>
          <w:sz w:val="20"/>
        </w:rPr>
      </w:pPr>
      <w:r>
        <w:rPr>
          <w:rFonts w:ascii="Times New Roman" w:eastAsia="Times New Roman" w:hAnsi="Times New Roman" w:cs="Times New Roman"/>
          <w:b w:val="0"/>
          <w:i w:val="0"/>
          <w:sz w:val="20"/>
        </w:rPr>
        <w:t>The statements in this section describe the known material risks to our business and should be considered carefully.</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A</w:t>
      </w:r>
      <w:r>
        <w:rPr>
          <w:rFonts w:ascii="Times New Roman" w:eastAsia="Times New Roman" w:hAnsi="Times New Roman" w:cs="Times New Roman"/>
          <w:b w:val="0"/>
          <w:i w:val="0"/>
          <w:sz w:val="20"/>
        </w:rPr>
        <w:t xml:space="preserve">s of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sz w:val="20"/>
        </w:rPr>
        <w:t>, there have been no material changes in risk factors previously disclosed in our Annual Report on Form 10-K for the fiscal year</w:t>
      </w:r>
      <w:r>
        <w:rPr>
          <w:rFonts w:ascii="Times New Roman" w:eastAsia="Times New Roman" w:hAnsi="Times New Roman" w:cs="Times New Roman"/>
          <w:b w:val="0"/>
          <w:i w:val="0"/>
          <w:sz w:val="20"/>
        </w:rPr>
        <w:t xml:space="preserve"> ended</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color w:val="000000"/>
          <w:sz w:val="20"/>
          <w:u w:val="none"/>
        </w:rPr>
        <w:t>December 31, 2024</w:t>
      </w:r>
      <w:r>
        <w:rPr>
          <w:rFonts w:ascii="Times New Roman" w:eastAsia="Times New Roman" w:hAnsi="Times New Roman" w:cs="Times New Roman"/>
          <w:b w:val="0"/>
          <w:i w:val="0"/>
          <w:sz w:val="20"/>
        </w:rPr>
        <w:t>.</w:t>
      </w:r>
    </w:p>
    <w:p>
      <w:pPr>
        <w:keepNext w:val="0"/>
        <w:keepLines w:val="0"/>
        <w:pageBreakBefore w:val="0"/>
        <w:widowControl w:val="0"/>
        <w:numPr>
          <w:ilvl w:val="0"/>
          <w:numId w:val="0"/>
        </w:numPr>
        <w:spacing w:before="0" w:after="160" w:line="288" w:lineRule="auto"/>
        <w:ind w:left="0" w:right="0" w:firstLine="720"/>
        <w:jc w:val="both"/>
        <w:outlineLvl w:val="9"/>
        <w:sectPr>
          <w:headerReference w:type="default" r:id="rId118"/>
          <w:footerReference w:type="default" r:id="rId119"/>
          <w:headerReference w:type="first" r:id="rId120"/>
          <w:footerReference w:type="first" r:id="rId121"/>
          <w:type w:val="continuous"/>
          <w:pgSz w:w="12240" w:h="15840"/>
          <w:pgMar w:top="900" w:right="990" w:bottom="900" w:left="990" w:header="270" w:footer="270"/>
          <w:cols w:space="708"/>
          <w:titlePg/>
        </w:sectPr>
      </w:pPr>
    </w:p>
    <w:p>
      <w:pPr>
        <w:keepNext/>
        <w:keepLines/>
        <w:pageBreakBefore w:val="0"/>
        <w:widowControl w:val="0"/>
        <w:numPr>
          <w:ilvl w:val="0"/>
          <w:numId w:val="0"/>
        </w:numPr>
        <w:spacing w:before="0" w:after="160" w:line="288" w:lineRule="auto"/>
        <w:ind w:left="0" w:right="0" w:firstLine="0"/>
        <w:jc w:val="left"/>
        <w:outlineLvl w:val="1"/>
        <w:rPr>
          <w:rFonts w:ascii="Times New Roman" w:eastAsia="Times New Roman" w:hAnsi="Times New Roman" w:cs="Times New Roman"/>
          <w:b/>
          <w:i w:val="0"/>
          <w:sz w:val="20"/>
        </w:rPr>
      </w:pPr>
      <w:bookmarkStart w:id="51" w:name="Section52"/>
      <w:bookmarkEnd w:id="51"/>
      <w:r>
        <w:rPr>
          <w:rFonts w:ascii="Times New Roman" w:eastAsia="Times New Roman" w:hAnsi="Times New Roman" w:cs="Times New Roman"/>
          <w:b/>
          <w:i w:val="0"/>
          <w:sz w:val="20"/>
        </w:rPr>
        <w:t>Item 2.</w:t>
      </w:r>
      <w:r>
        <w:rPr>
          <w:rFonts w:ascii="Times New Roman" w:eastAsia="Times New Roman" w:hAnsi="Times New Roman" w:cs="Times New Roman"/>
          <w:b/>
          <w:i w:val="0"/>
          <w:sz w:val="20"/>
        </w:rPr>
        <w:t xml:space="preserve"> </w:t>
      </w:r>
      <w:r>
        <w:rPr>
          <w:rFonts w:ascii="Times New Roman" w:eastAsia="Times New Roman" w:hAnsi="Times New Roman" w:cs="Times New Roman"/>
          <w:b/>
          <w:i w:val="0"/>
          <w:sz w:val="20"/>
        </w:rPr>
        <w:t>Unregistered Sales of Equity Securities and Use of Proceeds</w:t>
      </w:r>
    </w:p>
    <w:p>
      <w:pPr>
        <w:keepNext/>
        <w:keepLines/>
        <w:pageBreakBefore w:val="0"/>
        <w:widowControl w:val="0"/>
        <w:numPr>
          <w:ilvl w:val="0"/>
          <w:numId w:val="0"/>
        </w:numPr>
        <w:spacing w:before="0" w:after="0" w:line="288" w:lineRule="auto"/>
        <w:ind w:left="0" w:right="0" w:firstLine="72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Following is a summary of our repurchases of our common stock during the </w:t>
      </w:r>
      <w:r>
        <w:rPr>
          <w:rFonts w:ascii="Times New Roman" w:eastAsia="Times New Roman" w:hAnsi="Times New Roman" w:cs="Times New Roman"/>
          <w:b w:val="0"/>
          <w:i w:val="0"/>
          <w:color w:val="000000"/>
          <w:sz w:val="20"/>
          <w:u w:val="none"/>
        </w:rPr>
        <w:t>three months ended</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sz w:val="20"/>
        </w:rPr>
        <w:t>.</w:t>
      </w:r>
    </w:p>
    <w:tbl>
      <w:tblPr>
        <w:tblW w:w="8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710"/>
        <w:gridCol w:w="1485"/>
        <w:gridCol w:w="2055"/>
        <w:gridCol w:w="1800"/>
        <w:gridCol w:w="1800"/>
      </w:tblGrid>
      <w:tr>
        <w:tblPrEx>
          <w:tblW w:w="8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1500"/>
          <w:jc w:val="center"/>
        </w:trPr>
        <w:tc>
          <w:tcPr>
            <w:tcW w:w="171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20"/>
                <w:u w:val="none"/>
              </w:rPr>
              <w:t>Period</w:t>
            </w: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line="240" w:lineRule="auto"/>
              <w:jc w:val="center"/>
            </w:pPr>
            <w:r>
              <w:rPr>
                <w:rFonts w:ascii="Times New Roman" w:eastAsia="Times New Roman" w:hAnsi="Times New Roman" w:cs="Times New Roman"/>
                <w:b w:val="0"/>
                <w:i w:val="0"/>
                <w:color w:val="000000"/>
                <w:sz w:val="20"/>
                <w:u w:val="none"/>
              </w:rPr>
              <w:t>Total Number</w:t>
            </w:r>
          </w:p>
          <w:p>
            <w:pPr>
              <w:spacing w:after="30" w:line="240" w:lineRule="auto"/>
              <w:jc w:val="center"/>
            </w:pPr>
            <w:r>
              <w:rPr>
                <w:rFonts w:ascii="Times New Roman" w:eastAsia="Times New Roman" w:hAnsi="Times New Roman" w:cs="Times New Roman"/>
                <w:b w:val="0"/>
                <w:i w:val="0"/>
                <w:color w:val="000000"/>
                <w:sz w:val="20"/>
                <w:u w:val="none"/>
              </w:rPr>
              <w:t>of Shares Purchased (a)</w:t>
            </w:r>
          </w:p>
        </w:tc>
        <w:tc>
          <w:tcPr>
            <w:tcW w:w="205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line="240" w:lineRule="auto"/>
              <w:jc w:val="center"/>
            </w:pPr>
            <w:r>
              <w:rPr>
                <w:rFonts w:ascii="Times New Roman" w:eastAsia="Times New Roman" w:hAnsi="Times New Roman" w:cs="Times New Roman"/>
                <w:b w:val="0"/>
                <w:i w:val="0"/>
                <w:color w:val="000000"/>
                <w:sz w:val="20"/>
                <w:u w:val="none"/>
              </w:rPr>
              <w:t>Average</w:t>
            </w:r>
          </w:p>
          <w:p>
            <w:pPr>
              <w:spacing w:after="30" w:line="240" w:lineRule="auto"/>
              <w:jc w:val="center"/>
            </w:pPr>
            <w:r>
              <w:rPr>
                <w:rFonts w:ascii="Times New Roman" w:eastAsia="Times New Roman" w:hAnsi="Times New Roman" w:cs="Times New Roman"/>
                <w:b w:val="0"/>
                <w:i w:val="0"/>
                <w:color w:val="000000"/>
                <w:sz w:val="20"/>
                <w:u w:val="none"/>
              </w:rPr>
              <w:t>Price Paid per Share</w:t>
            </w:r>
          </w:p>
        </w:tc>
        <w:tc>
          <w:tcPr>
            <w:tcW w:w="180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line="240" w:lineRule="auto"/>
              <w:jc w:val="center"/>
            </w:pPr>
            <w:r>
              <w:rPr>
                <w:rFonts w:ascii="Times New Roman" w:eastAsia="Times New Roman" w:hAnsi="Times New Roman" w:cs="Times New Roman"/>
                <w:b w:val="0"/>
                <w:i w:val="0"/>
                <w:color w:val="000000"/>
                <w:sz w:val="20"/>
                <w:u w:val="none"/>
              </w:rPr>
              <w:t>Total Number</w:t>
            </w:r>
          </w:p>
          <w:p>
            <w:pPr>
              <w:spacing w:line="240" w:lineRule="auto"/>
              <w:jc w:val="center"/>
            </w:pPr>
            <w:r>
              <w:rPr>
                <w:rFonts w:ascii="Times New Roman" w:eastAsia="Times New Roman" w:hAnsi="Times New Roman" w:cs="Times New Roman"/>
                <w:b w:val="0"/>
                <w:i w:val="0"/>
                <w:color w:val="000000"/>
                <w:sz w:val="20"/>
                <w:u w:val="none"/>
              </w:rPr>
              <w:t>of Shares</w:t>
            </w:r>
          </w:p>
          <w:p>
            <w:pPr>
              <w:spacing w:line="240" w:lineRule="auto"/>
              <w:jc w:val="center"/>
            </w:pPr>
            <w:r>
              <w:rPr>
                <w:rFonts w:ascii="Times New Roman" w:eastAsia="Times New Roman" w:hAnsi="Times New Roman" w:cs="Times New Roman"/>
                <w:b w:val="0"/>
                <w:i w:val="0"/>
                <w:color w:val="000000"/>
                <w:sz w:val="20"/>
                <w:u w:val="none"/>
              </w:rPr>
              <w:t>Purchased as</w:t>
            </w:r>
          </w:p>
          <w:p>
            <w:pPr>
              <w:spacing w:line="240" w:lineRule="auto"/>
              <w:jc w:val="center"/>
            </w:pPr>
            <w:r>
              <w:rPr>
                <w:rFonts w:ascii="Times New Roman" w:eastAsia="Times New Roman" w:hAnsi="Times New Roman" w:cs="Times New Roman"/>
                <w:b w:val="0"/>
                <w:i w:val="0"/>
                <w:color w:val="000000"/>
                <w:sz w:val="20"/>
                <w:u w:val="none"/>
              </w:rPr>
              <w:t>Part of Publicly</w:t>
            </w:r>
          </w:p>
          <w:p>
            <w:pPr>
              <w:spacing w:after="30" w:line="240" w:lineRule="auto"/>
              <w:jc w:val="center"/>
            </w:pPr>
            <w:r>
              <w:rPr>
                <w:rFonts w:ascii="Times New Roman" w:eastAsia="Times New Roman" w:hAnsi="Times New Roman" w:cs="Times New Roman"/>
                <w:b w:val="0"/>
                <w:i w:val="0"/>
                <w:color w:val="000000"/>
                <w:sz w:val="20"/>
                <w:u w:val="none"/>
              </w:rPr>
              <w:t>Announced Plans or Programs (b)</w:t>
            </w:r>
          </w:p>
        </w:tc>
        <w:tc>
          <w:tcPr>
            <w:tcW w:w="180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line="240" w:lineRule="auto"/>
              <w:jc w:val="center"/>
            </w:pPr>
            <w:r>
              <w:rPr>
                <w:rFonts w:ascii="Times New Roman" w:eastAsia="Times New Roman" w:hAnsi="Times New Roman" w:cs="Times New Roman"/>
                <w:b w:val="0"/>
                <w:i w:val="0"/>
                <w:color w:val="000000"/>
                <w:sz w:val="20"/>
                <w:u w:val="none"/>
              </w:rPr>
              <w:t>Maximum</w:t>
            </w:r>
          </w:p>
          <w:p>
            <w:pPr>
              <w:spacing w:line="240" w:lineRule="auto"/>
              <w:jc w:val="center"/>
            </w:pPr>
            <w:r>
              <w:rPr>
                <w:rFonts w:ascii="Times New Roman" w:eastAsia="Times New Roman" w:hAnsi="Times New Roman" w:cs="Times New Roman"/>
                <w:b w:val="0"/>
                <w:i w:val="0"/>
                <w:color w:val="000000"/>
                <w:sz w:val="20"/>
                <w:u w:val="none"/>
              </w:rPr>
              <w:t>Number (or</w:t>
            </w:r>
          </w:p>
          <w:p>
            <w:pPr>
              <w:spacing w:line="240" w:lineRule="auto"/>
              <w:jc w:val="center"/>
            </w:pPr>
            <w:r>
              <w:rPr>
                <w:rFonts w:ascii="Times New Roman" w:eastAsia="Times New Roman" w:hAnsi="Times New Roman" w:cs="Times New Roman"/>
                <w:b w:val="0"/>
                <w:i w:val="0"/>
                <w:color w:val="000000"/>
                <w:sz w:val="20"/>
                <w:u w:val="none"/>
              </w:rPr>
              <w:t>Approximate</w:t>
            </w:r>
          </w:p>
          <w:p>
            <w:pPr>
              <w:spacing w:line="240" w:lineRule="auto"/>
              <w:jc w:val="center"/>
            </w:pPr>
            <w:r>
              <w:rPr>
                <w:rFonts w:ascii="Times New Roman" w:eastAsia="Times New Roman" w:hAnsi="Times New Roman" w:cs="Times New Roman"/>
                <w:b w:val="0"/>
                <w:i w:val="0"/>
                <w:color w:val="000000"/>
                <w:sz w:val="20"/>
                <w:u w:val="none"/>
              </w:rPr>
              <w:t>Dollar Value) of</w:t>
            </w:r>
          </w:p>
          <w:p>
            <w:pPr>
              <w:spacing w:line="240" w:lineRule="auto"/>
              <w:jc w:val="center"/>
            </w:pPr>
            <w:r>
              <w:rPr>
                <w:rFonts w:ascii="Times New Roman" w:eastAsia="Times New Roman" w:hAnsi="Times New Roman" w:cs="Times New Roman"/>
                <w:b w:val="0"/>
                <w:i w:val="0"/>
                <w:color w:val="000000"/>
                <w:sz w:val="20"/>
                <w:u w:val="none"/>
              </w:rPr>
              <w:t>Shares that may yet</w:t>
            </w:r>
          </w:p>
          <w:p>
            <w:pPr>
              <w:spacing w:after="30" w:line="240" w:lineRule="auto"/>
              <w:jc w:val="center"/>
            </w:pPr>
            <w:r>
              <w:rPr>
                <w:rFonts w:ascii="Times New Roman" w:eastAsia="Times New Roman" w:hAnsi="Times New Roman" w:cs="Times New Roman"/>
                <w:b w:val="0"/>
                <w:i w:val="0"/>
                <w:color w:val="000000"/>
                <w:sz w:val="20"/>
                <w:u w:val="none"/>
              </w:rPr>
              <w:t>be Purchased Under the Program (b)</w:t>
            </w:r>
          </w:p>
        </w:tc>
      </w:tr>
      <w:tr>
        <w:tblPrEx>
          <w:tblW w:w="8850" w:type="dxa"/>
          <w:jc w:val="center"/>
          <w:tblLayout w:type="fixed"/>
          <w:tblCellMar>
            <w:left w:w="108" w:type="dxa"/>
            <w:right w:w="108" w:type="dxa"/>
          </w:tblCellMar>
        </w:tblPrEx>
        <w:trPr>
          <w:cantSplit/>
          <w:trHeight w:hRule="exact" w:val="300"/>
          <w:jc w:val="center"/>
        </w:trPr>
        <w:tc>
          <w:tcPr>
            <w:tcW w:w="171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20"/>
                <w:u w:val="none"/>
              </w:rPr>
              <w:t>January 1 - 31</w:t>
            </w:r>
          </w:p>
        </w:tc>
        <w:tc>
          <w:tcPr>
            <w:tcW w:w="1485"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2,718,122</w:t>
            </w:r>
          </w:p>
        </w:tc>
        <w:tc>
          <w:tcPr>
            <w:tcW w:w="2055"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$27.61</w:t>
            </w:r>
          </w:p>
        </w:tc>
        <w:tc>
          <w:tcPr>
            <w:tcW w:w="1800"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2,384,352</w:t>
            </w:r>
          </w:p>
        </w:tc>
        <w:tc>
          <w:tcPr>
            <w:tcW w:w="1800"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20"/>
                <w:u w:val="none"/>
              </w:rPr>
              <w:t>$2,983,724,716</w:t>
            </w:r>
          </w:p>
        </w:tc>
      </w:tr>
      <w:tr>
        <w:tblPrEx>
          <w:tblW w:w="8850" w:type="dxa"/>
          <w:jc w:val="center"/>
          <w:tblLayout w:type="fixed"/>
          <w:tblCellMar>
            <w:left w:w="108" w:type="dxa"/>
            <w:right w:w="108" w:type="dxa"/>
          </w:tblCellMar>
        </w:tblPrEx>
        <w:trPr>
          <w:cantSplit/>
          <w:trHeight w:hRule="exact" w:val="300"/>
          <w:jc w:val="center"/>
        </w:trPr>
        <w:tc>
          <w:tcPr>
            <w:tcW w:w="171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February 1- 28</w:t>
            </w:r>
          </w:p>
        </w:tc>
        <w:tc>
          <w:tcPr>
            <w:tcW w:w="148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20"/>
                <w:u w:val="none"/>
              </w:rPr>
              <w:t>3,773,954</w:t>
            </w:r>
          </w:p>
        </w:tc>
        <w:tc>
          <w:tcPr>
            <w:tcW w:w="205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20"/>
                <w:u w:val="none"/>
              </w:rPr>
              <w:t>$26.27</w:t>
            </w:r>
          </w:p>
        </w:tc>
        <w:tc>
          <w:tcPr>
            <w:tcW w:w="1800"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20"/>
                <w:u w:val="none"/>
              </w:rPr>
              <w:t>3,745,400</w:t>
            </w:r>
          </w:p>
        </w:tc>
        <w:tc>
          <w:tcPr>
            <w:tcW w:w="1800"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20"/>
                <w:u w:val="none"/>
              </w:rPr>
              <w:t>$2,885,355,939</w:t>
            </w:r>
          </w:p>
        </w:tc>
      </w:tr>
      <w:tr>
        <w:tblPrEx>
          <w:tblW w:w="8850" w:type="dxa"/>
          <w:jc w:val="center"/>
          <w:tblLayout w:type="fixed"/>
          <w:tblCellMar>
            <w:left w:w="108" w:type="dxa"/>
            <w:right w:w="108" w:type="dxa"/>
          </w:tblCellMar>
        </w:tblPrEx>
        <w:trPr>
          <w:cantSplit/>
          <w:trHeight w:hRule="exact" w:val="300"/>
          <w:jc w:val="center"/>
        </w:trPr>
        <w:tc>
          <w:tcPr>
            <w:tcW w:w="1710"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March 1 -31</w:t>
            </w:r>
          </w:p>
        </w:tc>
        <w:tc>
          <w:tcPr>
            <w:tcW w:w="1485" w:type="dxa"/>
            <w:tcBorders>
              <w:top w:val="nil"/>
              <w:left w:val="nil"/>
              <w:bottom w:val="single" w:sz="8" w:space="0" w:color="000000"/>
              <w:right w:val="nil"/>
            </w:tcBorders>
            <w:shd w:val="clear" w:color="auto" w:fill="CCEEFF"/>
            <w:tcMar>
              <w:top w:w="0" w:type="dxa"/>
              <w:left w:w="53" w:type="dxa"/>
              <w:bottom w:w="0" w:type="dxa"/>
              <w:right w:w="15"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20"/>
                <w:u w:val="none"/>
              </w:rPr>
              <w:t>3,820,763</w:t>
            </w:r>
          </w:p>
        </w:tc>
        <w:tc>
          <w:tcPr>
            <w:tcW w:w="2055" w:type="dxa"/>
            <w:tcBorders>
              <w:top w:val="nil"/>
              <w:left w:val="nil"/>
              <w:bottom w:val="single" w:sz="8" w:space="0" w:color="000000"/>
              <w:right w:val="nil"/>
            </w:tcBorders>
            <w:shd w:val="clear" w:color="auto" w:fill="CCEEFF"/>
            <w:tcMar>
              <w:top w:w="0" w:type="dxa"/>
              <w:left w:w="53" w:type="dxa"/>
              <w:bottom w:w="0" w:type="dxa"/>
              <w:right w:w="15"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20"/>
                <w:u w:val="none"/>
              </w:rPr>
              <w:t>$24.96</w:t>
            </w:r>
          </w:p>
        </w:tc>
        <w:tc>
          <w:tcPr>
            <w:tcW w:w="1800" w:type="dxa"/>
            <w:tcBorders>
              <w:top w:val="nil"/>
              <w:left w:val="nil"/>
              <w:bottom w:val="single" w:sz="8" w:space="0" w:color="000000"/>
              <w:right w:val="nil"/>
            </w:tcBorders>
            <w:shd w:val="clear" w:color="auto" w:fill="CCEEFF"/>
            <w:tcMar>
              <w:top w:w="0" w:type="dxa"/>
              <w:left w:w="53" w:type="dxa"/>
              <w:bottom w:w="0" w:type="dxa"/>
              <w:right w:w="15"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20"/>
                <w:u w:val="none"/>
              </w:rPr>
              <w:t>3,440,448</w:t>
            </w:r>
          </w:p>
        </w:tc>
        <w:tc>
          <w:tcPr>
            <w:tcW w:w="1800"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20"/>
                <w:u w:val="none"/>
              </w:rPr>
              <w:t>$2,799,511,907</w:t>
            </w:r>
          </w:p>
        </w:tc>
      </w:tr>
      <w:tr>
        <w:tblPrEx>
          <w:tblW w:w="8850" w:type="dxa"/>
          <w:jc w:val="center"/>
          <w:tblLayout w:type="fixed"/>
          <w:tblCellMar>
            <w:left w:w="108" w:type="dxa"/>
            <w:right w:w="108" w:type="dxa"/>
          </w:tblCellMar>
        </w:tblPrEx>
        <w:trPr>
          <w:cantSplit/>
          <w:trHeight w:hRule="exact" w:val="300"/>
          <w:jc w:val="center"/>
        </w:trPr>
        <w:tc>
          <w:tcPr>
            <w:tcW w:w="1710" w:type="dxa"/>
            <w:tcBorders>
              <w:top w:val="single" w:sz="8" w:space="0" w:color="000000"/>
              <w:left w:val="nil"/>
              <w:bottom w:val="double" w:sz="8" w:space="0" w:color="000000"/>
              <w:right w:val="nil"/>
            </w:tcBorders>
            <w:tcMar>
              <w:top w:w="0" w:type="dxa"/>
              <w:left w:w="53" w:type="dxa"/>
              <w:bottom w:w="0" w:type="dxa"/>
              <w:right w:w="53" w:type="dxa"/>
            </w:tcMar>
            <w:vAlign w:val="bottom"/>
          </w:tcPr>
          <w:p>
            <w:pPr>
              <w:pageBreakBefore w:val="0"/>
              <w:spacing w:before="55" w:after="30" w:line="240" w:lineRule="auto"/>
              <w:jc w:val="left"/>
            </w:pPr>
            <w:r>
              <w:rPr>
                <w:rFonts w:ascii="Times New Roman" w:eastAsia="Times New Roman" w:hAnsi="Times New Roman" w:cs="Times New Roman"/>
                <w:b w:val="0"/>
                <w:i w:val="0"/>
                <w:color w:val="000000"/>
                <w:sz w:val="20"/>
                <w:u w:val="none"/>
              </w:rPr>
              <w:t>Total</w:t>
            </w:r>
          </w:p>
        </w:tc>
        <w:tc>
          <w:tcPr>
            <w:tcW w:w="1485" w:type="dxa"/>
            <w:tcBorders>
              <w:top w:val="single" w:sz="8" w:space="0" w:color="000000"/>
              <w:left w:val="nil"/>
              <w:bottom w:val="double" w:sz="8" w:space="0" w:color="000000"/>
              <w:right w:val="nil"/>
            </w:tcBorders>
            <w:tcMar>
              <w:top w:w="0" w:type="dxa"/>
              <w:left w:w="53" w:type="dxa"/>
              <w:bottom w:w="0" w:type="dxa"/>
              <w:right w:w="15" w:type="dxa"/>
            </w:tcMar>
            <w:vAlign w:val="bottom"/>
          </w:tcPr>
          <w:p>
            <w:pPr>
              <w:pageBreakBefore w:val="0"/>
              <w:spacing w:before="55" w:after="30" w:line="240" w:lineRule="auto"/>
              <w:jc w:val="center"/>
            </w:pPr>
            <w:r>
              <w:rPr>
                <w:rFonts w:ascii="Times New Roman" w:eastAsia="Times New Roman" w:hAnsi="Times New Roman" w:cs="Times New Roman"/>
                <w:b w:val="0"/>
                <w:i w:val="0"/>
                <w:color w:val="000000"/>
                <w:sz w:val="20"/>
                <w:u w:val="none"/>
              </w:rPr>
              <w:t>10,312,839</w:t>
            </w:r>
          </w:p>
        </w:tc>
        <w:tc>
          <w:tcPr>
            <w:tcW w:w="2055" w:type="dxa"/>
            <w:tcBorders>
              <w:top w:val="single" w:sz="8" w:space="0" w:color="000000"/>
              <w:left w:val="nil"/>
              <w:bottom w:val="double" w:sz="8" w:space="0" w:color="000000"/>
              <w:right w:val="nil"/>
            </w:tcBorders>
            <w:tcMar>
              <w:top w:w="0" w:type="dxa"/>
              <w:left w:w="53" w:type="dxa"/>
              <w:bottom w:w="0" w:type="dxa"/>
              <w:right w:w="53" w:type="dxa"/>
            </w:tcMar>
            <w:vAlign w:val="bottom"/>
          </w:tcPr>
          <w:p>
            <w:pPr>
              <w:pageBreakBefore w:val="0"/>
              <w:spacing w:before="55" w:after="30" w:line="240" w:lineRule="auto"/>
              <w:jc w:val="center"/>
            </w:pPr>
            <w:r>
              <w:rPr>
                <w:rFonts w:ascii="Times New Roman" w:eastAsia="Times New Roman" w:hAnsi="Times New Roman" w:cs="Times New Roman"/>
                <w:b w:val="0"/>
                <w:i w:val="0"/>
                <w:color w:val="000000"/>
                <w:sz w:val="20"/>
                <w:u w:val="none"/>
              </w:rPr>
              <w:t>$26.14</w:t>
            </w:r>
          </w:p>
        </w:tc>
        <w:tc>
          <w:tcPr>
            <w:tcW w:w="1800" w:type="dxa"/>
            <w:tcBorders>
              <w:top w:val="single" w:sz="8" w:space="0" w:color="000000"/>
              <w:left w:val="nil"/>
              <w:bottom w:val="double" w:sz="8" w:space="0" w:color="000000"/>
              <w:right w:val="nil"/>
            </w:tcBorders>
            <w:tcMar>
              <w:top w:w="0" w:type="dxa"/>
              <w:left w:w="53" w:type="dxa"/>
              <w:bottom w:w="0" w:type="dxa"/>
              <w:right w:w="15" w:type="dxa"/>
            </w:tcMar>
            <w:vAlign w:val="bottom"/>
          </w:tcPr>
          <w:p>
            <w:pPr>
              <w:pageBreakBefore w:val="0"/>
              <w:spacing w:before="55" w:after="30" w:line="240" w:lineRule="auto"/>
              <w:jc w:val="center"/>
            </w:pPr>
            <w:r>
              <w:rPr>
                <w:rFonts w:ascii="Times New Roman" w:eastAsia="Times New Roman" w:hAnsi="Times New Roman" w:cs="Times New Roman"/>
                <w:b w:val="0"/>
                <w:i w:val="0"/>
                <w:color w:val="000000"/>
                <w:sz w:val="20"/>
                <w:u w:val="none"/>
              </w:rPr>
              <w:t>9,570,200</w:t>
            </w:r>
          </w:p>
        </w:tc>
        <w:tc>
          <w:tcPr>
            <w:tcW w:w="1800" w:type="dxa"/>
            <w:tcBorders>
              <w:top w:val="nil"/>
              <w:left w:val="nil"/>
              <w:bottom w:val="nil"/>
              <w:right w:val="nil"/>
            </w:tcBorders>
            <w:tcMar>
              <w:top w:w="0" w:type="dxa"/>
              <w:left w:w="53" w:type="dxa"/>
              <w:bottom w:w="0" w:type="dxa"/>
              <w:right w:w="15" w:type="dxa"/>
            </w:tcMar>
            <w:vAlign w:val="bottom"/>
          </w:tcPr>
          <w:p>
            <w:pPr>
              <w:pageBreakBefore w:val="0"/>
              <w:spacing w:before="55" w:after="30" w:line="240" w:lineRule="auto"/>
              <w:jc w:val="center"/>
            </w:pPr>
          </w:p>
        </w:tc>
      </w:tr>
    </w:tbl>
    <w:p>
      <w:pPr>
        <w:keepNext w:val="0"/>
        <w:keepLines/>
        <w:pageBreakBefore w:val="0"/>
        <w:widowControl w:val="0"/>
        <w:numPr>
          <w:ilvl w:val="0"/>
          <w:numId w:val="0"/>
        </w:numPr>
        <w:spacing w:before="0" w:after="0" w:line="288" w:lineRule="auto"/>
        <w:ind w:left="0" w:right="0" w:firstLine="720"/>
        <w:jc w:val="center"/>
        <w:outlineLvl w:val="9"/>
        <w:rPr>
          <w:rFonts w:ascii="Times New Roman" w:eastAsia="Times New Roman" w:hAnsi="Times New Roman" w:cs="Times New Roman"/>
          <w:b w:val="0"/>
          <w:i w:val="0"/>
          <w:sz w:val="10"/>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60"/>
        <w:gridCol w:w="8535"/>
      </w:tblGrid>
      <w:tr>
        <w:tblPrEx>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585"/>
          <w:jc w:val="center"/>
        </w:trPr>
        <w:tc>
          <w:tcPr>
            <w:tcW w:w="360"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left"/>
            </w:pPr>
            <w:r>
              <w:rPr>
                <w:rFonts w:ascii="Times New Roman" w:eastAsia="Times New Roman" w:hAnsi="Times New Roman" w:cs="Times New Roman"/>
                <w:b w:val="0"/>
                <w:i w:val="0"/>
                <w:color w:val="000000"/>
                <w:sz w:val="16"/>
                <w:u w:val="none"/>
              </w:rPr>
              <w:t>(a)</w:t>
            </w:r>
          </w:p>
        </w:tc>
        <w:tc>
          <w:tcPr>
            <w:tcW w:w="853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75" w:after="30" w:line="240" w:lineRule="auto"/>
              <w:ind w:left="0" w:right="0" w:firstLine="0"/>
              <w:jc w:val="both"/>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 xml:space="preserve">Of the </w:t>
            </w:r>
            <w:r>
              <w:rPr>
                <w:rFonts w:ascii="Times New Roman" w:eastAsia="Times New Roman" w:hAnsi="Times New Roman" w:cs="Times New Roman"/>
                <w:b w:val="0"/>
                <w:i w:val="0"/>
                <w:color w:val="000000"/>
                <w:sz w:val="16"/>
                <w:u w:val="none"/>
              </w:rPr>
              <w:t>10,312,839</w:t>
            </w:r>
            <w:r>
              <w:rPr>
                <w:rFonts w:ascii="Times New Roman" w:eastAsia="Times New Roman" w:hAnsi="Times New Roman" w:cs="Times New Roman"/>
                <w:b w:val="0"/>
                <w:i w:val="0"/>
                <w:sz w:val="16"/>
              </w:rPr>
              <w:t xml:space="preserve"> shares purchased during the three-month period ended </w:t>
            </w:r>
            <w:r>
              <w:rPr>
                <w:rFonts w:ascii="Times New Roman" w:eastAsia="Times New Roman" w:hAnsi="Times New Roman" w:cs="Times New Roman"/>
                <w:b w:val="0"/>
                <w:i w:val="0"/>
                <w:color w:val="000000"/>
                <w:sz w:val="16"/>
                <w:u w:val="none"/>
              </w:rPr>
              <w:t>March 31, 2025</w:t>
            </w:r>
            <w:r>
              <w:rPr>
                <w:rFonts w:ascii="Times New Roman" w:eastAsia="Times New Roman" w:hAnsi="Times New Roman" w:cs="Times New Roman"/>
                <w:b w:val="0"/>
                <w:i w:val="0"/>
                <w:sz w:val="16"/>
              </w:rPr>
              <w:t xml:space="preserve">, </w:t>
            </w:r>
            <w:r>
              <w:rPr>
                <w:rFonts w:ascii="Times New Roman" w:eastAsia="Times New Roman" w:hAnsi="Times New Roman" w:cs="Times New Roman"/>
                <w:b w:val="0"/>
                <w:i w:val="0"/>
                <w:color w:val="000000"/>
                <w:sz w:val="16"/>
                <w:u w:val="none"/>
              </w:rPr>
              <w:t>742,639</w:t>
            </w:r>
            <w:r>
              <w:rPr>
                <w:rFonts w:ascii="Times New Roman" w:eastAsia="Times New Roman" w:hAnsi="Times New Roman" w:cs="Times New Roman"/>
                <w:b w:val="0"/>
                <w:i w:val="0"/>
                <w:sz w:val="16"/>
              </w:rPr>
              <w:t xml:space="preserve"> were acquired from employees in connection with the settlement of income tax and related benefit withholding obligations arising from vesting in restricted stock grants. These shares were not part of a publicly announced program to repurchase common stock.</w:t>
            </w:r>
          </w:p>
        </w:tc>
      </w:tr>
      <w:tr>
        <w:tblPrEx>
          <w:tblW w:w="8895" w:type="dxa"/>
          <w:jc w:val="center"/>
          <w:tblLayout w:type="fixed"/>
          <w:tblCellMar>
            <w:left w:w="108" w:type="dxa"/>
            <w:right w:w="108" w:type="dxa"/>
          </w:tblCellMar>
        </w:tblPrEx>
        <w:trPr>
          <w:cantSplit/>
          <w:trHeight w:hRule="exact" w:val="735"/>
          <w:jc w:val="center"/>
        </w:trPr>
        <w:tc>
          <w:tcPr>
            <w:tcW w:w="360" w:type="dxa"/>
            <w:tcBorders>
              <w:top w:val="nil"/>
              <w:left w:val="nil"/>
              <w:bottom w:val="nil"/>
              <w:right w:val="nil"/>
            </w:tcBorders>
            <w:tcMar>
              <w:top w:w="0" w:type="dxa"/>
              <w:left w:w="53" w:type="dxa"/>
              <w:bottom w:w="0" w:type="dxa"/>
              <w:right w:w="53" w:type="dxa"/>
            </w:tcMar>
            <w:vAlign w:val="top"/>
          </w:tcPr>
          <w:p>
            <w:pPr>
              <w:pageBreakBefore w:val="0"/>
              <w:spacing w:before="75" w:after="30" w:line="240" w:lineRule="auto"/>
              <w:jc w:val="left"/>
            </w:pPr>
            <w:r>
              <w:rPr>
                <w:rFonts w:ascii="Times New Roman" w:eastAsia="Times New Roman" w:hAnsi="Times New Roman" w:cs="Times New Roman"/>
                <w:b w:val="0"/>
                <w:i w:val="0"/>
                <w:color w:val="000000"/>
                <w:sz w:val="16"/>
                <w:u w:val="none"/>
              </w:rPr>
              <w:t>(b)</w:t>
            </w:r>
          </w:p>
        </w:tc>
        <w:tc>
          <w:tcPr>
            <w:tcW w:w="8535"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75" w:after="30" w:line="240" w:lineRule="auto"/>
              <w:ind w:left="0" w:right="0" w:firstLine="0"/>
              <w:jc w:val="both"/>
              <w:outlineLvl w:val="9"/>
              <w:rPr>
                <w:rFonts w:ascii="Calibri" w:eastAsia="Calibri" w:hAnsi="Calibri" w:cs="Calibri"/>
                <w:b/>
                <w:i/>
                <w:sz w:val="16"/>
              </w:rPr>
            </w:pPr>
            <w:r>
              <w:rPr>
                <w:rFonts w:ascii="Times New Roman" w:eastAsia="Times New Roman" w:hAnsi="Times New Roman" w:cs="Times New Roman"/>
                <w:b w:val="0"/>
                <w:i w:val="0"/>
                <w:sz w:val="16"/>
              </w:rPr>
              <w:t xml:space="preserve">Our Board of Directors has authorized a program to repurchase our common stock from time to time. Approximately </w:t>
            </w:r>
            <w:r>
              <w:rPr>
                <w:rFonts w:ascii="Times New Roman" w:eastAsia="Times New Roman" w:hAnsi="Times New Roman" w:cs="Times New Roman"/>
                <w:b w:val="0"/>
                <w:i w:val="0"/>
                <w:color w:val="000000"/>
                <w:sz w:val="16"/>
                <w:u w:val="none"/>
              </w:rPr>
              <w:t>$2.8 billion</w:t>
            </w:r>
            <w:r>
              <w:rPr>
                <w:rFonts w:ascii="Times New Roman" w:eastAsia="Times New Roman" w:hAnsi="Times New Roman" w:cs="Times New Roman"/>
                <w:b w:val="0"/>
                <w:i w:val="0"/>
                <w:sz w:val="16"/>
              </w:rPr>
              <w:t xml:space="preserve"> remained authorized for repurchases under the program as of </w:t>
            </w:r>
            <w:r>
              <w:rPr>
                <w:rFonts w:ascii="Times New Roman" w:eastAsia="Times New Roman" w:hAnsi="Times New Roman" w:cs="Times New Roman"/>
                <w:b w:val="0"/>
                <w:i w:val="0"/>
                <w:color w:val="000000"/>
                <w:sz w:val="16"/>
                <w:u w:val="none"/>
              </w:rPr>
              <w:t>March 31, 2025</w:t>
            </w:r>
            <w:r>
              <w:rPr>
                <w:rFonts w:ascii="Times New Roman" w:eastAsia="Times New Roman" w:hAnsi="Times New Roman" w:cs="Times New Roman"/>
                <w:b w:val="0"/>
                <w:i w:val="0"/>
                <w:sz w:val="16"/>
              </w:rPr>
              <w:t xml:space="preserve">. From the inception of this program in February of 2006 through </w:t>
            </w:r>
            <w:r>
              <w:rPr>
                <w:rFonts w:ascii="Times New Roman" w:eastAsia="Times New Roman" w:hAnsi="Times New Roman" w:cs="Times New Roman"/>
                <w:b w:val="0"/>
                <w:i w:val="0"/>
                <w:color w:val="000000"/>
                <w:sz w:val="16"/>
                <w:u w:val="none"/>
              </w:rPr>
              <w:t>March 31, 2025</w:t>
            </w:r>
            <w:r>
              <w:rPr>
                <w:rFonts w:ascii="Times New Roman" w:eastAsia="Times New Roman" w:hAnsi="Times New Roman" w:cs="Times New Roman"/>
                <w:b w:val="0"/>
                <w:i w:val="0"/>
                <w:sz w:val="16"/>
              </w:rPr>
              <w:t xml:space="preserve">, we repurchased approximately </w:t>
            </w:r>
            <w:r>
              <w:rPr>
                <w:rFonts w:ascii="Times New Roman" w:eastAsia="Times New Roman" w:hAnsi="Times New Roman" w:cs="Times New Roman"/>
                <w:b w:val="0"/>
                <w:i w:val="0"/>
                <w:color w:val="000000"/>
                <w:sz w:val="16"/>
                <w:u w:val="none"/>
              </w:rPr>
              <w:t>293 million</w:t>
            </w:r>
            <w:r>
              <w:rPr>
                <w:rFonts w:ascii="Times New Roman" w:eastAsia="Times New Roman" w:hAnsi="Times New Roman" w:cs="Times New Roman"/>
                <w:b w:val="0"/>
                <w:i w:val="0"/>
                <w:sz w:val="16"/>
              </w:rPr>
              <w:t xml:space="preserve"> shares of our common stock for a total cost of approximately </w:t>
            </w:r>
            <w:r>
              <w:rPr>
                <w:rFonts w:ascii="Times New Roman" w:eastAsia="Times New Roman" w:hAnsi="Times New Roman" w:cs="Times New Roman"/>
                <w:b w:val="0"/>
                <w:i w:val="0"/>
                <w:color w:val="000000"/>
                <w:sz w:val="16"/>
                <w:u w:val="none"/>
              </w:rPr>
              <w:t>$11.3 billion</w:t>
            </w:r>
            <w:r>
              <w:rPr>
                <w:rFonts w:ascii="Times New Roman" w:eastAsia="Times New Roman" w:hAnsi="Times New Roman" w:cs="Times New Roman"/>
                <w:b w:val="0"/>
                <w:i w:val="0"/>
                <w:sz w:val="16"/>
              </w:rPr>
              <w:t>.</w:t>
            </w:r>
          </w:p>
        </w:tc>
      </w:tr>
    </w:tbl>
    <w:p>
      <w:pPr>
        <w:keepNext w:val="0"/>
        <w:keepLines/>
        <w:pageBreakBefore w:val="0"/>
        <w:widowControl w:val="0"/>
        <w:numPr>
          <w:ilvl w:val="0"/>
          <w:numId w:val="0"/>
        </w:numPr>
        <w:spacing w:before="0" w:after="160" w:line="288" w:lineRule="auto"/>
        <w:ind w:left="0" w:right="0" w:firstLine="720"/>
        <w:jc w:val="center"/>
        <w:outlineLvl w:val="9"/>
        <w:rPr>
          <w:rFonts w:ascii="Times New Roman" w:eastAsia="Times New Roman" w:hAnsi="Times New Roman" w:cs="Times New Roman"/>
          <w:b w:val="0"/>
          <w:i w:val="0"/>
          <w:sz w:val="2"/>
        </w:rPr>
      </w:pPr>
    </w:p>
    <w:p>
      <w:pPr>
        <w:keepNext w:val="0"/>
        <w:keepLines/>
        <w:pageBreakBefore w:val="0"/>
        <w:widowControl w:val="0"/>
        <w:numPr>
          <w:ilvl w:val="0"/>
          <w:numId w:val="0"/>
        </w:numPr>
        <w:spacing w:before="0" w:after="160" w:line="288" w:lineRule="auto"/>
        <w:ind w:left="0" w:right="0" w:firstLine="720"/>
        <w:jc w:val="center"/>
        <w:outlineLvl w:val="9"/>
        <w:rPr>
          <w:rFonts w:ascii="Times New Roman" w:eastAsia="Times New Roman" w:hAnsi="Times New Roman" w:cs="Times New Roman"/>
          <w:b w:val="0"/>
          <w:i w:val="0"/>
          <w:sz w:val="2"/>
        </w:rPr>
        <w:sectPr>
          <w:headerReference w:type="default" r:id="rId122"/>
          <w:footerReference w:type="default" r:id="rId123"/>
          <w:headerReference w:type="first" r:id="rId124"/>
          <w:footerReference w:type="first" r:id="rId125"/>
          <w:type w:val="continuous"/>
          <w:pgSz w:w="12240" w:h="15840"/>
          <w:pgMar w:top="900" w:right="990" w:bottom="900" w:left="990" w:header="270" w:footer="270"/>
          <w:cols w:space="708"/>
          <w:titlePg/>
        </w:sectPr>
      </w:pPr>
    </w:p>
    <w:p>
      <w:pPr>
        <w:keepNext/>
        <w:keepLines/>
        <w:pageBreakBefore w:val="0"/>
        <w:widowControl w:val="0"/>
        <w:numPr>
          <w:ilvl w:val="0"/>
          <w:numId w:val="0"/>
        </w:numPr>
        <w:spacing w:before="0" w:after="160" w:line="288" w:lineRule="auto"/>
        <w:ind w:left="0" w:right="0" w:firstLine="0"/>
        <w:jc w:val="left"/>
        <w:outlineLvl w:val="1"/>
        <w:rPr>
          <w:rFonts w:ascii="Times New Roman" w:eastAsia="Times New Roman" w:hAnsi="Times New Roman" w:cs="Times New Roman"/>
          <w:b/>
          <w:i w:val="0"/>
          <w:color w:val="000000"/>
          <w:sz w:val="20"/>
          <w:u w:val="none"/>
          <w:shd w:val="clear" w:color="auto" w:fill="FFF7C3"/>
        </w:rPr>
      </w:pPr>
      <w:bookmarkStart w:id="52" w:name="Section53"/>
      <w:bookmarkEnd w:id="52"/>
      <w:r>
        <w:rPr>
          <w:rFonts w:ascii="Times New Roman" w:eastAsia="Times New Roman" w:hAnsi="Times New Roman" w:cs="Times New Roman"/>
          <w:b/>
          <w:i w:val="0"/>
          <w:sz w:val="20"/>
        </w:rPr>
        <w:t>Item 3.</w:t>
      </w:r>
      <w:r>
        <w:rPr>
          <w:rFonts w:ascii="Times New Roman" w:eastAsia="Times New Roman" w:hAnsi="Times New Roman" w:cs="Times New Roman"/>
          <w:b/>
          <w:i w:val="0"/>
          <w:sz w:val="20"/>
        </w:rPr>
        <w:t xml:space="preserve"> </w:t>
      </w:r>
      <w:r>
        <w:rPr>
          <w:rFonts w:ascii="Times New Roman" w:eastAsia="Times New Roman" w:hAnsi="Times New Roman" w:cs="Times New Roman"/>
          <w:b/>
          <w:i w:val="0"/>
          <w:sz w:val="20"/>
        </w:rPr>
        <w:t>Defaults Upon Senior Securities</w:t>
      </w:r>
    </w:p>
    <w:p>
      <w:pPr>
        <w:keepNext w:val="0"/>
        <w:keepLines/>
        <w:pageBreakBefore w:val="0"/>
        <w:widowControl w:val="0"/>
        <w:numPr>
          <w:ilvl w:val="0"/>
          <w:numId w:val="0"/>
        </w:numPr>
        <w:spacing w:before="0" w:after="160" w:line="288" w:lineRule="auto"/>
        <w:ind w:left="0" w:right="0" w:firstLine="72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None.</w:t>
      </w:r>
    </w:p>
    <w:p>
      <w:pPr>
        <w:keepNext w:val="0"/>
        <w:keepLines/>
        <w:pageBreakBefore w:val="0"/>
        <w:widowControl w:val="0"/>
        <w:numPr>
          <w:ilvl w:val="0"/>
          <w:numId w:val="0"/>
        </w:numPr>
        <w:spacing w:before="0" w:after="160" w:line="288" w:lineRule="auto"/>
        <w:ind w:left="0" w:right="0" w:firstLine="720"/>
        <w:jc w:val="left"/>
        <w:outlineLvl w:val="9"/>
        <w:sectPr>
          <w:headerReference w:type="default" r:id="rId126"/>
          <w:footerReference w:type="default" r:id="rId127"/>
          <w:headerReference w:type="first" r:id="rId128"/>
          <w:footerReference w:type="first" r:id="rId129"/>
          <w:type w:val="continuous"/>
          <w:pgSz w:w="12240" w:h="15840"/>
          <w:pgMar w:top="900" w:right="990" w:bottom="900" w:left="990" w:header="270" w:footer="270"/>
          <w:cols w:space="708"/>
          <w:titlePg/>
        </w:sectPr>
      </w:pPr>
    </w:p>
    <w:p>
      <w:pPr>
        <w:keepNext/>
        <w:keepLines/>
        <w:pageBreakBefore w:val="0"/>
        <w:widowControl w:val="0"/>
        <w:numPr>
          <w:ilvl w:val="0"/>
          <w:numId w:val="0"/>
        </w:numPr>
        <w:spacing w:before="0" w:after="160" w:line="288" w:lineRule="auto"/>
        <w:ind w:left="0" w:right="0" w:firstLine="0"/>
        <w:jc w:val="left"/>
        <w:outlineLvl w:val="1"/>
        <w:rPr>
          <w:rFonts w:ascii="Times New Roman" w:eastAsia="Times New Roman" w:hAnsi="Times New Roman" w:cs="Times New Roman"/>
          <w:b/>
          <w:i w:val="0"/>
          <w:sz w:val="20"/>
        </w:rPr>
      </w:pPr>
      <w:bookmarkStart w:id="53" w:name="Section54"/>
      <w:bookmarkEnd w:id="53"/>
      <w:r>
        <w:rPr>
          <w:rFonts w:ascii="Times New Roman" w:eastAsia="Times New Roman" w:hAnsi="Times New Roman" w:cs="Times New Roman"/>
          <w:b/>
          <w:i w:val="0"/>
          <w:color w:val="000000"/>
          <w:sz w:val="20"/>
          <w:u w:val="none"/>
        </w:rPr>
        <w:t>Item 4.</w:t>
      </w:r>
      <w:r>
        <w:rPr>
          <w:rFonts w:ascii="Times New Roman" w:eastAsia="Times New Roman" w:hAnsi="Times New Roman" w:cs="Times New Roman"/>
          <w:b/>
          <w:i w:val="0"/>
          <w:sz w:val="20"/>
        </w:rPr>
        <w:t xml:space="preserve"> </w:t>
      </w:r>
      <w:r>
        <w:rPr>
          <w:rFonts w:ascii="Times New Roman" w:eastAsia="Times New Roman" w:hAnsi="Times New Roman" w:cs="Times New Roman"/>
          <w:b/>
          <w:i w:val="0"/>
          <w:sz w:val="20"/>
        </w:rPr>
        <w:t>Mine Safety Disclosures</w:t>
      </w:r>
    </w:p>
    <w:p>
      <w:pPr>
        <w:keepNext w:val="0"/>
        <w:keepLines/>
        <w:pageBreakBefore w:val="0"/>
        <w:widowControl w:val="0"/>
        <w:numPr>
          <w:ilvl w:val="0"/>
          <w:numId w:val="0"/>
        </w:numPr>
        <w:spacing w:before="0" w:after="16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Our barite and bentonite mining operations, in support of our fluid services business, are subject to regulation by the U.S. </w:t>
      </w:r>
      <w:r>
        <w:rPr>
          <w:rFonts w:ascii="Times New Roman" w:eastAsia="Times New Roman" w:hAnsi="Times New Roman" w:cs="Times New Roman"/>
          <w:b w:val="0"/>
          <w:i w:val="0"/>
          <w:color w:val="000000"/>
          <w:sz w:val="20"/>
          <w:u w:val="none"/>
        </w:rPr>
        <w:t>Mine Safety and Health Administration</w:t>
      </w:r>
      <w:r>
        <w:rPr>
          <w:rFonts w:ascii="Times New Roman" w:eastAsia="Times New Roman" w:hAnsi="Times New Roman" w:cs="Times New Roman"/>
          <w:b w:val="0"/>
          <w:i w:val="0"/>
          <w:sz w:val="20"/>
        </w:rPr>
        <w:t xml:space="preserve"> under the </w:t>
      </w:r>
      <w:r>
        <w:rPr>
          <w:rFonts w:ascii="Times New Roman" w:eastAsia="Times New Roman" w:hAnsi="Times New Roman" w:cs="Times New Roman"/>
          <w:b w:val="0"/>
          <w:i w:val="0"/>
          <w:color w:val="000000"/>
          <w:sz w:val="20"/>
          <w:u w:val="none"/>
        </w:rPr>
        <w:t>Federal Mine Safety and Health Act of 1977</w:t>
      </w:r>
      <w:r>
        <w:rPr>
          <w:rFonts w:ascii="Times New Roman" w:eastAsia="Times New Roman" w:hAnsi="Times New Roman" w:cs="Times New Roman"/>
          <w:b w:val="0"/>
          <w:i w:val="0"/>
          <w:sz w:val="20"/>
        </w:rPr>
        <w:t xml:space="preserve">. Information concerning mine safety violations or other regulatory matters required by section 1503(a) of the Dodd-Frank Wall Street Reform and Consumer Protection Act and Item 104 of Regulation S-K (17 CFR 229.104) is included in Exhibit </w:t>
      </w:r>
      <w:r>
        <w:rPr>
          <w:rFonts w:ascii="Times New Roman" w:eastAsia="Times New Roman" w:hAnsi="Times New Roman" w:cs="Times New Roman"/>
          <w:b w:val="0"/>
          <w:i w:val="0"/>
          <w:sz w:val="20"/>
        </w:rPr>
        <w:t>95</w:t>
      </w:r>
      <w:r>
        <w:rPr>
          <w:rFonts w:ascii="Times New Roman" w:eastAsia="Times New Roman" w:hAnsi="Times New Roman" w:cs="Times New Roman"/>
          <w:b w:val="0"/>
          <w:i w:val="0"/>
          <w:sz w:val="20"/>
        </w:rPr>
        <w:t xml:space="preserve"> to this quarterly report.</w:t>
      </w:r>
    </w:p>
    <w:p>
      <w:pPr>
        <w:keepNext w:val="0"/>
        <w:keepLines/>
        <w:pageBreakBefore w:val="0"/>
        <w:widowControl w:val="0"/>
        <w:numPr>
          <w:ilvl w:val="0"/>
          <w:numId w:val="0"/>
        </w:numPr>
        <w:spacing w:before="0" w:after="160" w:line="288" w:lineRule="auto"/>
        <w:ind w:left="0" w:right="0" w:firstLine="720"/>
        <w:jc w:val="both"/>
        <w:outlineLvl w:val="9"/>
        <w:sectPr>
          <w:headerReference w:type="default" r:id="rId130"/>
          <w:footerReference w:type="default" r:id="rId131"/>
          <w:headerReference w:type="first" r:id="rId132"/>
          <w:footerReference w:type="first" r:id="rId133"/>
          <w:type w:val="continuous"/>
          <w:pgSz w:w="12240" w:h="15840"/>
          <w:pgMar w:top="900" w:right="990" w:bottom="900" w:left="990" w:header="270" w:footer="270"/>
          <w:cols w:space="708"/>
          <w:titlePg/>
        </w:sectPr>
      </w:pPr>
    </w:p>
    <w:p>
      <w:pPr>
        <w:keepNext/>
        <w:keepLines/>
        <w:pageBreakBefore w:val="0"/>
        <w:widowControl w:val="0"/>
        <w:numPr>
          <w:ilvl w:val="0"/>
          <w:numId w:val="0"/>
        </w:numPr>
        <w:spacing w:before="0" w:after="160" w:line="288" w:lineRule="auto"/>
        <w:ind w:left="0" w:right="0" w:firstLine="0"/>
        <w:jc w:val="left"/>
        <w:outlineLvl w:val="1"/>
        <w:rPr>
          <w:rFonts w:ascii="Times New Roman" w:eastAsia="Times New Roman" w:hAnsi="Times New Roman" w:cs="Times New Roman"/>
          <w:b/>
          <w:i w:val="0"/>
          <w:sz w:val="20"/>
        </w:rPr>
      </w:pPr>
      <w:bookmarkStart w:id="54" w:name="Section55"/>
      <w:bookmarkEnd w:id="54"/>
      <w:r>
        <w:rPr>
          <w:rFonts w:ascii="Times New Roman" w:eastAsia="Times New Roman" w:hAnsi="Times New Roman" w:cs="Times New Roman"/>
          <w:b/>
          <w:i w:val="0"/>
          <w:color w:val="000000"/>
          <w:sz w:val="20"/>
          <w:u w:val="none"/>
        </w:rPr>
        <w:t>Item 5.</w:t>
      </w:r>
      <w:r>
        <w:rPr>
          <w:rFonts w:ascii="Times New Roman" w:eastAsia="Times New Roman" w:hAnsi="Times New Roman" w:cs="Times New Roman"/>
          <w:b/>
          <w:i w:val="0"/>
          <w:color w:val="000000"/>
          <w:sz w:val="20"/>
          <w:u w:val="none"/>
        </w:rPr>
        <w:t xml:space="preserve"> </w:t>
      </w:r>
      <w:r>
        <w:rPr>
          <w:rFonts w:ascii="Times New Roman" w:eastAsia="Times New Roman" w:hAnsi="Times New Roman" w:cs="Times New Roman"/>
          <w:b/>
          <w:i w:val="0"/>
          <w:color w:val="000000"/>
          <w:sz w:val="20"/>
          <w:u w:val="none"/>
        </w:rPr>
        <w:t>Other Information</w:t>
      </w:r>
    </w:p>
    <w:p>
      <w:pPr>
        <w:keepNext/>
        <w:keepLines/>
        <w:pageBreakBefore w:val="0"/>
        <w:widowControl w:val="0"/>
        <w:numPr>
          <w:ilvl w:val="0"/>
          <w:numId w:val="0"/>
        </w:numPr>
        <w:spacing w:before="0" w:after="160" w:line="269" w:lineRule="auto"/>
        <w:ind w:left="0" w:right="0" w:firstLine="720"/>
        <w:jc w:val="both"/>
        <w:outlineLvl w:val="9"/>
        <w:rPr>
          <w:rFonts w:ascii="Times New Roman" w:eastAsia="Times New Roman" w:hAnsi="Times New Roman" w:cs="Times New Roman"/>
          <w:b/>
          <w:i w:val="0"/>
          <w:sz w:val="22"/>
        </w:rPr>
      </w:pPr>
      <w:r>
        <w:rPr>
          <w:rFonts w:ascii="Times New Roman" w:eastAsia="Times New Roman" w:hAnsi="Times New Roman" w:cs="Times New Roman"/>
          <w:b w:val="0"/>
          <w:i w:val="0"/>
          <w:sz w:val="20"/>
        </w:rPr>
        <w:t>During the quarter</w:t>
      </w:r>
      <w:r>
        <w:rPr>
          <w:rFonts w:ascii="Times New Roman" w:eastAsia="Times New Roman" w:hAnsi="Times New Roman" w:cs="Times New Roman"/>
          <w:b w:val="0"/>
          <w:i w:val="0"/>
          <w:sz w:val="20"/>
        </w:rPr>
        <w:t xml:space="preserve"> ended</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 xml:space="preserve">the following officers of the Company </w:t>
      </w:r>
      <w:r>
        <w:rPr>
          <w:rFonts w:ascii="Times New Roman" w:eastAsia="Times New Roman" w:hAnsi="Times New Roman" w:cs="Times New Roman"/>
          <w:b w:val="0"/>
          <w:i w:val="0"/>
          <w:color w:val="000000"/>
          <w:sz w:val="20"/>
          <w:u w:val="none"/>
        </w:rPr>
        <w:t>adopted</w:t>
      </w:r>
      <w:r>
        <w:rPr>
          <w:rFonts w:ascii="Times New Roman" w:eastAsia="Times New Roman" w:hAnsi="Times New Roman" w:cs="Times New Roman"/>
          <w:b w:val="0"/>
          <w:i w:val="0"/>
          <w:sz w:val="20"/>
        </w:rPr>
        <w:t xml:space="preserve"> or </w:t>
      </w:r>
      <w:r>
        <w:rPr>
          <w:rFonts w:ascii="Times New Roman" w:eastAsia="Times New Roman" w:hAnsi="Times New Roman" w:cs="Times New Roman"/>
          <w:b w:val="0"/>
          <w:i w:val="0"/>
          <w:color w:val="000000"/>
          <w:sz w:val="20"/>
          <w:u w:val="none"/>
        </w:rPr>
        <w:t>terminated</w:t>
      </w:r>
      <w:r>
        <w:rPr>
          <w:rFonts w:ascii="Times New Roman" w:eastAsia="Times New Roman" w:hAnsi="Times New Roman" w:cs="Times New Roman"/>
          <w:b w:val="0"/>
          <w:i w:val="0"/>
          <w:sz w:val="20"/>
        </w:rPr>
        <w:t xml:space="preserve"> a “Rule 10b5-1 trading arrangement” or “non-Rule 10b5-1 trading arrangement,” as each term is defined in Item 408 of Regulation S-K, and no trading arrangements were adopted or terminated by directors of the Company.</w:t>
      </w: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725"/>
        <w:gridCol w:w="1605"/>
        <w:gridCol w:w="1245"/>
        <w:gridCol w:w="1305"/>
        <w:gridCol w:w="1245"/>
        <w:gridCol w:w="1515"/>
        <w:gridCol w:w="1500"/>
      </w:tblGrid>
      <w:tr>
        <w:tblPrEx>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645"/>
          <w:jc w:val="center"/>
        </w:trPr>
        <w:tc>
          <w:tcPr>
            <w:tcW w:w="172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Reporting Officer</w:t>
            </w:r>
          </w:p>
        </w:tc>
        <w:tc>
          <w:tcPr>
            <w:tcW w:w="16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Title</w:t>
            </w:r>
          </w:p>
        </w:tc>
        <w:tc>
          <w:tcPr>
            <w:tcW w:w="124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Reporting Action</w:t>
            </w:r>
          </w:p>
        </w:tc>
        <w:tc>
          <w:tcPr>
            <w:tcW w:w="13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Plan Adoption Date</w:t>
            </w:r>
          </w:p>
        </w:tc>
        <w:tc>
          <w:tcPr>
            <w:tcW w:w="124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Plan End Date</w:t>
            </w:r>
          </w:p>
        </w:tc>
        <w:tc>
          <w:tcPr>
            <w:tcW w:w="151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Aggregated Shares Covered</w:t>
            </w:r>
          </w:p>
        </w:tc>
        <w:tc>
          <w:tcPr>
            <w:tcW w:w="150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Intended to Satisfy Rule 10b5-1?</w:t>
            </w:r>
          </w:p>
        </w:tc>
      </w:tr>
      <w:tr>
        <w:tblPrEx>
          <w:tblW w:w="10140" w:type="dxa"/>
          <w:jc w:val="center"/>
          <w:tblLayout w:type="fixed"/>
          <w:tblCellMar>
            <w:left w:w="108" w:type="dxa"/>
            <w:right w:w="108" w:type="dxa"/>
          </w:tblCellMar>
        </w:tblPrEx>
        <w:trPr>
          <w:cantSplit/>
          <w:trHeight w:hRule="exact" w:val="780"/>
          <w:jc w:val="center"/>
        </w:trPr>
        <w:tc>
          <w:tcPr>
            <w:tcW w:w="1725" w:type="dxa"/>
            <w:tcBorders>
              <w:top w:val="single" w:sz="8" w:space="0" w:color="000000"/>
              <w:left w:val="nil"/>
              <w:bottom w:val="nil"/>
              <w:right w:val="nil"/>
            </w:tcBorders>
            <w:shd w:val="clear" w:color="auto" w:fill="CCEEFF"/>
            <w:tcMar>
              <w:top w:w="0" w:type="dxa"/>
              <w:left w:w="53" w:type="dxa"/>
              <w:bottom w:w="0" w:type="dxa"/>
              <w:right w:w="53" w:type="dxa"/>
            </w:tcMar>
            <w:vAlign w:val="top"/>
          </w:tcPr>
          <w:p>
            <w:pPr>
              <w:pageBreakBefore w:val="0"/>
              <w:numPr>
                <w:ilvl w:val="0"/>
                <w:numId w:val="0"/>
              </w:numPr>
              <w:spacing w:before="55" w:after="30" w:line="240" w:lineRule="auto"/>
              <w:ind w:left="0" w:right="0" w:firstLine="0"/>
              <w:jc w:val="left"/>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Jeffrey A. Miller</w:t>
            </w:r>
          </w:p>
        </w:tc>
        <w:tc>
          <w:tcPr>
            <w:tcW w:w="1605" w:type="dxa"/>
            <w:tcBorders>
              <w:top w:val="single" w:sz="8" w:space="0" w:color="000000"/>
              <w:left w:val="nil"/>
              <w:bottom w:val="nil"/>
              <w:right w:val="nil"/>
            </w:tcBorders>
            <w:shd w:val="clear" w:color="auto" w:fill="CCEEFF"/>
            <w:tcMar>
              <w:top w:w="0" w:type="dxa"/>
              <w:left w:w="53" w:type="dxa"/>
              <w:bottom w:w="0" w:type="dxa"/>
              <w:right w:w="53" w:type="dxa"/>
            </w:tcMar>
            <w:vAlign w:val="top"/>
          </w:tcPr>
          <w:p>
            <w:pPr>
              <w:pageBreakBefore w:val="0"/>
              <w:spacing w:before="55" w:after="30" w:line="240" w:lineRule="auto"/>
              <w:jc w:val="left"/>
            </w:pPr>
            <w:r>
              <w:rPr>
                <w:rFonts w:ascii="Times New Roman" w:eastAsia="Times New Roman" w:hAnsi="Times New Roman" w:cs="Times New Roman"/>
                <w:b w:val="0"/>
                <w:i w:val="0"/>
                <w:color w:val="000000"/>
                <w:sz w:val="18"/>
                <w:u w:val="none"/>
              </w:rPr>
              <w:t>Chairman of the Board, President and Chief Executive Officer</w:t>
            </w:r>
          </w:p>
        </w:tc>
        <w:tc>
          <w:tcPr>
            <w:tcW w:w="1245" w:type="dxa"/>
            <w:tcBorders>
              <w:top w:val="single" w:sz="8" w:space="0" w:color="000000"/>
              <w:left w:val="nil"/>
              <w:bottom w:val="nil"/>
              <w:right w:val="nil"/>
            </w:tcBorders>
            <w:shd w:val="clear" w:color="auto" w:fill="CCEEFF"/>
            <w:tcMar>
              <w:top w:w="0" w:type="dxa"/>
              <w:left w:w="53" w:type="dxa"/>
              <w:bottom w:w="0" w:type="dxa"/>
              <w:right w:w="53" w:type="dxa"/>
            </w:tcMar>
            <w:vAlign w:val="top"/>
          </w:tcPr>
          <w:p>
            <w:pPr>
              <w:pageBreakBefore w:val="0"/>
              <w:spacing w:before="55" w:after="30" w:line="240" w:lineRule="auto"/>
              <w:jc w:val="center"/>
            </w:pPr>
            <w:r>
              <w:rPr>
                <w:rFonts w:ascii="Times New Roman" w:eastAsia="Times New Roman" w:hAnsi="Times New Roman" w:cs="Times New Roman"/>
                <w:b w:val="0"/>
                <w:i w:val="0"/>
                <w:color w:val="000000"/>
                <w:sz w:val="18"/>
                <w:u w:val="none"/>
              </w:rPr>
              <w:t>Plan Adoption</w:t>
            </w:r>
          </w:p>
        </w:tc>
        <w:tc>
          <w:tcPr>
            <w:tcW w:w="1305" w:type="dxa"/>
            <w:tcBorders>
              <w:top w:val="single" w:sz="8" w:space="0" w:color="000000"/>
              <w:left w:val="nil"/>
              <w:bottom w:val="nil"/>
              <w:right w:val="nil"/>
            </w:tcBorders>
            <w:shd w:val="clear" w:color="auto" w:fill="CCEEFF"/>
            <w:tcMar>
              <w:top w:w="0" w:type="dxa"/>
              <w:left w:w="53" w:type="dxa"/>
              <w:bottom w:w="0" w:type="dxa"/>
              <w:right w:w="53" w:type="dxa"/>
            </w:tcMar>
            <w:vAlign w:val="top"/>
          </w:tcPr>
          <w:p>
            <w:pPr>
              <w:pageBreakBefore w:val="0"/>
              <w:spacing w:before="55" w:after="30" w:line="240" w:lineRule="auto"/>
              <w:jc w:val="center"/>
            </w:pPr>
            <w:r>
              <w:rPr>
                <w:rFonts w:ascii="Times New Roman" w:eastAsia="Times New Roman" w:hAnsi="Times New Roman" w:cs="Times New Roman"/>
                <w:b w:val="0"/>
                <w:i w:val="0"/>
                <w:color w:val="000000"/>
                <w:sz w:val="18"/>
                <w:u w:val="none"/>
              </w:rPr>
              <w:t>2/13/2025</w:t>
            </w:r>
          </w:p>
        </w:tc>
        <w:tc>
          <w:tcPr>
            <w:tcW w:w="1245" w:type="dxa"/>
            <w:tcBorders>
              <w:top w:val="single" w:sz="8" w:space="0" w:color="000000"/>
              <w:left w:val="nil"/>
              <w:bottom w:val="nil"/>
              <w:right w:val="nil"/>
            </w:tcBorders>
            <w:shd w:val="clear" w:color="auto" w:fill="CCEEFF"/>
            <w:tcMar>
              <w:top w:w="0" w:type="dxa"/>
              <w:left w:w="53" w:type="dxa"/>
              <w:bottom w:w="0" w:type="dxa"/>
              <w:right w:w="53" w:type="dxa"/>
            </w:tcMar>
            <w:vAlign w:val="top"/>
          </w:tcPr>
          <w:p>
            <w:pPr>
              <w:pageBreakBefore w:val="0"/>
              <w:spacing w:before="55" w:after="30" w:line="240" w:lineRule="auto"/>
              <w:jc w:val="center"/>
            </w:pPr>
            <w:r>
              <w:rPr>
                <w:rFonts w:ascii="Times New Roman" w:eastAsia="Times New Roman" w:hAnsi="Times New Roman" w:cs="Times New Roman"/>
                <w:b w:val="0"/>
                <w:i w:val="0"/>
                <w:color w:val="000000"/>
                <w:sz w:val="18"/>
                <w:u w:val="none"/>
              </w:rPr>
              <w:t>8/14/2026</w:t>
            </w:r>
          </w:p>
        </w:tc>
        <w:tc>
          <w:tcPr>
            <w:tcW w:w="1515" w:type="dxa"/>
            <w:tcBorders>
              <w:top w:val="single" w:sz="8" w:space="0" w:color="000000"/>
              <w:left w:val="nil"/>
              <w:bottom w:val="nil"/>
              <w:right w:val="nil"/>
            </w:tcBorders>
            <w:shd w:val="clear" w:color="auto" w:fill="CCEEFF"/>
            <w:tcMar>
              <w:top w:w="0" w:type="dxa"/>
              <w:left w:w="53" w:type="dxa"/>
              <w:bottom w:w="0" w:type="dxa"/>
              <w:right w:w="15" w:type="dxa"/>
            </w:tcMar>
            <w:vAlign w:val="top"/>
          </w:tcPr>
          <w:p>
            <w:pPr>
              <w:pageBreakBefore w:val="0"/>
              <w:spacing w:before="55" w:after="30" w:line="240" w:lineRule="auto"/>
              <w:jc w:val="center"/>
            </w:pPr>
            <w:r>
              <w:rPr>
                <w:rFonts w:ascii="Times New Roman" w:eastAsia="Times New Roman" w:hAnsi="Times New Roman" w:cs="Times New Roman"/>
                <w:b w:val="0"/>
                <w:i w:val="0"/>
                <w:color w:val="000000"/>
                <w:sz w:val="18"/>
                <w:u w:val="none"/>
              </w:rPr>
              <w:t>1,099,038</w:t>
            </w:r>
          </w:p>
        </w:tc>
        <w:tc>
          <w:tcPr>
            <w:tcW w:w="1500" w:type="dxa"/>
            <w:tcBorders>
              <w:top w:val="single" w:sz="8" w:space="0" w:color="000000"/>
              <w:left w:val="nil"/>
              <w:bottom w:val="nil"/>
              <w:right w:val="nil"/>
            </w:tcBorders>
            <w:shd w:val="clear" w:color="auto" w:fill="CCEEFF"/>
            <w:tcMar>
              <w:top w:w="0" w:type="dxa"/>
              <w:left w:w="53" w:type="dxa"/>
              <w:bottom w:w="0" w:type="dxa"/>
              <w:right w:w="53" w:type="dxa"/>
            </w:tcMar>
            <w:vAlign w:val="top"/>
          </w:tcPr>
          <w:p>
            <w:pPr>
              <w:pageBreakBefore w:val="0"/>
              <w:spacing w:before="55" w:after="30" w:line="240" w:lineRule="auto"/>
              <w:jc w:val="center"/>
            </w:pPr>
            <w:r>
              <w:rPr>
                <w:rFonts w:ascii="Times New Roman" w:eastAsia="Times New Roman" w:hAnsi="Times New Roman" w:cs="Times New Roman"/>
                <w:b w:val="0"/>
                <w:i w:val="0"/>
                <w:color w:val="000000"/>
                <w:sz w:val="18"/>
                <w:u w:val="none"/>
              </w:rPr>
              <w:t>Yes</w:t>
            </w:r>
          </w:p>
        </w:tc>
      </w:tr>
    </w:tbl>
    <w:p>
      <w:pPr>
        <w:keepNext w:val="0"/>
        <w:keepLines/>
        <w:pageBreakBefore w:val="0"/>
        <w:widowControl w:val="0"/>
        <w:numPr>
          <w:ilvl w:val="0"/>
          <w:numId w:val="0"/>
        </w:numPr>
        <w:spacing w:before="0" w:after="160" w:line="269" w:lineRule="auto"/>
        <w:ind w:left="0" w:right="0" w:firstLine="720"/>
        <w:jc w:val="center"/>
        <w:outlineLvl w:val="9"/>
        <w:rPr>
          <w:rFonts w:ascii="Times New Roman" w:eastAsia="Times New Roman" w:hAnsi="Times New Roman" w:cs="Times New Roman"/>
          <w:b w:val="0"/>
          <w:i w:val="0"/>
          <w:sz w:val="2"/>
        </w:rPr>
      </w:pPr>
    </w:p>
    <w:p>
      <w:pPr>
        <w:keepNext w:val="0"/>
        <w:keepLines/>
        <w:pageBreakBefore w:val="0"/>
        <w:widowControl w:val="0"/>
        <w:numPr>
          <w:ilvl w:val="0"/>
          <w:numId w:val="0"/>
        </w:numPr>
        <w:spacing w:before="0" w:after="160" w:line="269" w:lineRule="auto"/>
        <w:ind w:left="0" w:right="0" w:firstLine="720"/>
        <w:jc w:val="center"/>
        <w:outlineLvl w:val="9"/>
        <w:rPr>
          <w:rFonts w:ascii="Times New Roman" w:eastAsia="Times New Roman" w:hAnsi="Times New Roman" w:cs="Times New Roman"/>
          <w:b w:val="0"/>
          <w:i w:val="0"/>
          <w:sz w:val="2"/>
        </w:rPr>
        <w:sectPr>
          <w:footerReference w:type="default" r:id="rId134"/>
          <w:type w:val="continuous"/>
          <w:pgSz w:w="12240" w:h="15840"/>
          <w:pgMar w:top="900" w:right="990" w:bottom="900" w:left="990" w:header="0" w:footer="270"/>
          <w:cols w:space="708"/>
        </w:sectPr>
      </w:pPr>
    </w:p>
    <w:p>
      <w:pPr>
        <w:keepNext/>
        <w:keepLines w:val="0"/>
        <w:pageBreakBefore w:val="0"/>
        <w:widowControl/>
        <w:numPr>
          <w:ilvl w:val="0"/>
          <w:numId w:val="0"/>
        </w:numPr>
        <w:spacing w:before="0" w:after="160" w:line="288" w:lineRule="auto"/>
        <w:ind w:left="0" w:right="0" w:firstLine="0"/>
        <w:jc w:val="left"/>
        <w:outlineLvl w:val="1"/>
        <w:rPr>
          <w:rFonts w:ascii="Times New Roman" w:eastAsia="Times New Roman" w:hAnsi="Times New Roman" w:cs="Times New Roman"/>
          <w:b/>
          <w:i w:val="0"/>
          <w:sz w:val="20"/>
        </w:rPr>
      </w:pPr>
      <w:bookmarkStart w:id="55" w:name="Section56"/>
      <w:bookmarkEnd w:id="55"/>
      <w:r>
        <w:rPr>
          <w:rFonts w:ascii="Times New Roman" w:eastAsia="Times New Roman" w:hAnsi="Times New Roman" w:cs="Times New Roman"/>
          <w:b/>
          <w:i w:val="0"/>
          <w:sz w:val="20"/>
        </w:rPr>
        <w:t>Item 6.</w:t>
      </w:r>
      <w:r>
        <w:rPr>
          <w:rFonts w:ascii="Times New Roman" w:eastAsia="Times New Roman" w:hAnsi="Times New Roman" w:cs="Times New Roman"/>
          <w:b/>
          <w:i w:val="0"/>
          <w:sz w:val="20"/>
        </w:rPr>
        <w:t xml:space="preserve"> </w:t>
      </w:r>
      <w:r>
        <w:rPr>
          <w:rFonts w:ascii="Times New Roman" w:eastAsia="Times New Roman" w:hAnsi="Times New Roman" w:cs="Times New Roman"/>
          <w:b/>
          <w:i w:val="0"/>
          <w:color w:val="000000"/>
          <w:sz w:val="20"/>
          <w:u w:val="none"/>
        </w:rPr>
        <w:t>Exhibit</w:t>
      </w:r>
      <w:r>
        <w:rPr>
          <w:rFonts w:ascii="Times New Roman" w:eastAsia="Times New Roman" w:hAnsi="Times New Roman" w:cs="Times New Roman"/>
          <w:b/>
          <w:i w:val="0"/>
          <w:color w:val="000000"/>
          <w:sz w:val="20"/>
          <w:u w:val="none"/>
        </w:rPr>
        <w:t>s</w:t>
      </w:r>
    </w:p>
    <w:tbl>
      <w:tblPr>
        <w:tblW w:w="10245"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35"/>
        <w:gridCol w:w="975"/>
        <w:gridCol w:w="8835"/>
      </w:tblGrid>
      <w:tr>
        <w:tblPrEx>
          <w:tblW w:w="10245"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495"/>
          <w:jc w:val="left"/>
        </w:trPr>
        <w:tc>
          <w:tcPr>
            <w:tcW w:w="43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w:t>
            </w:r>
          </w:p>
        </w:tc>
        <w:tc>
          <w:tcPr>
            <w:tcW w:w="975" w:type="dxa"/>
            <w:tcBorders>
              <w:top w:val="nil"/>
              <w:left w:val="nil"/>
              <w:bottom w:val="nil"/>
              <w:right w:val="nil"/>
            </w:tcBorders>
            <w:tcMar>
              <w:top w:w="0" w:type="dxa"/>
              <w:left w:w="53" w:type="dxa"/>
              <w:bottom w:w="0" w:type="dxa"/>
              <w:right w:w="53" w:type="dxa"/>
            </w:tcMar>
            <w:vAlign w:val="center"/>
          </w:tcPr>
          <w:p>
            <w:pPr>
              <w:keepNext/>
              <w:pageBreakBefore w:val="0"/>
              <w:numPr>
                <w:ilvl w:val="0"/>
                <w:numId w:val="0"/>
              </w:numPr>
              <w:spacing w:before="0" w:after="0" w:line="240" w:lineRule="auto"/>
              <w:ind w:left="135"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10.1</w:t>
            </w:r>
          </w:p>
        </w:tc>
        <w:tc>
          <w:tcPr>
            <w:tcW w:w="8835" w:type="dxa"/>
            <w:tcBorders>
              <w:top w:val="nil"/>
              <w:left w:val="nil"/>
              <w:bottom w:val="nil"/>
              <w:right w:val="nil"/>
            </w:tcBorders>
            <w:tcMar>
              <w:top w:w="0" w:type="dxa"/>
              <w:left w:w="53" w:type="dxa"/>
              <w:bottom w:w="0" w:type="dxa"/>
              <w:right w:w="53" w:type="dxa"/>
            </w:tcMar>
            <w:vAlign w:val="center"/>
          </w:tcPr>
          <w:p>
            <w:pPr>
              <w:keepNext/>
              <w:pageBreakBefore w:val="0"/>
              <w:numPr>
                <w:ilvl w:val="0"/>
                <w:numId w:val="0"/>
              </w:numPr>
              <w:spacing w:before="0" w:after="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135" w:history="1">
              <w:r>
                <w:rPr>
                  <w:rFonts w:ascii="Times New Roman" w:eastAsia="Times New Roman" w:hAnsi="Times New Roman" w:cs="Times New Roman"/>
                  <w:b w:val="0"/>
                  <w:i w:val="0"/>
                  <w:color w:val="0000FF"/>
                  <w:sz w:val="20"/>
                  <w:u w:val="single"/>
                  <w:shd w:val="clear" w:color="auto" w:fill="auto"/>
                </w:rPr>
                <w:t>Form of Restricted Stock Agreement (incorporated by reference</w:t>
              </w:r>
            </w:hyperlink>
            <w:hyperlink r:id="rId135" w:history="1">
              <w:r>
                <w:rPr>
                  <w:rFonts w:ascii="Times New Roman" w:eastAsia="Times New Roman" w:hAnsi="Times New Roman" w:cs="Times New Roman"/>
                  <w:b w:val="0"/>
                  <w:i w:val="0"/>
                  <w:color w:val="0000FF"/>
                  <w:sz w:val="20"/>
                  <w:u w:val="single"/>
                  <w:shd w:val="clear" w:color="auto" w:fill="auto"/>
                </w:rPr>
                <w:t xml:space="preserve"> to Exhibit 10.39 of Halliburton's Form 10-K filed February 12, 2025, File No. 001-03492).</w:t>
              </w:r>
            </w:hyperlink>
          </w:p>
        </w:tc>
      </w:tr>
      <w:tr>
        <w:tblPrEx>
          <w:tblW w:w="10245" w:type="dxa"/>
          <w:jc w:val="left"/>
          <w:tblInd w:w="0" w:type="dxa"/>
          <w:tblLayout w:type="fixed"/>
          <w:tblCellMar>
            <w:left w:w="108" w:type="dxa"/>
            <w:right w:w="108" w:type="dxa"/>
          </w:tblCellMar>
        </w:tblPrEx>
        <w:trPr>
          <w:cantSplit/>
          <w:trHeight w:hRule="exact" w:val="300"/>
          <w:jc w:val="left"/>
        </w:trPr>
        <w:tc>
          <w:tcPr>
            <w:tcW w:w="4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8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45" w:type="dxa"/>
          <w:jc w:val="left"/>
          <w:tblInd w:w="0" w:type="dxa"/>
          <w:tblLayout w:type="fixed"/>
          <w:tblCellMar>
            <w:left w:w="108" w:type="dxa"/>
            <w:right w:w="108" w:type="dxa"/>
          </w:tblCellMar>
        </w:tblPrEx>
        <w:trPr>
          <w:cantSplit/>
          <w:trHeight w:hRule="exact" w:val="495"/>
          <w:jc w:val="left"/>
        </w:trPr>
        <w:tc>
          <w:tcPr>
            <w:tcW w:w="43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w:t>
            </w:r>
          </w:p>
        </w:tc>
        <w:tc>
          <w:tcPr>
            <w:tcW w:w="975" w:type="dxa"/>
            <w:tcBorders>
              <w:top w:val="nil"/>
              <w:left w:val="nil"/>
              <w:bottom w:val="nil"/>
              <w:right w:val="nil"/>
            </w:tcBorders>
            <w:tcMar>
              <w:top w:w="0" w:type="dxa"/>
              <w:left w:w="53" w:type="dxa"/>
              <w:bottom w:w="0" w:type="dxa"/>
              <w:right w:w="53" w:type="dxa"/>
            </w:tcMar>
            <w:vAlign w:val="center"/>
          </w:tcPr>
          <w:p>
            <w:pPr>
              <w:keepNext/>
              <w:pageBreakBefore w:val="0"/>
              <w:numPr>
                <w:ilvl w:val="0"/>
                <w:numId w:val="0"/>
              </w:numPr>
              <w:spacing w:before="0" w:after="0" w:line="240" w:lineRule="auto"/>
              <w:ind w:left="135"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1</w:t>
            </w:r>
            <w:r>
              <w:rPr>
                <w:rFonts w:ascii="Times New Roman" w:eastAsia="Times New Roman" w:hAnsi="Times New Roman" w:cs="Times New Roman"/>
                <w:b w:val="0"/>
                <w:i w:val="0"/>
                <w:sz w:val="20"/>
              </w:rPr>
              <w:t>0.2</w:t>
            </w:r>
          </w:p>
        </w:tc>
        <w:tc>
          <w:tcPr>
            <w:tcW w:w="8835" w:type="dxa"/>
            <w:tcBorders>
              <w:top w:val="nil"/>
              <w:left w:val="nil"/>
              <w:bottom w:val="nil"/>
              <w:right w:val="nil"/>
            </w:tcBorders>
            <w:tcMar>
              <w:top w:w="0" w:type="dxa"/>
              <w:left w:w="53" w:type="dxa"/>
              <w:bottom w:w="0" w:type="dxa"/>
              <w:right w:w="53" w:type="dxa"/>
            </w:tcMar>
            <w:vAlign w:val="center"/>
          </w:tcPr>
          <w:p>
            <w:pPr>
              <w:keepNext/>
              <w:pageBreakBefore w:val="0"/>
              <w:numPr>
                <w:ilvl w:val="0"/>
                <w:numId w:val="0"/>
              </w:numPr>
              <w:spacing w:before="0" w:after="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136" w:history="1">
              <w:r>
                <w:rPr>
                  <w:rFonts w:ascii="Times New Roman" w:eastAsia="Times New Roman" w:hAnsi="Times New Roman" w:cs="Times New Roman"/>
                  <w:b w:val="0"/>
                  <w:i w:val="0"/>
                  <w:color w:val="0000FF"/>
                  <w:sz w:val="20"/>
                  <w:u w:val="single"/>
                  <w:shd w:val="clear" w:color="auto" w:fill="auto"/>
                </w:rPr>
                <w:t>Form of Restricted Stock Unit Agreement (International) (incorporated by reference to Exhibit 10.40 of Halliburton's Form 10-K filed February 12, 2025, File No. 001-03492).</w:t>
              </w:r>
            </w:hyperlink>
          </w:p>
        </w:tc>
      </w:tr>
      <w:tr>
        <w:tblPrEx>
          <w:tblW w:w="10245" w:type="dxa"/>
          <w:jc w:val="left"/>
          <w:tblInd w:w="0" w:type="dxa"/>
          <w:tblLayout w:type="fixed"/>
          <w:tblCellMar>
            <w:left w:w="108" w:type="dxa"/>
            <w:right w:w="108" w:type="dxa"/>
          </w:tblCellMar>
        </w:tblPrEx>
        <w:trPr>
          <w:cantSplit/>
          <w:trHeight w:hRule="exact" w:val="300"/>
          <w:jc w:val="left"/>
        </w:trPr>
        <w:tc>
          <w:tcPr>
            <w:tcW w:w="4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8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45" w:type="dxa"/>
          <w:jc w:val="left"/>
          <w:tblInd w:w="0" w:type="dxa"/>
          <w:tblLayout w:type="fixed"/>
          <w:tblCellMar>
            <w:left w:w="108" w:type="dxa"/>
            <w:right w:w="108" w:type="dxa"/>
          </w:tblCellMar>
        </w:tblPrEx>
        <w:trPr>
          <w:cantSplit/>
          <w:trHeight w:hRule="exact" w:val="495"/>
          <w:jc w:val="left"/>
        </w:trPr>
        <w:tc>
          <w:tcPr>
            <w:tcW w:w="43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w:t>
            </w:r>
          </w:p>
        </w:tc>
        <w:tc>
          <w:tcPr>
            <w:tcW w:w="975" w:type="dxa"/>
            <w:tcBorders>
              <w:top w:val="nil"/>
              <w:left w:val="nil"/>
              <w:bottom w:val="nil"/>
              <w:right w:val="nil"/>
            </w:tcBorders>
            <w:tcMar>
              <w:top w:w="0" w:type="dxa"/>
              <w:left w:w="53" w:type="dxa"/>
              <w:bottom w:w="0" w:type="dxa"/>
              <w:right w:w="53" w:type="dxa"/>
            </w:tcMar>
            <w:vAlign w:val="center"/>
          </w:tcPr>
          <w:p>
            <w:pPr>
              <w:keepNext/>
              <w:pageBreakBefore w:val="0"/>
              <w:numPr>
                <w:ilvl w:val="0"/>
                <w:numId w:val="0"/>
              </w:numPr>
              <w:spacing w:before="0" w:after="0" w:line="240" w:lineRule="auto"/>
              <w:ind w:left="135"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10.</w:t>
            </w:r>
            <w:r>
              <w:rPr>
                <w:rFonts w:ascii="Times New Roman" w:eastAsia="Times New Roman" w:hAnsi="Times New Roman" w:cs="Times New Roman"/>
                <w:b w:val="0"/>
                <w:i w:val="0"/>
                <w:sz w:val="20"/>
              </w:rPr>
              <w:t>3</w:t>
            </w:r>
          </w:p>
        </w:tc>
        <w:tc>
          <w:tcPr>
            <w:tcW w:w="8835" w:type="dxa"/>
            <w:tcBorders>
              <w:top w:val="nil"/>
              <w:left w:val="nil"/>
              <w:bottom w:val="nil"/>
              <w:right w:val="nil"/>
            </w:tcBorders>
            <w:tcMar>
              <w:top w:w="0" w:type="dxa"/>
              <w:left w:w="53" w:type="dxa"/>
              <w:bottom w:w="0" w:type="dxa"/>
              <w:right w:w="53" w:type="dxa"/>
            </w:tcMar>
            <w:vAlign w:val="center"/>
          </w:tcPr>
          <w:p>
            <w:pPr>
              <w:keepNext/>
              <w:pageBreakBefore w:val="0"/>
              <w:numPr>
                <w:ilvl w:val="0"/>
                <w:numId w:val="0"/>
              </w:numPr>
              <w:spacing w:before="0" w:after="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137" w:history="1">
              <w:r>
                <w:rPr>
                  <w:rFonts w:ascii="Times New Roman" w:eastAsia="Times New Roman" w:hAnsi="Times New Roman" w:cs="Times New Roman"/>
                  <w:b w:val="0"/>
                  <w:i w:val="0"/>
                  <w:color w:val="0000FF"/>
                  <w:sz w:val="20"/>
                  <w:u w:val="single"/>
                  <w:shd w:val="clear" w:color="auto" w:fill="auto"/>
                </w:rPr>
                <w:t>Form of Restricted Stock Unit Agreement (U.S. Expat) (incorporated by reference to Exhibit 10.41 of Halliburton's Form 10-K filed February 12, 2025, File No. 001-03492).</w:t>
              </w:r>
            </w:hyperlink>
          </w:p>
        </w:tc>
      </w:tr>
      <w:tr>
        <w:tblPrEx>
          <w:tblW w:w="10245" w:type="dxa"/>
          <w:jc w:val="left"/>
          <w:tblInd w:w="0" w:type="dxa"/>
          <w:tblLayout w:type="fixed"/>
          <w:tblCellMar>
            <w:left w:w="108" w:type="dxa"/>
            <w:right w:w="108" w:type="dxa"/>
          </w:tblCellMar>
        </w:tblPrEx>
        <w:trPr>
          <w:cantSplit/>
          <w:trHeight w:hRule="exact" w:val="300"/>
          <w:jc w:val="left"/>
        </w:trPr>
        <w:tc>
          <w:tcPr>
            <w:tcW w:w="4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8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45" w:type="dxa"/>
          <w:jc w:val="left"/>
          <w:tblInd w:w="0" w:type="dxa"/>
          <w:tblLayout w:type="fixed"/>
          <w:tblCellMar>
            <w:left w:w="108" w:type="dxa"/>
            <w:right w:w="108" w:type="dxa"/>
          </w:tblCellMar>
        </w:tblPrEx>
        <w:trPr>
          <w:cantSplit/>
          <w:trHeight w:hRule="exact" w:val="495"/>
          <w:jc w:val="left"/>
        </w:trPr>
        <w:tc>
          <w:tcPr>
            <w:tcW w:w="43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w:t>
            </w:r>
          </w:p>
        </w:tc>
        <w:tc>
          <w:tcPr>
            <w:tcW w:w="975" w:type="dxa"/>
            <w:tcBorders>
              <w:top w:val="nil"/>
              <w:left w:val="nil"/>
              <w:bottom w:val="nil"/>
              <w:right w:val="nil"/>
            </w:tcBorders>
            <w:tcMar>
              <w:top w:w="0" w:type="dxa"/>
              <w:left w:w="53" w:type="dxa"/>
              <w:bottom w:w="0" w:type="dxa"/>
              <w:right w:w="53" w:type="dxa"/>
            </w:tcMar>
            <w:vAlign w:val="center"/>
          </w:tcPr>
          <w:p>
            <w:pPr>
              <w:keepNext/>
              <w:pageBreakBefore w:val="0"/>
              <w:numPr>
                <w:ilvl w:val="0"/>
                <w:numId w:val="0"/>
              </w:numPr>
              <w:spacing w:before="0" w:after="0" w:line="240" w:lineRule="auto"/>
              <w:ind w:left="135"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10.</w:t>
            </w:r>
            <w:r>
              <w:rPr>
                <w:rFonts w:ascii="Times New Roman" w:eastAsia="Times New Roman" w:hAnsi="Times New Roman" w:cs="Times New Roman"/>
                <w:b w:val="0"/>
                <w:i w:val="0"/>
                <w:sz w:val="20"/>
              </w:rPr>
              <w:t>4</w:t>
            </w:r>
          </w:p>
        </w:tc>
        <w:tc>
          <w:tcPr>
            <w:tcW w:w="8835" w:type="dxa"/>
            <w:tcBorders>
              <w:top w:val="nil"/>
              <w:left w:val="nil"/>
              <w:bottom w:val="nil"/>
              <w:right w:val="nil"/>
            </w:tcBorders>
            <w:tcMar>
              <w:top w:w="0" w:type="dxa"/>
              <w:left w:w="53" w:type="dxa"/>
              <w:bottom w:w="0" w:type="dxa"/>
              <w:right w:w="53" w:type="dxa"/>
            </w:tcMar>
            <w:vAlign w:val="center"/>
          </w:tcPr>
          <w:p>
            <w:pPr>
              <w:keepNext/>
              <w:pageBreakBefore w:val="0"/>
              <w:numPr>
                <w:ilvl w:val="0"/>
                <w:numId w:val="0"/>
              </w:numPr>
              <w:spacing w:before="0" w:after="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138" w:history="1">
              <w:r>
                <w:rPr>
                  <w:rFonts w:ascii="Times New Roman" w:eastAsia="Times New Roman" w:hAnsi="Times New Roman" w:cs="Times New Roman"/>
                  <w:b w:val="0"/>
                  <w:i w:val="0"/>
                  <w:color w:val="0000FF"/>
                  <w:sz w:val="20"/>
                  <w:u w:val="single"/>
                  <w:shd w:val="clear" w:color="auto" w:fill="auto"/>
                </w:rPr>
                <w:t>Form of Performance Share Unit Award Agreement (incorporated by reference to Exhibit 10.42 of Halliburton's Form 10-K filed February 12, 2025, File No. 001-03492).</w:t>
              </w:r>
            </w:hyperlink>
          </w:p>
        </w:tc>
      </w:tr>
      <w:tr>
        <w:tblPrEx>
          <w:tblW w:w="10245" w:type="dxa"/>
          <w:jc w:val="left"/>
          <w:tblInd w:w="0" w:type="dxa"/>
          <w:tblLayout w:type="fixed"/>
          <w:tblCellMar>
            <w:left w:w="108" w:type="dxa"/>
            <w:right w:w="108" w:type="dxa"/>
          </w:tblCellMar>
        </w:tblPrEx>
        <w:trPr>
          <w:cantSplit/>
          <w:trHeight w:hRule="exact" w:val="300"/>
          <w:jc w:val="left"/>
        </w:trPr>
        <w:tc>
          <w:tcPr>
            <w:tcW w:w="4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8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45" w:type="dxa"/>
          <w:jc w:val="left"/>
          <w:tblInd w:w="0" w:type="dxa"/>
          <w:tblLayout w:type="fixed"/>
          <w:tblCellMar>
            <w:left w:w="108" w:type="dxa"/>
            <w:right w:w="108" w:type="dxa"/>
          </w:tblCellMar>
        </w:tblPrEx>
        <w:trPr>
          <w:cantSplit/>
          <w:trHeight w:hRule="exact" w:val="705"/>
          <w:jc w:val="left"/>
        </w:trPr>
        <w:tc>
          <w:tcPr>
            <w:tcW w:w="43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w:t>
            </w:r>
          </w:p>
        </w:tc>
        <w:tc>
          <w:tcPr>
            <w:tcW w:w="975" w:type="dxa"/>
            <w:tcBorders>
              <w:top w:val="nil"/>
              <w:left w:val="nil"/>
              <w:bottom w:val="nil"/>
              <w:right w:val="nil"/>
            </w:tcBorders>
            <w:tcMar>
              <w:top w:w="0" w:type="dxa"/>
              <w:left w:w="53" w:type="dxa"/>
              <w:bottom w:w="0" w:type="dxa"/>
              <w:right w:w="53" w:type="dxa"/>
            </w:tcMar>
            <w:vAlign w:val="center"/>
          </w:tcPr>
          <w:p>
            <w:pPr>
              <w:keepNext/>
              <w:pageBreakBefore w:val="0"/>
              <w:numPr>
                <w:ilvl w:val="0"/>
                <w:numId w:val="0"/>
              </w:numPr>
              <w:spacing w:before="0" w:after="0" w:line="240" w:lineRule="auto"/>
              <w:ind w:left="135"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10.</w:t>
            </w:r>
            <w:r>
              <w:rPr>
                <w:rFonts w:ascii="Times New Roman" w:eastAsia="Times New Roman" w:hAnsi="Times New Roman" w:cs="Times New Roman"/>
                <w:b w:val="0"/>
                <w:i w:val="0"/>
                <w:sz w:val="20"/>
              </w:rPr>
              <w:t>5</w:t>
            </w:r>
          </w:p>
        </w:tc>
        <w:tc>
          <w:tcPr>
            <w:tcW w:w="8835" w:type="dxa"/>
            <w:tcBorders>
              <w:top w:val="nil"/>
              <w:left w:val="nil"/>
              <w:bottom w:val="nil"/>
              <w:right w:val="nil"/>
            </w:tcBorders>
            <w:tcMar>
              <w:top w:w="0" w:type="dxa"/>
              <w:left w:w="53" w:type="dxa"/>
              <w:bottom w:w="0" w:type="dxa"/>
              <w:right w:w="53" w:type="dxa"/>
            </w:tcMar>
            <w:vAlign w:val="center"/>
          </w:tcPr>
          <w:p>
            <w:pPr>
              <w:keepNext/>
              <w:pageBreakBefore w:val="0"/>
              <w:numPr>
                <w:ilvl w:val="0"/>
                <w:numId w:val="0"/>
              </w:numPr>
              <w:spacing w:before="0" w:after="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139" w:history="1">
              <w:r>
                <w:rPr>
                  <w:rFonts w:ascii="Times New Roman" w:eastAsia="Times New Roman" w:hAnsi="Times New Roman" w:cs="Times New Roman"/>
                  <w:b w:val="0"/>
                  <w:i w:val="0"/>
                  <w:color w:val="0000FF"/>
                  <w:sz w:val="20"/>
                  <w:u w:val="single"/>
                  <w:shd w:val="clear" w:color="auto" w:fill="auto"/>
                </w:rPr>
                <w:t>Form of Non-Management Director Restricted Stock Unit Agreement (Stock and Incentive Plan)  (incorporated by reference to Exhibit 10.43 of Halliburton's Form 10-K filed February 12, 2025, File No. 001-03492).</w:t>
              </w:r>
            </w:hyperlink>
          </w:p>
        </w:tc>
      </w:tr>
      <w:tr>
        <w:tblPrEx>
          <w:tblW w:w="10245" w:type="dxa"/>
          <w:jc w:val="left"/>
          <w:tblInd w:w="0" w:type="dxa"/>
          <w:tblLayout w:type="fixed"/>
          <w:tblCellMar>
            <w:left w:w="108" w:type="dxa"/>
            <w:right w:w="108" w:type="dxa"/>
          </w:tblCellMar>
        </w:tblPrEx>
        <w:trPr>
          <w:cantSplit/>
          <w:trHeight w:hRule="exact" w:val="300"/>
          <w:jc w:val="left"/>
        </w:trPr>
        <w:tc>
          <w:tcPr>
            <w:tcW w:w="4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8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45" w:type="dxa"/>
          <w:jc w:val="left"/>
          <w:tblInd w:w="0" w:type="dxa"/>
          <w:tblLayout w:type="fixed"/>
          <w:tblCellMar>
            <w:left w:w="108" w:type="dxa"/>
            <w:right w:w="108" w:type="dxa"/>
          </w:tblCellMar>
        </w:tblPrEx>
        <w:trPr>
          <w:cantSplit/>
          <w:trHeight w:hRule="exact" w:val="300"/>
          <w:jc w:val="left"/>
        </w:trPr>
        <w:tc>
          <w:tcPr>
            <w:tcW w:w="43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w:t>
            </w:r>
          </w:p>
        </w:tc>
        <w:tc>
          <w:tcPr>
            <w:tcW w:w="975" w:type="dxa"/>
            <w:tcBorders>
              <w:top w:val="nil"/>
              <w:left w:val="nil"/>
              <w:bottom w:val="nil"/>
              <w:right w:val="nil"/>
            </w:tcBorders>
            <w:tcMar>
              <w:top w:w="0" w:type="dxa"/>
              <w:left w:w="53" w:type="dxa"/>
              <w:bottom w:w="0" w:type="dxa"/>
              <w:right w:w="53" w:type="dxa"/>
            </w:tcMar>
            <w:vAlign w:val="center"/>
          </w:tcPr>
          <w:p>
            <w:pPr>
              <w:keepNext/>
              <w:pageBreakBefore w:val="0"/>
              <w:spacing w:before="0" w:after="0" w:line="240" w:lineRule="auto"/>
              <w:ind w:right="135"/>
              <w:jc w:val="both"/>
            </w:pPr>
            <w:r>
              <w:rPr>
                <w:rFonts w:ascii="Times New Roman" w:eastAsia="Times New Roman" w:hAnsi="Times New Roman" w:cs="Times New Roman"/>
                <w:b w:val="0"/>
                <w:i w:val="0"/>
                <w:color w:val="000000"/>
                <w:sz w:val="20"/>
                <w:u w:val="none"/>
              </w:rPr>
              <w:t>31.1</w:t>
            </w:r>
          </w:p>
        </w:tc>
        <w:tc>
          <w:tcPr>
            <w:tcW w:w="8835" w:type="dxa"/>
            <w:tcBorders>
              <w:top w:val="nil"/>
              <w:left w:val="nil"/>
              <w:bottom w:val="nil"/>
              <w:right w:val="nil"/>
            </w:tcBorders>
            <w:tcMar>
              <w:top w:w="0" w:type="dxa"/>
              <w:left w:w="53" w:type="dxa"/>
              <w:bottom w:w="0" w:type="dxa"/>
              <w:right w:w="53" w:type="dxa"/>
            </w:tcMar>
            <w:vAlign w:val="center"/>
          </w:tcPr>
          <w:p>
            <w:pPr>
              <w:keepNext/>
              <w:pageBreakBefore w:val="0"/>
              <w:numPr>
                <w:ilvl w:val="0"/>
                <w:numId w:val="0"/>
              </w:numPr>
              <w:spacing w:before="0" w:after="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140" w:history="1">
              <w:r>
                <w:rPr>
                  <w:rFonts w:ascii="Times New Roman" w:eastAsia="Times New Roman" w:hAnsi="Times New Roman" w:cs="Times New Roman"/>
                  <w:b w:val="0"/>
                  <w:i w:val="0"/>
                  <w:color w:val="0000FF"/>
                  <w:sz w:val="20"/>
                  <w:u w:val="single"/>
                  <w:shd w:val="clear" w:color="auto" w:fill="auto"/>
                </w:rPr>
                <w:t>Certification of Chief Executive Officer pursuant to Section 302 of the Sarbanes-Oxley Act of 2002.</w:t>
              </w:r>
            </w:hyperlink>
          </w:p>
        </w:tc>
      </w:tr>
      <w:tr>
        <w:tblPrEx>
          <w:tblW w:w="10245" w:type="dxa"/>
          <w:jc w:val="left"/>
          <w:tblInd w:w="0" w:type="dxa"/>
          <w:tblLayout w:type="fixed"/>
          <w:tblCellMar>
            <w:left w:w="108" w:type="dxa"/>
            <w:right w:w="108" w:type="dxa"/>
          </w:tblCellMar>
        </w:tblPrEx>
        <w:trPr>
          <w:cantSplit/>
          <w:trHeight w:hRule="exact" w:val="300"/>
          <w:jc w:val="left"/>
        </w:trPr>
        <w:tc>
          <w:tcPr>
            <w:tcW w:w="43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 </w:t>
            </w:r>
          </w:p>
        </w:tc>
        <w:tc>
          <w:tcPr>
            <w:tcW w:w="97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 </w:t>
            </w:r>
          </w:p>
        </w:tc>
        <w:tc>
          <w:tcPr>
            <w:tcW w:w="88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45" w:type="dxa"/>
          <w:jc w:val="left"/>
          <w:tblInd w:w="0" w:type="dxa"/>
          <w:tblLayout w:type="fixed"/>
          <w:tblCellMar>
            <w:left w:w="108" w:type="dxa"/>
            <w:right w:w="108" w:type="dxa"/>
          </w:tblCellMar>
        </w:tblPrEx>
        <w:trPr>
          <w:cantSplit/>
          <w:trHeight w:hRule="exact" w:val="300"/>
          <w:jc w:val="left"/>
        </w:trPr>
        <w:tc>
          <w:tcPr>
            <w:tcW w:w="43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w:t>
            </w:r>
          </w:p>
        </w:tc>
        <w:tc>
          <w:tcPr>
            <w:tcW w:w="97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ind w:right="135"/>
              <w:jc w:val="both"/>
            </w:pPr>
            <w:r>
              <w:rPr>
                <w:rFonts w:ascii="Times New Roman" w:eastAsia="Times New Roman" w:hAnsi="Times New Roman" w:cs="Times New Roman"/>
                <w:b w:val="0"/>
                <w:i w:val="0"/>
                <w:color w:val="000000"/>
                <w:sz w:val="20"/>
                <w:u w:val="none"/>
              </w:rPr>
              <w:t>31.2</w:t>
            </w:r>
          </w:p>
        </w:tc>
        <w:tc>
          <w:tcPr>
            <w:tcW w:w="8835" w:type="dxa"/>
            <w:tcBorders>
              <w:top w:val="nil"/>
              <w:left w:val="nil"/>
              <w:bottom w:val="nil"/>
              <w:right w:val="nil"/>
            </w:tcBorders>
            <w:tcMar>
              <w:top w:w="0" w:type="dxa"/>
              <w:left w:w="53" w:type="dxa"/>
              <w:bottom w:w="0" w:type="dxa"/>
              <w:right w:w="53" w:type="dxa"/>
            </w:tcMar>
            <w:vAlign w:val="center"/>
          </w:tcPr>
          <w:p>
            <w:pPr>
              <w:keepNext/>
              <w:pageBreakBefore w:val="0"/>
              <w:numPr>
                <w:ilvl w:val="0"/>
                <w:numId w:val="0"/>
              </w:numPr>
              <w:spacing w:before="0" w:after="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141" w:history="1">
              <w:r>
                <w:rPr>
                  <w:rFonts w:ascii="Times New Roman" w:eastAsia="Times New Roman" w:hAnsi="Times New Roman" w:cs="Times New Roman"/>
                  <w:b w:val="0"/>
                  <w:i w:val="0"/>
                  <w:color w:val="0000FF"/>
                  <w:sz w:val="20"/>
                  <w:u w:val="single"/>
                  <w:shd w:val="clear" w:color="auto" w:fill="auto"/>
                </w:rPr>
                <w:t>Certification of Chief Financial Officer pursuant to Section 302 of the Sarbanes-Oxley Act of 2002.</w:t>
              </w:r>
            </w:hyperlink>
          </w:p>
        </w:tc>
      </w:tr>
      <w:tr>
        <w:tblPrEx>
          <w:tblW w:w="10245" w:type="dxa"/>
          <w:jc w:val="left"/>
          <w:tblInd w:w="0" w:type="dxa"/>
          <w:tblLayout w:type="fixed"/>
          <w:tblCellMar>
            <w:left w:w="108" w:type="dxa"/>
            <w:right w:w="108" w:type="dxa"/>
          </w:tblCellMar>
        </w:tblPrEx>
        <w:trPr>
          <w:cantSplit/>
          <w:trHeight w:hRule="exact" w:val="300"/>
          <w:jc w:val="left"/>
        </w:trPr>
        <w:tc>
          <w:tcPr>
            <w:tcW w:w="43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 </w:t>
            </w:r>
          </w:p>
        </w:tc>
        <w:tc>
          <w:tcPr>
            <w:tcW w:w="97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 </w:t>
            </w:r>
          </w:p>
        </w:tc>
        <w:tc>
          <w:tcPr>
            <w:tcW w:w="88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45" w:type="dxa"/>
          <w:jc w:val="left"/>
          <w:tblInd w:w="0" w:type="dxa"/>
          <w:tblLayout w:type="fixed"/>
          <w:tblCellMar>
            <w:left w:w="108" w:type="dxa"/>
            <w:right w:w="108" w:type="dxa"/>
          </w:tblCellMar>
        </w:tblPrEx>
        <w:trPr>
          <w:cantSplit/>
          <w:trHeight w:hRule="exact" w:val="300"/>
          <w:jc w:val="left"/>
        </w:trPr>
        <w:tc>
          <w:tcPr>
            <w:tcW w:w="43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w:t>
            </w:r>
          </w:p>
        </w:tc>
        <w:tc>
          <w:tcPr>
            <w:tcW w:w="97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ind w:right="135"/>
              <w:jc w:val="both"/>
            </w:pPr>
            <w:r>
              <w:rPr>
                <w:rFonts w:ascii="Times New Roman" w:eastAsia="Times New Roman" w:hAnsi="Times New Roman" w:cs="Times New Roman"/>
                <w:b w:val="0"/>
                <w:i w:val="0"/>
                <w:color w:val="000000"/>
                <w:sz w:val="20"/>
                <w:u w:val="none"/>
              </w:rPr>
              <w:t>32.1</w:t>
            </w:r>
          </w:p>
        </w:tc>
        <w:tc>
          <w:tcPr>
            <w:tcW w:w="8835" w:type="dxa"/>
            <w:tcBorders>
              <w:top w:val="nil"/>
              <w:left w:val="nil"/>
              <w:bottom w:val="nil"/>
              <w:right w:val="nil"/>
            </w:tcBorders>
            <w:tcMar>
              <w:top w:w="0" w:type="dxa"/>
              <w:left w:w="53" w:type="dxa"/>
              <w:bottom w:w="0" w:type="dxa"/>
              <w:right w:w="53" w:type="dxa"/>
            </w:tcMar>
            <w:vAlign w:val="center"/>
          </w:tcPr>
          <w:p>
            <w:pPr>
              <w:keepNext/>
              <w:pageBreakBefore w:val="0"/>
              <w:numPr>
                <w:ilvl w:val="0"/>
                <w:numId w:val="0"/>
              </w:numPr>
              <w:spacing w:before="0" w:after="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142" w:history="1">
              <w:r>
                <w:rPr>
                  <w:rFonts w:ascii="Times New Roman" w:eastAsia="Times New Roman" w:hAnsi="Times New Roman" w:cs="Times New Roman"/>
                  <w:b w:val="0"/>
                  <w:i w:val="0"/>
                  <w:color w:val="0000FF"/>
                  <w:sz w:val="20"/>
                  <w:u w:val="single"/>
                  <w:shd w:val="clear" w:color="auto" w:fill="auto"/>
                </w:rPr>
                <w:t>Certification of Chief Executive Officer pursuant to Section 906 of the Sarbanes-Oxley Act of 2002.</w:t>
              </w:r>
            </w:hyperlink>
          </w:p>
        </w:tc>
      </w:tr>
      <w:tr>
        <w:tblPrEx>
          <w:tblW w:w="10245" w:type="dxa"/>
          <w:jc w:val="left"/>
          <w:tblInd w:w="0" w:type="dxa"/>
          <w:tblLayout w:type="fixed"/>
          <w:tblCellMar>
            <w:left w:w="108" w:type="dxa"/>
            <w:right w:w="108" w:type="dxa"/>
          </w:tblCellMar>
        </w:tblPrEx>
        <w:trPr>
          <w:cantSplit/>
          <w:trHeight w:hRule="exact" w:val="300"/>
          <w:jc w:val="left"/>
        </w:trPr>
        <w:tc>
          <w:tcPr>
            <w:tcW w:w="43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 </w:t>
            </w:r>
          </w:p>
        </w:tc>
        <w:tc>
          <w:tcPr>
            <w:tcW w:w="97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 </w:t>
            </w:r>
          </w:p>
        </w:tc>
        <w:tc>
          <w:tcPr>
            <w:tcW w:w="88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45" w:type="dxa"/>
          <w:jc w:val="left"/>
          <w:tblInd w:w="0" w:type="dxa"/>
          <w:tblLayout w:type="fixed"/>
          <w:tblCellMar>
            <w:left w:w="108" w:type="dxa"/>
            <w:right w:w="108" w:type="dxa"/>
          </w:tblCellMar>
        </w:tblPrEx>
        <w:trPr>
          <w:cantSplit/>
          <w:trHeight w:hRule="exact" w:val="300"/>
          <w:jc w:val="left"/>
        </w:trPr>
        <w:tc>
          <w:tcPr>
            <w:tcW w:w="43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w:t>
            </w:r>
          </w:p>
        </w:tc>
        <w:tc>
          <w:tcPr>
            <w:tcW w:w="97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ind w:right="135"/>
              <w:jc w:val="both"/>
            </w:pPr>
            <w:r>
              <w:rPr>
                <w:rFonts w:ascii="Times New Roman" w:eastAsia="Times New Roman" w:hAnsi="Times New Roman" w:cs="Times New Roman"/>
                <w:b w:val="0"/>
                <w:i w:val="0"/>
                <w:color w:val="000000"/>
                <w:sz w:val="20"/>
                <w:u w:val="none"/>
              </w:rPr>
              <w:t>32.2</w:t>
            </w:r>
          </w:p>
        </w:tc>
        <w:tc>
          <w:tcPr>
            <w:tcW w:w="8835" w:type="dxa"/>
            <w:tcBorders>
              <w:top w:val="nil"/>
              <w:left w:val="nil"/>
              <w:bottom w:val="nil"/>
              <w:right w:val="nil"/>
            </w:tcBorders>
            <w:tcMar>
              <w:top w:w="0" w:type="dxa"/>
              <w:left w:w="53" w:type="dxa"/>
              <w:bottom w:w="0" w:type="dxa"/>
              <w:right w:w="53" w:type="dxa"/>
            </w:tcMar>
            <w:vAlign w:val="center"/>
          </w:tcPr>
          <w:p>
            <w:pPr>
              <w:keepNext/>
              <w:pageBreakBefore w:val="0"/>
              <w:numPr>
                <w:ilvl w:val="0"/>
                <w:numId w:val="0"/>
              </w:numPr>
              <w:spacing w:before="0" w:after="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143" w:history="1">
              <w:r>
                <w:rPr>
                  <w:rFonts w:ascii="Times New Roman" w:eastAsia="Times New Roman" w:hAnsi="Times New Roman" w:cs="Times New Roman"/>
                  <w:b w:val="0"/>
                  <w:i w:val="0"/>
                  <w:color w:val="0000FF"/>
                  <w:sz w:val="20"/>
                  <w:u w:val="single"/>
                  <w:shd w:val="clear" w:color="auto" w:fill="auto"/>
                </w:rPr>
                <w:t>Certification of Chief Financial Officer pursuant to Section 906 of the Sarbanes-Oxley Act of 2002.</w:t>
              </w:r>
            </w:hyperlink>
          </w:p>
        </w:tc>
      </w:tr>
      <w:tr>
        <w:tblPrEx>
          <w:tblW w:w="10245" w:type="dxa"/>
          <w:jc w:val="left"/>
          <w:tblInd w:w="0" w:type="dxa"/>
          <w:tblLayout w:type="fixed"/>
          <w:tblCellMar>
            <w:left w:w="108" w:type="dxa"/>
            <w:right w:w="108" w:type="dxa"/>
          </w:tblCellMar>
        </w:tblPrEx>
        <w:trPr>
          <w:cantSplit/>
          <w:trHeight w:hRule="exact" w:val="300"/>
          <w:jc w:val="left"/>
        </w:trPr>
        <w:tc>
          <w:tcPr>
            <w:tcW w:w="43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 </w:t>
            </w:r>
          </w:p>
        </w:tc>
        <w:tc>
          <w:tcPr>
            <w:tcW w:w="97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 </w:t>
            </w:r>
          </w:p>
        </w:tc>
        <w:tc>
          <w:tcPr>
            <w:tcW w:w="88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45" w:type="dxa"/>
          <w:jc w:val="left"/>
          <w:tblInd w:w="0" w:type="dxa"/>
          <w:tblLayout w:type="fixed"/>
          <w:tblCellMar>
            <w:left w:w="108" w:type="dxa"/>
            <w:right w:w="108" w:type="dxa"/>
          </w:tblCellMar>
        </w:tblPrEx>
        <w:trPr>
          <w:cantSplit/>
          <w:trHeight w:hRule="exact" w:val="300"/>
          <w:jc w:val="left"/>
        </w:trPr>
        <w:tc>
          <w:tcPr>
            <w:tcW w:w="43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w:t>
            </w:r>
          </w:p>
        </w:tc>
        <w:tc>
          <w:tcPr>
            <w:tcW w:w="97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ind w:right="135"/>
              <w:jc w:val="both"/>
            </w:pPr>
            <w:r>
              <w:rPr>
                <w:rFonts w:ascii="Times New Roman" w:eastAsia="Times New Roman" w:hAnsi="Times New Roman" w:cs="Times New Roman"/>
                <w:b w:val="0"/>
                <w:i w:val="0"/>
                <w:color w:val="000000"/>
                <w:sz w:val="20"/>
                <w:u w:val="none"/>
              </w:rPr>
              <w:t>95</w:t>
            </w:r>
          </w:p>
        </w:tc>
        <w:tc>
          <w:tcPr>
            <w:tcW w:w="8835" w:type="dxa"/>
            <w:tcBorders>
              <w:top w:val="nil"/>
              <w:left w:val="nil"/>
              <w:bottom w:val="nil"/>
              <w:right w:val="nil"/>
            </w:tcBorders>
            <w:tcMar>
              <w:top w:w="0" w:type="dxa"/>
              <w:left w:w="53" w:type="dxa"/>
              <w:bottom w:w="0" w:type="dxa"/>
              <w:right w:w="53" w:type="dxa"/>
            </w:tcMar>
            <w:vAlign w:val="center"/>
          </w:tcPr>
          <w:p>
            <w:pPr>
              <w:keepNext/>
              <w:pageBreakBefore w:val="0"/>
              <w:numPr>
                <w:ilvl w:val="0"/>
                <w:numId w:val="0"/>
              </w:numPr>
              <w:spacing w:before="0" w:after="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144" w:history="1">
              <w:r>
                <w:rPr>
                  <w:rFonts w:ascii="Times New Roman" w:eastAsia="Times New Roman" w:hAnsi="Times New Roman" w:cs="Times New Roman"/>
                  <w:b w:val="0"/>
                  <w:i w:val="0"/>
                  <w:color w:val="0000FF"/>
                  <w:sz w:val="20"/>
                  <w:u w:val="single"/>
                  <w:shd w:val="clear" w:color="auto" w:fill="auto"/>
                </w:rPr>
                <w:t>Mine Safety Disclosures.</w:t>
              </w:r>
            </w:hyperlink>
          </w:p>
        </w:tc>
      </w:tr>
      <w:tr>
        <w:tblPrEx>
          <w:tblW w:w="10245" w:type="dxa"/>
          <w:jc w:val="left"/>
          <w:tblInd w:w="0" w:type="dxa"/>
          <w:tblLayout w:type="fixed"/>
          <w:tblCellMar>
            <w:left w:w="108" w:type="dxa"/>
            <w:right w:w="108" w:type="dxa"/>
          </w:tblCellMar>
        </w:tblPrEx>
        <w:trPr>
          <w:cantSplit/>
          <w:trHeight w:hRule="exact" w:val="300"/>
          <w:jc w:val="left"/>
        </w:trPr>
        <w:tc>
          <w:tcPr>
            <w:tcW w:w="4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835"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both"/>
            </w:pPr>
          </w:p>
        </w:tc>
      </w:tr>
      <w:tr>
        <w:tblPrEx>
          <w:tblW w:w="10245" w:type="dxa"/>
          <w:jc w:val="left"/>
          <w:tblInd w:w="0" w:type="dxa"/>
          <w:tblLayout w:type="fixed"/>
          <w:tblCellMar>
            <w:left w:w="108" w:type="dxa"/>
            <w:right w:w="108" w:type="dxa"/>
          </w:tblCellMar>
        </w:tblPrEx>
        <w:trPr>
          <w:cantSplit/>
          <w:trHeight w:hRule="exact" w:val="525"/>
          <w:jc w:val="left"/>
        </w:trPr>
        <w:tc>
          <w:tcPr>
            <w:tcW w:w="43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w:t>
            </w:r>
          </w:p>
        </w:tc>
        <w:tc>
          <w:tcPr>
            <w:tcW w:w="97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101.INS</w:t>
            </w:r>
          </w:p>
        </w:tc>
        <w:tc>
          <w:tcPr>
            <w:tcW w:w="883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XBRL Instance Document - the instance document does not appear in the Interactive Data File because its XBRL tags are embedded within the Inline XBRL document</w:t>
            </w:r>
          </w:p>
        </w:tc>
      </w:tr>
      <w:tr>
        <w:tblPrEx>
          <w:tblW w:w="10245" w:type="dxa"/>
          <w:jc w:val="left"/>
          <w:tblInd w:w="0" w:type="dxa"/>
          <w:tblLayout w:type="fixed"/>
          <w:tblCellMar>
            <w:left w:w="108" w:type="dxa"/>
            <w:right w:w="108" w:type="dxa"/>
          </w:tblCellMar>
        </w:tblPrEx>
        <w:trPr>
          <w:cantSplit/>
          <w:trHeight w:hRule="exact" w:val="300"/>
          <w:jc w:val="left"/>
        </w:trPr>
        <w:tc>
          <w:tcPr>
            <w:tcW w:w="43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w:t>
            </w:r>
          </w:p>
        </w:tc>
        <w:tc>
          <w:tcPr>
            <w:tcW w:w="97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101.SCH</w:t>
            </w:r>
          </w:p>
        </w:tc>
        <w:tc>
          <w:tcPr>
            <w:tcW w:w="883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XBRL Taxonomy Extension Schema Document</w:t>
            </w:r>
          </w:p>
        </w:tc>
      </w:tr>
      <w:tr>
        <w:tblPrEx>
          <w:tblW w:w="10245" w:type="dxa"/>
          <w:jc w:val="left"/>
          <w:tblInd w:w="0" w:type="dxa"/>
          <w:tblLayout w:type="fixed"/>
          <w:tblCellMar>
            <w:left w:w="108" w:type="dxa"/>
            <w:right w:w="108" w:type="dxa"/>
          </w:tblCellMar>
        </w:tblPrEx>
        <w:trPr>
          <w:cantSplit/>
          <w:trHeight w:hRule="exact" w:val="300"/>
          <w:jc w:val="left"/>
        </w:trPr>
        <w:tc>
          <w:tcPr>
            <w:tcW w:w="43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w:t>
            </w:r>
          </w:p>
        </w:tc>
        <w:tc>
          <w:tcPr>
            <w:tcW w:w="97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101.CAL</w:t>
            </w:r>
          </w:p>
        </w:tc>
        <w:tc>
          <w:tcPr>
            <w:tcW w:w="883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XBRL Taxonomy Extension Calculation Linkbase Document</w:t>
            </w:r>
          </w:p>
        </w:tc>
      </w:tr>
      <w:tr>
        <w:tblPrEx>
          <w:tblW w:w="10245" w:type="dxa"/>
          <w:jc w:val="left"/>
          <w:tblInd w:w="0" w:type="dxa"/>
          <w:tblLayout w:type="fixed"/>
          <w:tblCellMar>
            <w:left w:w="108" w:type="dxa"/>
            <w:right w:w="108" w:type="dxa"/>
          </w:tblCellMar>
        </w:tblPrEx>
        <w:trPr>
          <w:cantSplit/>
          <w:trHeight w:hRule="exact" w:val="315"/>
          <w:jc w:val="left"/>
        </w:trPr>
        <w:tc>
          <w:tcPr>
            <w:tcW w:w="43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w:t>
            </w:r>
          </w:p>
        </w:tc>
        <w:tc>
          <w:tcPr>
            <w:tcW w:w="97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101.LAB</w:t>
            </w:r>
          </w:p>
        </w:tc>
        <w:tc>
          <w:tcPr>
            <w:tcW w:w="883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XBRL Taxonomy Extension Label Linkbase Document</w:t>
            </w:r>
          </w:p>
        </w:tc>
      </w:tr>
      <w:tr>
        <w:tblPrEx>
          <w:tblW w:w="10245" w:type="dxa"/>
          <w:jc w:val="left"/>
          <w:tblInd w:w="0" w:type="dxa"/>
          <w:tblLayout w:type="fixed"/>
          <w:tblCellMar>
            <w:left w:w="108" w:type="dxa"/>
            <w:right w:w="108" w:type="dxa"/>
          </w:tblCellMar>
        </w:tblPrEx>
        <w:trPr>
          <w:cantSplit/>
          <w:trHeight w:hRule="exact" w:val="300"/>
          <w:jc w:val="left"/>
        </w:trPr>
        <w:tc>
          <w:tcPr>
            <w:tcW w:w="43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w:t>
            </w:r>
          </w:p>
        </w:tc>
        <w:tc>
          <w:tcPr>
            <w:tcW w:w="97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101.PRE</w:t>
            </w:r>
          </w:p>
        </w:tc>
        <w:tc>
          <w:tcPr>
            <w:tcW w:w="883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XBRL Taxonomy Extension Presentation Linkbase Document</w:t>
            </w:r>
          </w:p>
        </w:tc>
      </w:tr>
      <w:tr>
        <w:tblPrEx>
          <w:tblW w:w="10245" w:type="dxa"/>
          <w:jc w:val="left"/>
          <w:tblInd w:w="0" w:type="dxa"/>
          <w:tblLayout w:type="fixed"/>
          <w:tblCellMar>
            <w:left w:w="108" w:type="dxa"/>
            <w:right w:w="108" w:type="dxa"/>
          </w:tblCellMar>
        </w:tblPrEx>
        <w:trPr>
          <w:cantSplit/>
          <w:trHeight w:hRule="exact" w:val="300"/>
          <w:jc w:val="left"/>
        </w:trPr>
        <w:tc>
          <w:tcPr>
            <w:tcW w:w="43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w:t>
            </w:r>
          </w:p>
        </w:tc>
        <w:tc>
          <w:tcPr>
            <w:tcW w:w="97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101.DEF</w:t>
            </w:r>
          </w:p>
        </w:tc>
        <w:tc>
          <w:tcPr>
            <w:tcW w:w="883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XBRL Taxonomy Extension Definition Linkbase Document</w:t>
            </w:r>
          </w:p>
        </w:tc>
      </w:tr>
      <w:tr>
        <w:tblPrEx>
          <w:tblW w:w="10245" w:type="dxa"/>
          <w:jc w:val="left"/>
          <w:tblInd w:w="0" w:type="dxa"/>
          <w:tblLayout w:type="fixed"/>
          <w:tblCellMar>
            <w:left w:w="108" w:type="dxa"/>
            <w:right w:w="108" w:type="dxa"/>
          </w:tblCellMar>
        </w:tblPrEx>
        <w:trPr>
          <w:cantSplit/>
          <w:trHeight w:hRule="exact" w:val="495"/>
          <w:jc w:val="left"/>
        </w:trPr>
        <w:tc>
          <w:tcPr>
            <w:tcW w:w="43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w:t>
            </w:r>
          </w:p>
        </w:tc>
        <w:tc>
          <w:tcPr>
            <w:tcW w:w="97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104</w:t>
            </w:r>
          </w:p>
        </w:tc>
        <w:tc>
          <w:tcPr>
            <w:tcW w:w="883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Cover Page Interactive Data File - the cover page interactive data file does not appear in the Interactive Data File because its XBRL tags are embedded within the Inline XBRL document</w:t>
            </w:r>
          </w:p>
        </w:tc>
      </w:tr>
      <w:tr>
        <w:tblPrEx>
          <w:tblW w:w="10245" w:type="dxa"/>
          <w:jc w:val="left"/>
          <w:tblInd w:w="0" w:type="dxa"/>
          <w:tblLayout w:type="fixed"/>
          <w:tblCellMar>
            <w:left w:w="108" w:type="dxa"/>
            <w:right w:w="108" w:type="dxa"/>
          </w:tblCellMar>
        </w:tblPrEx>
        <w:trPr>
          <w:cantSplit/>
          <w:trHeight w:hRule="exact" w:val="300"/>
          <w:jc w:val="left"/>
        </w:trPr>
        <w:tc>
          <w:tcPr>
            <w:tcW w:w="4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8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45" w:type="dxa"/>
          <w:jc w:val="left"/>
          <w:tblInd w:w="0" w:type="dxa"/>
          <w:tblLayout w:type="fixed"/>
          <w:tblCellMar>
            <w:left w:w="108" w:type="dxa"/>
            <w:right w:w="108" w:type="dxa"/>
          </w:tblCellMar>
        </w:tblPrEx>
        <w:trPr>
          <w:cantSplit/>
          <w:trHeight w:hRule="exact" w:val="300"/>
          <w:jc w:val="left"/>
        </w:trPr>
        <w:tc>
          <w:tcPr>
            <w:tcW w:w="43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 </w:t>
            </w:r>
          </w:p>
        </w:tc>
        <w:tc>
          <w:tcPr>
            <w:tcW w:w="97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w:t>
            </w:r>
          </w:p>
        </w:tc>
        <w:tc>
          <w:tcPr>
            <w:tcW w:w="883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Filed with this Form 10-Q.</w:t>
            </w:r>
          </w:p>
        </w:tc>
      </w:tr>
      <w:tr>
        <w:tblPrEx>
          <w:tblW w:w="10245" w:type="dxa"/>
          <w:jc w:val="left"/>
          <w:tblInd w:w="0" w:type="dxa"/>
          <w:tblLayout w:type="fixed"/>
          <w:tblCellMar>
            <w:left w:w="108" w:type="dxa"/>
            <w:right w:w="108" w:type="dxa"/>
          </w:tblCellMar>
        </w:tblPrEx>
        <w:trPr>
          <w:cantSplit/>
          <w:trHeight w:hRule="exact" w:val="300"/>
          <w:jc w:val="left"/>
        </w:trPr>
        <w:tc>
          <w:tcPr>
            <w:tcW w:w="43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 </w:t>
            </w:r>
          </w:p>
        </w:tc>
        <w:tc>
          <w:tcPr>
            <w:tcW w:w="97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w:t>
            </w:r>
          </w:p>
        </w:tc>
        <w:tc>
          <w:tcPr>
            <w:tcW w:w="883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Furnished with this Form 10-Q.</w:t>
            </w:r>
          </w:p>
        </w:tc>
      </w:tr>
      <w:tr>
        <w:tblPrEx>
          <w:tblW w:w="10245" w:type="dxa"/>
          <w:jc w:val="left"/>
          <w:tblInd w:w="0" w:type="dxa"/>
          <w:tblLayout w:type="fixed"/>
          <w:tblCellMar>
            <w:left w:w="108" w:type="dxa"/>
            <w:right w:w="108" w:type="dxa"/>
          </w:tblCellMar>
        </w:tblPrEx>
        <w:trPr>
          <w:cantSplit/>
          <w:trHeight w:hRule="exact" w:val="300"/>
          <w:jc w:val="left"/>
        </w:trPr>
        <w:tc>
          <w:tcPr>
            <w:tcW w:w="4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7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w:t>
            </w:r>
          </w:p>
        </w:tc>
        <w:tc>
          <w:tcPr>
            <w:tcW w:w="883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both"/>
            </w:pPr>
            <w:r>
              <w:rPr>
                <w:rFonts w:ascii="Times New Roman" w:eastAsia="Times New Roman" w:hAnsi="Times New Roman" w:cs="Times New Roman"/>
                <w:b w:val="0"/>
                <w:i w:val="0"/>
                <w:color w:val="000000"/>
                <w:sz w:val="20"/>
                <w:u w:val="none"/>
              </w:rPr>
              <w:t>Management contracts or compensatory plans or arrangements.</w:t>
            </w:r>
          </w:p>
        </w:tc>
      </w:tr>
      <w:tr>
        <w:tblPrEx>
          <w:tblW w:w="10245" w:type="dxa"/>
          <w:jc w:val="left"/>
          <w:tblInd w:w="0" w:type="dxa"/>
          <w:tblLayout w:type="fixed"/>
          <w:tblCellMar>
            <w:left w:w="108" w:type="dxa"/>
            <w:right w:w="108" w:type="dxa"/>
          </w:tblCellMar>
        </w:tblPrEx>
        <w:trPr>
          <w:cantSplit/>
          <w:trHeight w:hRule="exact" w:val="300"/>
          <w:jc w:val="left"/>
        </w:trPr>
        <w:tc>
          <w:tcPr>
            <w:tcW w:w="4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8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45" w:type="dxa"/>
          <w:jc w:val="left"/>
          <w:tblInd w:w="0" w:type="dxa"/>
          <w:tblLayout w:type="fixed"/>
          <w:tblCellMar>
            <w:left w:w="108" w:type="dxa"/>
            <w:right w:w="108" w:type="dxa"/>
          </w:tblCellMar>
        </w:tblPrEx>
        <w:trPr>
          <w:cantSplit/>
          <w:trHeight w:hRule="exact" w:val="300"/>
          <w:jc w:val="left"/>
        </w:trPr>
        <w:tc>
          <w:tcPr>
            <w:tcW w:w="4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8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45" w:type="dxa"/>
          <w:jc w:val="left"/>
          <w:tblInd w:w="0" w:type="dxa"/>
          <w:tblLayout w:type="fixed"/>
          <w:tblCellMar>
            <w:left w:w="108" w:type="dxa"/>
            <w:right w:w="108" w:type="dxa"/>
          </w:tblCellMar>
        </w:tblPrEx>
        <w:trPr>
          <w:cantSplit/>
          <w:trHeight w:hRule="exact" w:val="300"/>
          <w:jc w:val="left"/>
        </w:trPr>
        <w:tc>
          <w:tcPr>
            <w:tcW w:w="43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97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35"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bl>
    <w:p>
      <w:pPr>
        <w:keepNext w:val="0"/>
        <w:keepLines w:val="0"/>
        <w:pageBreakBefore w:val="0"/>
        <w:widowControl/>
        <w:numPr>
          <w:ilvl w:val="0"/>
          <w:numId w:val="0"/>
        </w:numPr>
        <w:spacing w:before="160" w:after="160" w:line="288" w:lineRule="auto"/>
        <w:ind w:left="0" w:right="0" w:firstLine="720"/>
        <w:jc w:val="left"/>
        <w:outlineLvl w:val="9"/>
        <w:rPr>
          <w:rFonts w:ascii="Times New Roman" w:eastAsia="Times New Roman" w:hAnsi="Times New Roman" w:cs="Times New Roman"/>
          <w:b w:val="0"/>
          <w:i w:val="0"/>
          <w:sz w:val="20"/>
        </w:rPr>
      </w:pPr>
    </w:p>
    <w:p>
      <w:pPr>
        <w:keepNext w:val="0"/>
        <w:keepLines w:val="0"/>
        <w:pageBreakBefore w:val="0"/>
        <w:widowControl/>
        <w:numPr>
          <w:ilvl w:val="0"/>
          <w:numId w:val="0"/>
        </w:numPr>
        <w:spacing w:before="160" w:after="160" w:line="288" w:lineRule="auto"/>
        <w:ind w:left="0" w:right="0" w:firstLine="720"/>
        <w:jc w:val="left"/>
        <w:outlineLvl w:val="9"/>
        <w:rPr>
          <w:rFonts w:ascii="Times New Roman" w:eastAsia="Times New Roman" w:hAnsi="Times New Roman" w:cs="Times New Roman"/>
          <w:b w:val="0"/>
          <w:i w:val="0"/>
          <w:sz w:val="20"/>
        </w:rPr>
        <w:sectPr>
          <w:headerReference w:type="default" r:id="rId145"/>
          <w:footerReference w:type="default" r:id="rId146"/>
          <w:pgSz w:w="12240" w:h="15840"/>
          <w:pgMar w:top="900" w:right="990" w:bottom="900" w:left="990" w:header="270" w:footer="270"/>
          <w:cols w:space="708"/>
        </w:sectPr>
      </w:pPr>
    </w:p>
    <w:p>
      <w:pPr>
        <w:keepNext w:val="0"/>
        <w:keepLines w:val="0"/>
        <w:pageBreakBefore w:val="0"/>
        <w:widowControl/>
        <w:numPr>
          <w:ilvl w:val="0"/>
          <w:numId w:val="0"/>
        </w:numPr>
        <w:spacing w:before="0" w:after="160" w:line="288" w:lineRule="auto"/>
        <w:ind w:left="0" w:right="0" w:firstLine="0"/>
        <w:jc w:val="center"/>
        <w:outlineLvl w:val="0"/>
        <w:rPr>
          <w:rFonts w:ascii="Times New Roman" w:eastAsia="Times New Roman" w:hAnsi="Times New Roman" w:cs="Times New Roman"/>
          <w:b w:val="0"/>
          <w:i w:val="0"/>
          <w:sz w:val="20"/>
        </w:rPr>
      </w:pPr>
      <w:bookmarkStart w:id="56" w:name="Section57"/>
      <w:bookmarkEnd w:id="56"/>
      <w:r>
        <w:rPr>
          <w:rFonts w:ascii="Times New Roman" w:eastAsia="Times New Roman" w:hAnsi="Times New Roman" w:cs="Times New Roman"/>
          <w:b w:val="0"/>
          <w:i w:val="0"/>
          <w:sz w:val="20"/>
        </w:rPr>
        <w:t>SIGNATURES</w:t>
      </w:r>
    </w:p>
    <w:p>
      <w:pPr>
        <w:keepNext w:val="0"/>
        <w:keepLines w:val="0"/>
        <w:pageBreakBefore w:val="0"/>
        <w:widowControl/>
        <w:numPr>
          <w:ilvl w:val="0"/>
          <w:numId w:val="0"/>
        </w:numPr>
        <w:spacing w:before="0" w:after="16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Pursuant to the requiremen</w:t>
      </w:r>
      <w:r>
        <w:rPr>
          <w:rFonts w:ascii="Times New Roman" w:eastAsia="Times New Roman" w:hAnsi="Times New Roman" w:cs="Times New Roman"/>
          <w:b w:val="0"/>
          <w:i w:val="0"/>
          <w:color w:val="000000"/>
          <w:sz w:val="20"/>
          <w:u w:val="none"/>
        </w:rPr>
        <w:t>t</w:t>
      </w:r>
      <w:r>
        <w:rPr>
          <w:rFonts w:ascii="Times New Roman" w:eastAsia="Times New Roman" w:hAnsi="Times New Roman" w:cs="Times New Roman"/>
          <w:b w:val="0"/>
          <w:i w:val="0"/>
          <w:color w:val="000000"/>
          <w:sz w:val="20"/>
          <w:u w:val="none"/>
        </w:rPr>
        <w:t>s</w:t>
      </w:r>
      <w:r>
        <w:rPr>
          <w:rFonts w:ascii="Times New Roman" w:eastAsia="Times New Roman" w:hAnsi="Times New Roman" w:cs="Times New Roman"/>
          <w:b w:val="0"/>
          <w:i w:val="0"/>
          <w:sz w:val="20"/>
        </w:rPr>
        <w:t xml:space="preserve"> of the Securities Exchange Act of 1934, the registrant has duly caused this report to be signed on its behalf by the undersigned thereunto duly authorized.</w:t>
      </w:r>
    </w:p>
    <w:p>
      <w:pPr>
        <w:keepNext w:val="0"/>
        <w:keepLines w:val="0"/>
        <w:pageBreakBefore w:val="0"/>
        <w:widowControl/>
        <w:numPr>
          <w:ilvl w:val="0"/>
          <w:numId w:val="0"/>
        </w:numPr>
        <w:spacing w:before="0" w:after="160" w:line="288" w:lineRule="auto"/>
        <w:ind w:left="0" w:right="0" w:firstLine="0"/>
        <w:jc w:val="left"/>
        <w:outlineLvl w:val="9"/>
        <w:rPr>
          <w:rFonts w:ascii="Times New Roman" w:eastAsia="Times New Roman" w:hAnsi="Times New Roman" w:cs="Times New Roman"/>
          <w:b w:val="0"/>
          <w:i w:val="0"/>
          <w:sz w:val="20"/>
        </w:rPr>
      </w:pPr>
    </w:p>
    <w:p>
      <w:pPr>
        <w:keepNext w:val="0"/>
        <w:keepLines w:val="0"/>
        <w:pageBreakBefore w:val="0"/>
        <w:widowControl/>
        <w:numPr>
          <w:ilvl w:val="0"/>
          <w:numId w:val="0"/>
        </w:numPr>
        <w:spacing w:before="0" w:after="160" w:line="288"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HALLIBURTON COMPANY</w:t>
      </w:r>
    </w:p>
    <w:tbl>
      <w:tblPr>
        <w:tblW w:w="1023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115"/>
        <w:gridCol w:w="5115"/>
      </w:tblGrid>
      <w:tr>
        <w:tblPrEx>
          <w:tblW w:w="1023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00"/>
          <w:jc w:val="left"/>
        </w:trPr>
        <w:tc>
          <w:tcPr>
            <w:tcW w:w="511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left"/>
            </w:pPr>
            <w:r>
              <w:rPr>
                <w:rFonts w:ascii="Times New Roman" w:eastAsia="Times New Roman" w:hAnsi="Times New Roman" w:cs="Times New Roman"/>
                <w:b w:val="0"/>
                <w:i w:val="0"/>
                <w:color w:val="000000"/>
                <w:sz w:val="20"/>
                <w:u w:val="single"/>
              </w:rPr>
              <w:t>/s/ Eric J. Carre</w:t>
            </w:r>
          </w:p>
        </w:tc>
        <w:tc>
          <w:tcPr>
            <w:tcW w:w="511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left"/>
            </w:pPr>
            <w:r>
              <w:rPr>
                <w:rFonts w:ascii="Times New Roman" w:eastAsia="Times New Roman" w:hAnsi="Times New Roman" w:cs="Times New Roman"/>
                <w:b w:val="0"/>
                <w:i w:val="0"/>
                <w:color w:val="000000"/>
                <w:sz w:val="20"/>
                <w:u w:val="single"/>
              </w:rPr>
              <w:t>/s/ Charles E. Geer, Jr.</w:t>
            </w:r>
          </w:p>
        </w:tc>
      </w:tr>
      <w:tr>
        <w:tblPrEx>
          <w:tblW w:w="10230" w:type="dxa"/>
          <w:jc w:val="left"/>
          <w:tblInd w:w="0" w:type="dxa"/>
          <w:tblLayout w:type="fixed"/>
          <w:tblCellMar>
            <w:left w:w="108" w:type="dxa"/>
            <w:right w:w="108" w:type="dxa"/>
          </w:tblCellMar>
        </w:tblPrEx>
        <w:trPr>
          <w:cantSplit/>
          <w:trHeight w:hRule="exact" w:val="300"/>
          <w:jc w:val="left"/>
        </w:trPr>
        <w:tc>
          <w:tcPr>
            <w:tcW w:w="511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Eric J. Carre</w:t>
            </w:r>
          </w:p>
        </w:tc>
        <w:tc>
          <w:tcPr>
            <w:tcW w:w="511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Charles E. Geer, Jr.</w:t>
            </w:r>
          </w:p>
        </w:tc>
      </w:tr>
      <w:tr>
        <w:tblPrEx>
          <w:tblW w:w="10230" w:type="dxa"/>
          <w:jc w:val="left"/>
          <w:tblInd w:w="0" w:type="dxa"/>
          <w:tblLayout w:type="fixed"/>
          <w:tblCellMar>
            <w:left w:w="108" w:type="dxa"/>
            <w:right w:w="108" w:type="dxa"/>
          </w:tblCellMar>
        </w:tblPrEx>
        <w:trPr>
          <w:cantSplit/>
          <w:trHeight w:hRule="exact" w:val="300"/>
          <w:jc w:val="left"/>
        </w:trPr>
        <w:tc>
          <w:tcPr>
            <w:tcW w:w="511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Executive Vice President and</w:t>
            </w:r>
          </w:p>
        </w:tc>
        <w:tc>
          <w:tcPr>
            <w:tcW w:w="5115" w:type="dxa"/>
            <w:tcBorders>
              <w:top w:val="nil"/>
              <w:left w:val="nil"/>
              <w:bottom w:val="nil"/>
              <w:right w:val="nil"/>
            </w:tcBorders>
            <w:tcMar>
              <w:top w:w="0" w:type="dxa"/>
              <w:left w:w="53" w:type="dxa"/>
              <w:bottom w:w="0" w:type="dxa"/>
              <w:right w:w="53" w:type="dxa"/>
            </w:tcMar>
            <w:vAlign w:val="top"/>
          </w:tcPr>
          <w:p>
            <w:pPr>
              <w:keepNext/>
              <w:pageBreakBefore w:val="0"/>
              <w:spacing w:before="75" w:after="30" w:line="240" w:lineRule="auto"/>
              <w:jc w:val="left"/>
            </w:pPr>
            <w:r>
              <w:rPr>
                <w:rFonts w:ascii="Times New Roman" w:eastAsia="Times New Roman" w:hAnsi="Times New Roman" w:cs="Times New Roman"/>
                <w:b w:val="0"/>
                <w:i w:val="0"/>
                <w:color w:val="000000"/>
                <w:sz w:val="20"/>
                <w:u w:val="none"/>
              </w:rPr>
              <w:t>Senior Vice President and</w:t>
            </w:r>
          </w:p>
        </w:tc>
      </w:tr>
      <w:tr>
        <w:tblPrEx>
          <w:tblW w:w="10230" w:type="dxa"/>
          <w:jc w:val="left"/>
          <w:tblInd w:w="0" w:type="dxa"/>
          <w:tblLayout w:type="fixed"/>
          <w:tblCellMar>
            <w:left w:w="108" w:type="dxa"/>
            <w:right w:w="108" w:type="dxa"/>
          </w:tblCellMar>
        </w:tblPrEx>
        <w:trPr>
          <w:cantSplit/>
          <w:trHeight w:hRule="exact" w:val="300"/>
          <w:jc w:val="left"/>
        </w:trPr>
        <w:tc>
          <w:tcPr>
            <w:tcW w:w="5115" w:type="dxa"/>
            <w:tcBorders>
              <w:top w:val="nil"/>
              <w:left w:val="nil"/>
              <w:bottom w:val="nil"/>
              <w:right w:val="nil"/>
            </w:tcBorders>
            <w:tcMar>
              <w:top w:w="0" w:type="dxa"/>
              <w:left w:w="53" w:type="dxa"/>
              <w:bottom w:w="0" w:type="dxa"/>
              <w:right w:w="53" w:type="dxa"/>
            </w:tcMar>
            <w:vAlign w:val="top"/>
          </w:tcPr>
          <w:p>
            <w:pPr>
              <w:pageBreakBefore w:val="0"/>
              <w:spacing w:before="75" w:after="30" w:line="240" w:lineRule="auto"/>
              <w:jc w:val="left"/>
            </w:pPr>
            <w:r>
              <w:rPr>
                <w:rFonts w:ascii="Times New Roman" w:eastAsia="Times New Roman" w:hAnsi="Times New Roman" w:cs="Times New Roman"/>
                <w:b w:val="0"/>
                <w:i w:val="0"/>
                <w:color w:val="000000"/>
                <w:sz w:val="20"/>
                <w:u w:val="none"/>
              </w:rPr>
              <w:t>Chief Financial Officer</w:t>
            </w:r>
          </w:p>
        </w:tc>
        <w:tc>
          <w:tcPr>
            <w:tcW w:w="5115" w:type="dxa"/>
            <w:tcBorders>
              <w:top w:val="nil"/>
              <w:left w:val="nil"/>
              <w:bottom w:val="nil"/>
              <w:right w:val="nil"/>
            </w:tcBorders>
            <w:tcMar>
              <w:top w:w="0" w:type="dxa"/>
              <w:left w:w="53" w:type="dxa"/>
              <w:bottom w:w="0" w:type="dxa"/>
              <w:right w:w="53" w:type="dxa"/>
            </w:tcMar>
            <w:vAlign w:val="top"/>
          </w:tcPr>
          <w:p>
            <w:pPr>
              <w:pageBreakBefore w:val="0"/>
              <w:spacing w:before="75" w:after="30" w:line="240" w:lineRule="auto"/>
              <w:jc w:val="left"/>
            </w:pPr>
            <w:r>
              <w:rPr>
                <w:rFonts w:ascii="Times New Roman" w:eastAsia="Times New Roman" w:hAnsi="Times New Roman" w:cs="Times New Roman"/>
                <w:b w:val="0"/>
                <w:i w:val="0"/>
                <w:color w:val="000000"/>
                <w:sz w:val="20"/>
                <w:u w:val="none"/>
              </w:rPr>
              <w:t>Chief Accounting Officer</w:t>
            </w:r>
          </w:p>
        </w:tc>
      </w:tr>
    </w:tbl>
    <w:p>
      <w:pPr>
        <w:keepNext w:val="0"/>
        <w:keepLines w:val="0"/>
        <w:pageBreakBefore w:val="0"/>
        <w:widowControl/>
        <w:numPr>
          <w:ilvl w:val="0"/>
          <w:numId w:val="0"/>
        </w:numPr>
        <w:spacing w:before="160" w:after="160" w:line="288" w:lineRule="auto"/>
        <w:ind w:left="0" w:right="0" w:firstLine="0"/>
        <w:jc w:val="left"/>
        <w:outlineLvl w:val="9"/>
        <w:rPr>
          <w:rFonts w:ascii="Times New Roman" w:eastAsia="Times New Roman" w:hAnsi="Times New Roman" w:cs="Times New Roman"/>
          <w:b w:val="0"/>
          <w:i w:val="0"/>
          <w:sz w:val="20"/>
        </w:rPr>
      </w:pPr>
    </w:p>
    <w:p>
      <w:pPr>
        <w:keepNext w:val="0"/>
        <w:keepLines w:val="0"/>
        <w:pageBreakBefore w:val="0"/>
        <w:widowControl/>
        <w:numPr>
          <w:ilvl w:val="0"/>
          <w:numId w:val="0"/>
        </w:numPr>
        <w:spacing w:before="0" w:after="160" w:line="288" w:lineRule="auto"/>
        <w:ind w:left="0" w:right="0" w:firstLine="0"/>
        <w:jc w:val="left"/>
        <w:outlineLvl w:val="9"/>
        <w:rPr>
          <w:rFonts w:ascii="Times New Roman" w:eastAsia="Times New Roman" w:hAnsi="Times New Roman" w:cs="Times New Roman"/>
          <w:b w:val="0"/>
          <w:i w:val="0"/>
          <w:sz w:val="20"/>
        </w:rPr>
      </w:pPr>
    </w:p>
    <w:p>
      <w:pPr>
        <w:keepNext w:val="0"/>
        <w:keepLines w:val="0"/>
        <w:pageBreakBefore w:val="0"/>
        <w:widowControl/>
        <w:numPr>
          <w:ilvl w:val="0"/>
          <w:numId w:val="0"/>
        </w:numPr>
        <w:spacing w:before="0" w:after="160" w:line="288"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Date: </w:t>
      </w:r>
      <w:r>
        <w:rPr>
          <w:rFonts w:ascii="Times New Roman" w:eastAsia="Times New Roman" w:hAnsi="Times New Roman" w:cs="Times New Roman"/>
          <w:b w:val="0"/>
          <w:i w:val="0"/>
          <w:color w:val="000000"/>
          <w:sz w:val="20"/>
          <w:u w:val="none"/>
        </w:rPr>
        <w:t>April 25, 2025</w:t>
      </w:r>
    </w:p>
    <w:p>
      <w:pPr>
        <w:keepNext w:val="0"/>
        <w:keepLines w:val="0"/>
        <w:pageBreakBefore w:val="0"/>
        <w:widowControl/>
        <w:numPr>
          <w:ilvl w:val="0"/>
          <w:numId w:val="0"/>
        </w:numPr>
        <w:spacing w:before="0" w:after="160" w:line="288" w:lineRule="auto"/>
        <w:ind w:left="0" w:right="0" w:firstLine="0"/>
        <w:jc w:val="left"/>
        <w:outlineLvl w:val="9"/>
        <w:rPr>
          <w:rFonts w:ascii="Times New Roman" w:eastAsia="Times New Roman" w:hAnsi="Times New Roman" w:cs="Times New Roman"/>
          <w:b w:val="0"/>
          <w:i w:val="0"/>
          <w:sz w:val="20"/>
        </w:rPr>
      </w:pPr>
    </w:p>
    <w:sectPr>
      <w:headerReference w:type="default" r:id="rId147"/>
      <w:footerReference w:type="default" r:id="rId148"/>
      <w:pgSz w:w="12240" w:h="15840"/>
      <w:pgMar w:top="900" w:right="990" w:bottom="900" w:left="990" w:header="270" w:footer="27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left"/>
      <w:outlineLvl w:val="9"/>
      <w:rPr>
        <w:rFonts w:ascii="Times New Roman" w:eastAsia="Times New Roman" w:hAnsi="Times New Roman" w:cs="Times New Roman"/>
        <w:b w:val="0"/>
        <w:i w:val="0"/>
        <w:sz w:val="20"/>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2"/>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3"/>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3"/>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t>6</w:t>
    </w:r>
    <w:r>
      <w:rPr>
        <w:rFonts w:ascii="Times New Roman" w:eastAsia="Times New Roman" w:hAnsi="Times New Roman" w:cs="Times New Roman"/>
        <w:b w:val="0"/>
        <w:i w:val="0"/>
        <w:sz w:val="18"/>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2"/>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t>7</w:t>
    </w:r>
    <w:r>
      <w:rPr>
        <w:rFonts w:ascii="Times New Roman" w:eastAsia="Times New Roman" w:hAnsi="Times New Roman" w:cs="Times New Roman"/>
        <w:b w:val="0"/>
        <w:i w:val="0"/>
        <w:sz w:val="18"/>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3"/>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2"/>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t>8</w:t>
    </w:r>
    <w:r>
      <w:rPr>
        <w:rFonts w:ascii="Times New Roman" w:eastAsia="Times New Roman" w:hAnsi="Times New Roman" w:cs="Times New Roman"/>
        <w:b w:val="0"/>
        <w:i w:val="0"/>
        <w:sz w:val="18"/>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3"/>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3"/>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3"/>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t>9</w:t>
    </w:r>
    <w:r>
      <w:rPr>
        <w:rFonts w:ascii="Times New Roman" w:eastAsia="Times New Roman" w:hAnsi="Times New Roman" w:cs="Times New Roman"/>
        <w:b w:val="0"/>
        <w:i w:val="0"/>
        <w:sz w:val="18"/>
      </w:rPr>
      <w:fldChar w:fldCharType="end"/>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2"/>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0"/>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t>1</w:t>
    </w:r>
    <w:r>
      <w:rPr>
        <w:rFonts w:ascii="Times New Roman" w:eastAsia="Times New Roman" w:hAnsi="Times New Roman" w:cs="Times New Roman"/>
        <w:b w:val="0"/>
        <w:i w:val="0"/>
        <w:sz w:val="18"/>
      </w:rPr>
      <w:fldChar w:fldCharType="end"/>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2"/>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2"/>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t>10</w:t>
    </w:r>
    <w:r>
      <w:rPr>
        <w:rFonts w:ascii="Times New Roman" w:eastAsia="Times New Roman" w:hAnsi="Times New Roman" w:cs="Times New Roman"/>
        <w:b w:val="0"/>
        <w:i w:val="0"/>
        <w:sz w:val="18"/>
      </w:rPr>
      <w:fldChar w:fldCharType="end"/>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3"/>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2"/>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t>11</w:t>
    </w:r>
    <w:r>
      <w:rPr>
        <w:rFonts w:ascii="Times New Roman" w:eastAsia="Times New Roman" w:hAnsi="Times New Roman" w:cs="Times New Roman"/>
        <w:b w:val="0"/>
        <w:i w:val="0"/>
        <w:sz w:val="18"/>
      </w:rPr>
      <w:fldChar w:fldCharType="end"/>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3"/>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2"/>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t>12</w:t>
    </w:r>
    <w:r>
      <w:rPr>
        <w:rFonts w:ascii="Times New Roman" w:eastAsia="Times New Roman" w:hAnsi="Times New Roman" w:cs="Times New Roman"/>
        <w:b w:val="0"/>
        <w:i w:val="0"/>
        <w:sz w:val="18"/>
      </w:rPr>
      <w:fldChar w:fldCharType="end"/>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2"/>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2"/>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3"/>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3"/>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0"/>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3"/>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t>13</w:t>
    </w:r>
    <w:r>
      <w:rPr>
        <w:rFonts w:ascii="Times New Roman" w:eastAsia="Times New Roman" w:hAnsi="Times New Roman" w:cs="Times New Roman"/>
        <w:b w:val="0"/>
        <w:i w:val="0"/>
        <w:sz w:val="18"/>
      </w:rPr>
      <w:fldChar w:fldCharType="end"/>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4"/>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2"/>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0"/>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t>14</w:t>
    </w:r>
    <w:r>
      <w:rPr>
        <w:rFonts w:ascii="Times New Roman" w:eastAsia="Times New Roman" w:hAnsi="Times New Roman" w:cs="Times New Roman"/>
        <w:b w:val="0"/>
        <w:i w:val="0"/>
        <w:sz w:val="18"/>
      </w:rPr>
      <w:fldChar w:fldCharType="end"/>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1"/>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1"/>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2"/>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t>15</w:t>
    </w:r>
    <w:r>
      <w:rPr>
        <w:rFonts w:ascii="Times New Roman" w:eastAsia="Times New Roman" w:hAnsi="Times New Roman" w:cs="Times New Roman"/>
        <w:b w:val="0"/>
        <w:i w:val="0"/>
        <w:sz w:val="18"/>
      </w:rPr>
      <w:fldChar w:fldCharType="end"/>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2"/>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2"/>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t>16</w:t>
    </w:r>
    <w:r>
      <w:rPr>
        <w:rFonts w:ascii="Times New Roman" w:eastAsia="Times New Roman" w:hAnsi="Times New Roman" w:cs="Times New Roman"/>
        <w:b w:val="0"/>
        <w:i w:val="0"/>
        <w:sz w:val="18"/>
      </w:rPr>
      <w:fldChar w:fldCharType="end"/>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2"/>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1"/>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1"/>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1"/>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t>17</w:t>
    </w:r>
    <w:r>
      <w:rPr>
        <w:rFonts w:ascii="Times New Roman" w:eastAsia="Times New Roman" w:hAnsi="Times New Roman" w:cs="Times New Roman"/>
        <w:b w:val="0"/>
        <w:i w:val="0"/>
        <w:sz w:val="18"/>
      </w:rPr>
      <w:fldChar w:fldCharType="end"/>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2"/>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t>18</w:t>
    </w:r>
    <w:r>
      <w:rPr>
        <w:rFonts w:ascii="Times New Roman" w:eastAsia="Times New Roman" w:hAnsi="Times New Roman" w:cs="Times New Roman"/>
        <w:b w:val="0"/>
        <w:i w:val="0"/>
        <w:sz w:val="18"/>
      </w:rPr>
      <w:fldChar w:fldCharType="end"/>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1"/>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t>19</w:t>
    </w:r>
    <w:r>
      <w:rPr>
        <w:rFonts w:ascii="Times New Roman" w:eastAsia="Times New Roman" w:hAnsi="Times New Roman" w:cs="Times New Roman"/>
        <w:b w:val="0"/>
        <w:i w:val="0"/>
        <w:sz w:val="18"/>
      </w:rPr>
      <w:fldChar w:fldCharType="end"/>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2"/>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2"/>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t>20</w:t>
    </w:r>
    <w:r>
      <w:rPr>
        <w:rFonts w:ascii="Times New Roman" w:eastAsia="Times New Roman" w:hAnsi="Times New Roman" w:cs="Times New Roman"/>
        <w:b w:val="0"/>
        <w:i w:val="0"/>
        <w:sz w:val="18"/>
      </w:rPr>
      <w:fldChar w:fldCharType="end"/>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2"/>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1"/>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t>23</w:t>
    </w:r>
    <w:r>
      <w:rPr>
        <w:rFonts w:ascii="Times New Roman" w:eastAsia="Times New Roman" w:hAnsi="Times New Roman" w:cs="Times New Roman"/>
        <w:b w:val="0"/>
        <w:i w:val="0"/>
        <w:sz w:val="18"/>
      </w:rPr>
      <w:fldChar w:fldCharType="end"/>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1"/>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t>21</w:t>
    </w:r>
    <w:r>
      <w:rPr>
        <w:rFonts w:ascii="Times New Roman" w:eastAsia="Times New Roman" w:hAnsi="Times New Roman" w:cs="Times New Roman"/>
        <w:b w:val="0"/>
        <w:i w:val="0"/>
        <w:sz w:val="18"/>
      </w:rPr>
      <w:fldChar w:fldCharType="end"/>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1"/>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1"/>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t>2</w:t>
    </w:r>
    <w:r>
      <w:rPr>
        <w:rFonts w:ascii="Times New Roman" w:eastAsia="Times New Roman" w:hAnsi="Times New Roman" w:cs="Times New Roman"/>
        <w:b w:val="0"/>
        <w:i w:val="0"/>
        <w:sz w:val="18"/>
      </w:rPr>
      <w:fldChar w:fldCharType="end"/>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1"/>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t>24</w:t>
    </w:r>
    <w:r>
      <w:rPr>
        <w:rFonts w:ascii="Times New Roman" w:eastAsia="Times New Roman" w:hAnsi="Times New Roman" w:cs="Times New Roman"/>
        <w:b w:val="0"/>
        <w:i w:val="0"/>
        <w:sz w:val="18"/>
      </w:rPr>
      <w:fldChar w:fldCharType="end"/>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0"/>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0"/>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0"/>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0"/>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0"/>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0"/>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1"/>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1"/>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1"/>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1"/>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t>3</w:t>
    </w:r>
    <w:r>
      <w:rPr>
        <w:rFonts w:ascii="Times New Roman" w:eastAsia="Times New Roman" w:hAnsi="Times New Roman" w:cs="Times New Roman"/>
        <w:b w:val="0"/>
        <w:i w:val="0"/>
        <w:sz w:val="18"/>
      </w:rPr>
      <w:fldChar w:fldCharType="end"/>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1"/>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1"/>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1"/>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t>25</w:t>
    </w:r>
    <w:r>
      <w:rPr>
        <w:rFonts w:ascii="Times New Roman" w:eastAsia="Times New Roman" w:hAnsi="Times New Roman" w:cs="Times New Roman"/>
        <w:b w:val="0"/>
        <w:i w:val="0"/>
        <w:sz w:val="18"/>
      </w:rPr>
      <w:fldChar w:fldCharType="end"/>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1"/>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1"/>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1"/>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1"/>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1"/>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1"/>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t>26</w:t>
    </w:r>
    <w:r>
      <w:rPr>
        <w:rFonts w:ascii="Times New Roman" w:eastAsia="Times New Roman" w:hAnsi="Times New Roman" w:cs="Times New Roman"/>
        <w:b w:val="0"/>
        <w:i w:val="0"/>
        <w:sz w:val="18"/>
      </w:rPr>
      <w:fldChar w:fldCharType="end"/>
    </w:r>
  </w:p>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0"/>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t>27</w:t>
    </w:r>
    <w:r>
      <w:rPr>
        <w:rFonts w:ascii="Times New Roman" w:eastAsia="Times New Roman" w:hAnsi="Times New Roman" w:cs="Times New Roman"/>
        <w:b w:val="0"/>
        <w:i w:val="0"/>
        <w:sz w:val="18"/>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1"/>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t>4</w:t>
    </w:r>
    <w:r>
      <w:rPr>
        <w:rFonts w:ascii="Times New Roman" w:eastAsia="Times New Roman" w:hAnsi="Times New Roman" w:cs="Times New Roman"/>
        <w:b w:val="0"/>
        <w:i w:val="0"/>
        <w:sz w:val="18"/>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1"/>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t>5</w:t>
    </w:r>
    <w:r>
      <w:rPr>
        <w:rFonts w:ascii="Times New Roman" w:eastAsia="Times New Roman" w:hAnsi="Times New Roman" w:cs="Times New Roman"/>
        <w:b w:val="0"/>
        <w:i w:val="0"/>
        <w:sz w:val="18"/>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righ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160" w:line="288" w:lineRule="auto"/>
      <w:ind w:left="0" w:right="0" w:firstLine="0"/>
      <w:jc w:val="right"/>
      <w:outlineLvl w:val="2"/>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HAL </w:t>
    </w:r>
    <w:r>
      <w:rPr>
        <w:rFonts w:ascii="Times New Roman" w:eastAsia="Times New Roman" w:hAnsi="Times New Roman" w:cs="Times New Roman"/>
        <w:b w:val="0"/>
        <w:i w:val="0"/>
        <w:color w:val="000000"/>
        <w:sz w:val="18"/>
        <w:u w:val="none"/>
      </w:rPr>
      <w:t>Q1 2025</w:t>
    </w:r>
    <w:r>
      <w:rPr>
        <w:rFonts w:ascii="Times New Roman" w:eastAsia="Times New Roman" w:hAnsi="Times New Roman" w:cs="Times New Roman"/>
        <w:b w:val="0"/>
        <w:i w:val="0"/>
        <w:sz w:val="18"/>
      </w:rPr>
      <w:t xml:space="preserve"> FORM </w:t>
    </w:r>
    <w:r>
      <w:rPr>
        <w:rFonts w:ascii="Times New Roman" w:eastAsia="Times New Roman" w:hAnsi="Times New Roman" w:cs="Times New Roman"/>
        <w:b w:val="0"/>
        <w:i w:val="0"/>
        <w:color w:val="000000"/>
        <w:sz w:val="20"/>
        <w:u w:val="none"/>
      </w:rPr>
      <w:t>10-Q</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fldChar w:fldCharType="begin"/>
    </w:r>
    <w:r>
      <w:rPr>
        <w:rFonts w:ascii="Times New Roman" w:eastAsia="Times New Roman" w:hAnsi="Times New Roman" w:cs="Times New Roman"/>
        <w:b w:val="0"/>
        <w:i w:val="0"/>
        <w:sz w:val="18"/>
      </w:rPr>
      <w:instrText xml:space="preserve"> PAGE </w:instrText>
    </w:r>
    <w:r>
      <w:rPr>
        <w:rFonts w:ascii="Times New Roman" w:eastAsia="Times New Roman" w:hAnsi="Times New Roman" w:cs="Times New Roman"/>
        <w:b w:val="0"/>
        <w:i w:val="0"/>
        <w:sz w:val="18"/>
      </w:rPr>
      <w:fldChar w:fldCharType="separate"/>
    </w:r>
    <w:r>
      <w:rPr>
        <w:rFonts w:ascii="Times New Roman" w:eastAsia="Times New Roman" w:hAnsi="Times New Roman" w:cs="Times New Roman"/>
        <w:b w:val="0"/>
        <w:i w:val="0"/>
        <w:sz w:val="18"/>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left"/>
      <w:outlineLvl w:val="9"/>
      <w:rPr>
        <w:rFonts w:ascii="Times New Roman" w:eastAsia="Times New Roman" w:hAnsi="Times New Roman" w:cs="Times New Roman"/>
        <w:b w:val="0"/>
        <w:i w:val="0"/>
        <w:sz w:val="20"/>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684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right"/>
            <w:outlineLvl w:val="3"/>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 Item 1</w:t>
          </w:r>
          <w:r>
            <w:rPr>
              <w:rFonts w:ascii="Times New Roman" w:eastAsia="Times New Roman" w:hAnsi="Times New Roman" w:cs="Times New Roman"/>
              <w:b w:val="0"/>
              <w:i w:val="0"/>
              <w:sz w:val="18"/>
            </w:rPr>
            <w:t xml:space="preserve"> | Notes to Condensed Consolidated Financial Statements</w:t>
          </w:r>
        </w:p>
      </w:tc>
    </w:tr>
  </w:tbl>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684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right"/>
            <w:outlineLvl w:val="3"/>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 Item 1</w:t>
          </w:r>
          <w:r>
            <w:rPr>
              <w:rFonts w:ascii="Times New Roman" w:eastAsia="Times New Roman" w:hAnsi="Times New Roman" w:cs="Times New Roman"/>
              <w:b w:val="0"/>
              <w:i w:val="0"/>
              <w:sz w:val="18"/>
            </w:rPr>
            <w:t xml:space="preserve"> | Notes to Condensed Consolidated Financial Statements</w:t>
          </w:r>
        </w:p>
      </w:tc>
    </w:tr>
  </w:tbl>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684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right"/>
            <w:outlineLvl w:val="2"/>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 Item 1</w:t>
          </w:r>
          <w:r>
            <w:rPr>
              <w:rFonts w:ascii="Times New Roman" w:eastAsia="Times New Roman" w:hAnsi="Times New Roman" w:cs="Times New Roman"/>
              <w:b w:val="0"/>
              <w:i w:val="0"/>
              <w:sz w:val="18"/>
            </w:rPr>
            <w:t xml:space="preserve"> | Notes to Condensed Consolidated Financial Statements</w:t>
          </w:r>
        </w:p>
      </w:tc>
    </w:tr>
  </w:tbl>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684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right"/>
            <w:outlineLvl w:val="3"/>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 Item 1</w:t>
          </w:r>
          <w:r>
            <w:rPr>
              <w:rFonts w:ascii="Times New Roman" w:eastAsia="Times New Roman" w:hAnsi="Times New Roman" w:cs="Times New Roman"/>
              <w:b w:val="0"/>
              <w:i w:val="0"/>
              <w:sz w:val="18"/>
            </w:rPr>
            <w:t xml:space="preserve"> | Notes to Condensed Consolidated Financial Statements</w:t>
          </w:r>
        </w:p>
      </w:tc>
    </w:tr>
  </w:tbl>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684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right"/>
            <w:outlineLvl w:val="2"/>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 Item 1</w:t>
          </w:r>
          <w:r>
            <w:rPr>
              <w:rFonts w:ascii="Times New Roman" w:eastAsia="Times New Roman" w:hAnsi="Times New Roman" w:cs="Times New Roman"/>
              <w:b w:val="0"/>
              <w:i w:val="0"/>
              <w:sz w:val="18"/>
            </w:rPr>
            <w:t xml:space="preserve"> | Notes to Condensed Consolidated Financial Statements</w:t>
          </w:r>
        </w:p>
      </w:tc>
    </w:tr>
  </w:tbl>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684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right"/>
            <w:outlineLvl w:val="3"/>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 Item 1</w:t>
          </w:r>
          <w:r>
            <w:rPr>
              <w:rFonts w:ascii="Times New Roman" w:eastAsia="Times New Roman" w:hAnsi="Times New Roman" w:cs="Times New Roman"/>
              <w:b w:val="0"/>
              <w:i w:val="0"/>
              <w:sz w:val="18"/>
            </w:rPr>
            <w:t xml:space="preserve"> | Notes to Condensed Consolidated Financial Statements</w:t>
          </w:r>
        </w:p>
      </w:tc>
    </w:tr>
  </w:tbl>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684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right"/>
            <w:outlineLvl w:val="3"/>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 Item 1</w:t>
          </w:r>
          <w:r>
            <w:rPr>
              <w:rFonts w:ascii="Times New Roman" w:eastAsia="Times New Roman" w:hAnsi="Times New Roman" w:cs="Times New Roman"/>
              <w:b w:val="0"/>
              <w:i w:val="0"/>
              <w:sz w:val="18"/>
            </w:rPr>
            <w:t xml:space="preserve"> | Notes to Condensed Consolidated Financial Statements</w:t>
          </w:r>
        </w:p>
      </w:tc>
    </w:tr>
  </w:tbl>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684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right"/>
            <w:outlineLvl w:val="3"/>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 Item 1</w:t>
          </w:r>
          <w:r>
            <w:rPr>
              <w:rFonts w:ascii="Times New Roman" w:eastAsia="Times New Roman" w:hAnsi="Times New Roman" w:cs="Times New Roman"/>
              <w:b w:val="0"/>
              <w:i w:val="0"/>
              <w:sz w:val="18"/>
            </w:rPr>
            <w:t xml:space="preserve"> | Notes to Condensed Consolidated Financial Statements</w:t>
          </w:r>
        </w:p>
      </w:tc>
    </w:tr>
  </w:tbl>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684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right"/>
            <w:outlineLvl w:val="2"/>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 Item 1</w:t>
          </w:r>
          <w:r>
            <w:rPr>
              <w:rFonts w:ascii="Times New Roman" w:eastAsia="Times New Roman" w:hAnsi="Times New Roman" w:cs="Times New Roman"/>
              <w:b w:val="0"/>
              <w:i w:val="0"/>
              <w:sz w:val="18"/>
            </w:rPr>
            <w:t xml:space="preserve"> | Notes to Condensed Consolidated Financial Statements</w:t>
          </w:r>
        </w:p>
      </w:tc>
    </w:tr>
  </w:tbl>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684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right"/>
            <w:outlineLvl w:val="2"/>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 Item 1</w:t>
          </w:r>
          <w:r>
            <w:rPr>
              <w:rFonts w:ascii="Times New Roman" w:eastAsia="Times New Roman" w:hAnsi="Times New Roman" w:cs="Times New Roman"/>
              <w:b w:val="0"/>
              <w:i w:val="0"/>
              <w:sz w:val="18"/>
            </w:rPr>
            <w:t xml:space="preserve"> | Notes to Condensed Consolidated Financial Statements</w: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3420"/>
      <w:gridCol w:w="342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342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3420"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bl>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684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right"/>
            <w:outlineLvl w:val="2"/>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 Item 1</w:t>
          </w:r>
          <w:r>
            <w:rPr>
              <w:rFonts w:ascii="Times New Roman" w:eastAsia="Times New Roman" w:hAnsi="Times New Roman" w:cs="Times New Roman"/>
              <w:b w:val="0"/>
              <w:i w:val="0"/>
              <w:sz w:val="18"/>
            </w:rPr>
            <w:t xml:space="preserve"> | Notes to Condensed Consolidated Financial Statements</w:t>
          </w:r>
        </w:p>
      </w:tc>
    </w:tr>
  </w:tbl>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684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right"/>
            <w:outlineLvl w:val="3"/>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 Item 1</w:t>
          </w:r>
          <w:r>
            <w:rPr>
              <w:rFonts w:ascii="Times New Roman" w:eastAsia="Times New Roman" w:hAnsi="Times New Roman" w:cs="Times New Roman"/>
              <w:b w:val="0"/>
              <w:i w:val="0"/>
              <w:sz w:val="18"/>
            </w:rPr>
            <w:t xml:space="preserve"> | Notes to Condensed Consolidated Financial Statements</w:t>
          </w:r>
        </w:p>
      </w:tc>
    </w:tr>
  </w:tbl>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684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right"/>
            <w:outlineLvl w:val="2"/>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 Item 1</w:t>
          </w:r>
          <w:r>
            <w:rPr>
              <w:rFonts w:ascii="Times New Roman" w:eastAsia="Times New Roman" w:hAnsi="Times New Roman" w:cs="Times New Roman"/>
              <w:b w:val="0"/>
              <w:i w:val="0"/>
              <w:sz w:val="18"/>
            </w:rPr>
            <w:t xml:space="preserve"> | Notes to Condensed Consolidated Financial Statements</w:t>
          </w:r>
        </w:p>
      </w:tc>
    </w:tr>
  </w:tbl>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684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right"/>
            <w:outlineLvl w:val="3"/>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 Item 1</w:t>
          </w:r>
          <w:r>
            <w:rPr>
              <w:rFonts w:ascii="Times New Roman" w:eastAsia="Times New Roman" w:hAnsi="Times New Roman" w:cs="Times New Roman"/>
              <w:b w:val="0"/>
              <w:i w:val="0"/>
              <w:sz w:val="18"/>
            </w:rPr>
            <w:t xml:space="preserve"> | Notes to Condensed Consolidated Financial Statements</w:t>
          </w:r>
        </w:p>
      </w:tc>
    </w:tr>
  </w:tbl>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684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right"/>
            <w:outlineLvl w:val="2"/>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 Item 1</w:t>
          </w:r>
          <w:r>
            <w:rPr>
              <w:rFonts w:ascii="Times New Roman" w:eastAsia="Times New Roman" w:hAnsi="Times New Roman" w:cs="Times New Roman"/>
              <w:b w:val="0"/>
              <w:i w:val="0"/>
              <w:sz w:val="18"/>
            </w:rPr>
            <w:t xml:space="preserve"> | Notes to Condensed Consolidated Financial Statements</w:t>
          </w:r>
        </w:p>
      </w:tc>
    </w:tr>
  </w:tbl>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684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right"/>
            <w:outlineLvl w:val="2"/>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 Item 1</w:t>
          </w:r>
          <w:r>
            <w:rPr>
              <w:rFonts w:ascii="Times New Roman" w:eastAsia="Times New Roman" w:hAnsi="Times New Roman" w:cs="Times New Roman"/>
              <w:b w:val="0"/>
              <w:i w:val="0"/>
              <w:sz w:val="18"/>
            </w:rPr>
            <w:t xml:space="preserve"> | Notes to Condensed Consolidated Financial Statements</w:t>
          </w:r>
        </w:p>
      </w:tc>
    </w:tr>
  </w:tbl>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684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right"/>
            <w:outlineLvl w:val="2"/>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 Item 1</w:t>
          </w:r>
          <w:r>
            <w:rPr>
              <w:rFonts w:ascii="Times New Roman" w:eastAsia="Times New Roman" w:hAnsi="Times New Roman" w:cs="Times New Roman"/>
              <w:b w:val="0"/>
              <w:i w:val="0"/>
              <w:sz w:val="18"/>
            </w:rPr>
            <w:t xml:space="preserve"> | Notes to Condensed Consolidated Financial Statements</w:t>
          </w:r>
        </w:p>
      </w:tc>
    </w:tr>
  </w:tbl>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684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right"/>
            <w:outlineLvl w:val="3"/>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 Item 1</w:t>
          </w:r>
          <w:r>
            <w:rPr>
              <w:rFonts w:ascii="Times New Roman" w:eastAsia="Times New Roman" w:hAnsi="Times New Roman" w:cs="Times New Roman"/>
              <w:b w:val="0"/>
              <w:i w:val="0"/>
              <w:sz w:val="18"/>
            </w:rPr>
            <w:t xml:space="preserve"> | Notes to Condensed Consolidated Financial Statements</w:t>
          </w:r>
        </w:p>
      </w:tc>
    </w:tr>
  </w:tbl>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684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right"/>
            <w:outlineLvl w:val="3"/>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 Item 1</w:t>
          </w:r>
          <w:r>
            <w:rPr>
              <w:rFonts w:ascii="Times New Roman" w:eastAsia="Times New Roman" w:hAnsi="Times New Roman" w:cs="Times New Roman"/>
              <w:b w:val="0"/>
              <w:i w:val="0"/>
              <w:sz w:val="18"/>
            </w:rPr>
            <w:t xml:space="preserve"> | Notes to Condensed Consolidated Financial Statements</w:t>
          </w:r>
        </w:p>
      </w:tc>
    </w:tr>
  </w:tbl>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684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right"/>
            <w:outlineLvl w:val="3"/>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 Item 1</w:t>
          </w:r>
          <w:r>
            <w:rPr>
              <w:rFonts w:ascii="Times New Roman" w:eastAsia="Times New Roman" w:hAnsi="Times New Roman" w:cs="Times New Roman"/>
              <w:b w:val="0"/>
              <w:i w:val="0"/>
              <w:sz w:val="18"/>
            </w:rPr>
            <w:t xml:space="preserve"> | Notes to Condensed Consolidated Financial Statements</w:t>
          </w:r>
        </w:p>
      </w:tc>
    </w:tr>
  </w:tbl>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3420"/>
      <w:gridCol w:w="342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342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3420"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bl>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684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right"/>
            <w:outlineLvl w:val="4"/>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 Item 1</w:t>
          </w:r>
          <w:r>
            <w:rPr>
              <w:rFonts w:ascii="Times New Roman" w:eastAsia="Times New Roman" w:hAnsi="Times New Roman" w:cs="Times New Roman"/>
              <w:b w:val="0"/>
              <w:i w:val="0"/>
              <w:sz w:val="18"/>
            </w:rPr>
            <w:t xml:space="preserve"> | Notes to Condensed Consolidated Financial Statements</w:t>
          </w:r>
        </w:p>
      </w:tc>
    </w:tr>
  </w:tbl>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684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right"/>
            <w:outlineLvl w:val="2"/>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 Item 1</w:t>
          </w:r>
          <w:r>
            <w:rPr>
              <w:rFonts w:ascii="Times New Roman" w:eastAsia="Times New Roman" w:hAnsi="Times New Roman" w:cs="Times New Roman"/>
              <w:b w:val="0"/>
              <w:i w:val="0"/>
              <w:sz w:val="18"/>
            </w:rPr>
            <w:t xml:space="preserve"> | Notes to Condensed Consolidated Financial Statements</w:t>
          </w:r>
        </w:p>
      </w:tc>
    </w:tr>
  </w:tbl>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1500"/>
      <w:gridCol w:w="534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1500" w:type="dxa"/>
          <w:tcBorders>
            <w:top w:val="nil"/>
            <w:left w:val="nil"/>
            <w:bottom w:val="nil"/>
            <w:right w:val="nil"/>
          </w:tcBorders>
          <w:tcMar>
            <w:top w:w="0" w:type="dxa"/>
            <w:left w:w="53" w:type="dxa"/>
            <w:bottom w:w="0" w:type="dxa"/>
            <w:right w:w="53" w:type="dxa"/>
          </w:tcMar>
          <w:vAlign w:val="bottom"/>
        </w:tcPr>
        <w:p>
          <w:pPr>
            <w:pageBreakBefore w:val="0"/>
            <w:spacing w:before="75" w:after="30" w:line="240" w:lineRule="auto"/>
            <w:jc w:val="left"/>
          </w:pPr>
        </w:p>
      </w:tc>
      <w:tc>
        <w:tcPr>
          <w:tcW w:w="534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right"/>
            <w:outlineLvl w:val="0"/>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 Item 2</w:t>
          </w:r>
          <w:r>
            <w:rPr>
              <w:rFonts w:ascii="Times New Roman" w:eastAsia="Times New Roman" w:hAnsi="Times New Roman" w:cs="Times New Roman"/>
              <w:b w:val="0"/>
              <w:i w:val="0"/>
              <w:sz w:val="18"/>
            </w:rPr>
            <w:t xml:space="preserve"> | Executive Overview</w:t>
          </w:r>
        </w:p>
      </w:tc>
    </w:tr>
  </w:tbl>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left"/>
      <w:outlineLvl w:val="9"/>
      <w:rPr>
        <w:rFonts w:ascii="Times New Roman" w:eastAsia="Times New Roman" w:hAnsi="Times New Roman" w:cs="Times New Roman"/>
        <w:b w:val="0"/>
        <w:i w:val="0"/>
        <w:sz w:val="20"/>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1500"/>
      <w:gridCol w:w="534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150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534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right"/>
            <w:outlineLvl w:val="1"/>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 Item 2</w:t>
          </w:r>
          <w:r>
            <w:rPr>
              <w:rFonts w:ascii="Times New Roman" w:eastAsia="Times New Roman" w:hAnsi="Times New Roman" w:cs="Times New Roman"/>
              <w:b w:val="0"/>
              <w:i w:val="0"/>
              <w:sz w:val="18"/>
            </w:rPr>
            <w:t xml:space="preserve"> | Executive Overview</w:t>
          </w:r>
        </w:p>
      </w:tc>
    </w:tr>
  </w:tbl>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685"/>
      <w:gridCol w:w="2685"/>
      <w:gridCol w:w="489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2685"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268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48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right"/>
            <w:outlineLvl w:val="1"/>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 Item 2</w:t>
          </w:r>
          <w:r>
            <w:rPr>
              <w:rFonts w:ascii="Times New Roman" w:eastAsia="Times New Roman" w:hAnsi="Times New Roman" w:cs="Times New Roman"/>
              <w:b w:val="0"/>
              <w:i w:val="0"/>
              <w:sz w:val="18"/>
            </w:rPr>
            <w:t xml:space="preserve"> | Liquidity and Capital Resources</w:t>
          </w:r>
        </w:p>
      </w:tc>
    </w:tr>
  </w:tbl>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685"/>
      <w:gridCol w:w="2685"/>
      <w:gridCol w:w="489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2685" w:type="dxa"/>
          <w:tcBorders>
            <w:top w:val="nil"/>
            <w:left w:val="nil"/>
            <w:bottom w:val="nil"/>
            <w:right w:val="nil"/>
          </w:tcBorders>
          <w:tcMar>
            <w:top w:w="0" w:type="dxa"/>
            <w:left w:w="53" w:type="dxa"/>
            <w:bottom w:w="0" w:type="dxa"/>
            <w:right w:w="53" w:type="dxa"/>
          </w:tcMar>
          <w:vAlign w:val="top"/>
        </w:tcPr>
        <w:p>
          <w:pPr>
            <w:pageBreakBefore w:val="0"/>
            <w:spacing w:before="75" w:after="30" w:line="240" w:lineRule="auto"/>
            <w:jc w:val="left"/>
          </w:pPr>
          <w:r>
            <w:rPr>
              <w:rFonts w:ascii="Times New Roman" w:eastAsia="Times New Roman" w:hAnsi="Times New Roman" w:cs="Times New Roman"/>
              <w:b w:val="0"/>
              <w:i w:val="0"/>
              <w:color w:val="000000"/>
              <w:sz w:val="18"/>
              <w:u w:val="none"/>
            </w:rPr>
            <w:t>Table of Contents</w:t>
          </w:r>
        </w:p>
      </w:tc>
      <w:tc>
        <w:tcPr>
          <w:tcW w:w="268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4890"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75" w:after="30" w:line="240" w:lineRule="auto"/>
            <w:ind w:left="0" w:right="0" w:firstLine="0"/>
            <w:jc w:val="right"/>
            <w:outlineLvl w:val="1"/>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 Item 2</w:t>
          </w:r>
          <w:r>
            <w:rPr>
              <w:rFonts w:ascii="Times New Roman" w:eastAsia="Times New Roman" w:hAnsi="Times New Roman" w:cs="Times New Roman"/>
              <w:b w:val="0"/>
              <w:i w:val="0"/>
              <w:sz w:val="18"/>
            </w:rPr>
            <w:t xml:space="preserve"> | Liquidity and Capital Resources</w:t>
          </w:r>
        </w:p>
      </w:tc>
    </w:tr>
  </w:tbl>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685"/>
      <w:gridCol w:w="2685"/>
      <w:gridCol w:w="489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2685"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268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48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right"/>
            <w:outlineLvl w:val="2"/>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 Item 2</w:t>
          </w:r>
          <w:r>
            <w:rPr>
              <w:rFonts w:ascii="Times New Roman" w:eastAsia="Times New Roman" w:hAnsi="Times New Roman" w:cs="Times New Roman"/>
              <w:b w:val="0"/>
              <w:i w:val="0"/>
              <w:sz w:val="18"/>
            </w:rPr>
            <w:t xml:space="preserve"> | Liquidity and Capital Resources</w:t>
          </w:r>
        </w:p>
      </w:tc>
    </w:tr>
  </w:tbl>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685"/>
      <w:gridCol w:w="2685"/>
      <w:gridCol w:w="489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2685"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268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48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right"/>
            <w:outlineLvl w:val="1"/>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 Item 2</w:t>
          </w:r>
          <w:r>
            <w:rPr>
              <w:rFonts w:ascii="Times New Roman" w:eastAsia="Times New Roman" w:hAnsi="Times New Roman" w:cs="Times New Roman"/>
              <w:b w:val="0"/>
              <w:i w:val="0"/>
              <w:sz w:val="18"/>
            </w:rPr>
            <w:t xml:space="preserve"> | Liquidity and Capital Resources</w:t>
          </w:r>
        </w:p>
      </w:tc>
    </w:tr>
  </w:tbl>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685"/>
      <w:gridCol w:w="2685"/>
      <w:gridCol w:w="489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2685"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268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48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right"/>
            <w:outlineLvl w:val="2"/>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 Item 2</w:t>
          </w:r>
          <w:r>
            <w:rPr>
              <w:rFonts w:ascii="Times New Roman" w:eastAsia="Times New Roman" w:hAnsi="Times New Roman" w:cs="Times New Roman"/>
              <w:b w:val="0"/>
              <w:i w:val="0"/>
              <w:sz w:val="18"/>
            </w:rPr>
            <w:t xml:space="preserve"> | Liquidity and Capital Resources</w:t>
          </w:r>
        </w:p>
      </w:tc>
    </w:tr>
  </w:tbl>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3420"/>
      <w:gridCol w:w="342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342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3420"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bl>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185"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660"/>
      <w:gridCol w:w="525"/>
      <w:gridCol w:w="6000"/>
    </w:tblGrid>
    <w:tr>
      <w:tblPrEx>
        <w:tblW w:w="10185"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66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52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600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right"/>
            <w:outlineLvl w:val="2"/>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 Item 2</w:t>
          </w:r>
          <w:r>
            <w:rPr>
              <w:rFonts w:ascii="Times New Roman" w:eastAsia="Times New Roman" w:hAnsi="Times New Roman" w:cs="Times New Roman"/>
              <w:b w:val="0"/>
              <w:i w:val="0"/>
              <w:sz w:val="18"/>
            </w:rPr>
            <w:t xml:space="preserve"> | Business Environment and Results of Operations</w:t>
          </w:r>
        </w:p>
      </w:tc>
    </w:tr>
  </w:tbl>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685"/>
      <w:gridCol w:w="2685"/>
      <w:gridCol w:w="489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2685" w:type="dxa"/>
          <w:tcBorders>
            <w:top w:val="nil"/>
            <w:left w:val="nil"/>
            <w:bottom w:val="nil"/>
            <w:right w:val="nil"/>
          </w:tcBorders>
          <w:tcMar>
            <w:top w:w="0" w:type="dxa"/>
            <w:left w:w="53" w:type="dxa"/>
            <w:bottom w:w="0" w:type="dxa"/>
            <w:right w:w="53" w:type="dxa"/>
          </w:tcMar>
          <w:vAlign w:val="top"/>
        </w:tcPr>
        <w:p>
          <w:pPr>
            <w:pageBreakBefore w:val="0"/>
            <w:spacing w:before="75" w:after="30" w:line="240" w:lineRule="auto"/>
            <w:jc w:val="left"/>
          </w:pPr>
          <w:r>
            <w:rPr>
              <w:rFonts w:ascii="Times New Roman" w:eastAsia="Times New Roman" w:hAnsi="Times New Roman" w:cs="Times New Roman"/>
              <w:b w:val="0"/>
              <w:i w:val="0"/>
              <w:color w:val="000000"/>
              <w:sz w:val="18"/>
              <w:u w:val="none"/>
            </w:rPr>
            <w:t>Table of Contents</w:t>
          </w:r>
        </w:p>
      </w:tc>
      <w:tc>
        <w:tcPr>
          <w:tcW w:w="268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4890"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75" w:after="30" w:line="240" w:lineRule="auto"/>
            <w:ind w:left="0" w:right="0" w:firstLine="0"/>
            <w:jc w:val="right"/>
            <w:outlineLvl w:val="2"/>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 Item 2</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t>Business E</w:t>
          </w:r>
          <w:r>
            <w:rPr>
              <w:rFonts w:ascii="Times New Roman" w:eastAsia="Times New Roman" w:hAnsi="Times New Roman" w:cs="Times New Roman"/>
              <w:b w:val="0"/>
              <w:i w:val="0"/>
              <w:sz w:val="18"/>
            </w:rPr>
            <w:t>nvironment and Results of Operations</w:t>
          </w:r>
        </w:p>
      </w:tc>
    </w:tr>
  </w:tbl>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684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right"/>
            <w:outlineLvl w:val="1"/>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 Item 2</w:t>
          </w:r>
          <w:r>
            <w:rPr>
              <w:rFonts w:ascii="Times New Roman" w:eastAsia="Times New Roman" w:hAnsi="Times New Roman" w:cs="Times New Roman"/>
              <w:b w:val="0"/>
              <w:i w:val="0"/>
              <w:sz w:val="18"/>
            </w:rPr>
            <w:t xml:space="preserve"> | Results of Operations in </w:t>
          </w:r>
          <w:r>
            <w:rPr>
              <w:rFonts w:ascii="Times New Roman" w:eastAsia="Times New Roman" w:hAnsi="Times New Roman" w:cs="Times New Roman"/>
              <w:b w:val="0"/>
              <w:i w:val="0"/>
              <w:color w:val="000000"/>
              <w:sz w:val="18"/>
              <w:u w:val="none"/>
            </w:rPr>
            <w:t>2025</w:t>
          </w:r>
          <w:r>
            <w:rPr>
              <w:rFonts w:ascii="Times New Roman" w:eastAsia="Times New Roman" w:hAnsi="Times New Roman" w:cs="Times New Roman"/>
              <w:b w:val="0"/>
              <w:i w:val="0"/>
              <w:sz w:val="18"/>
            </w:rPr>
            <w:t xml:space="preserve"> Compared to </w:t>
          </w:r>
          <w:r>
            <w:rPr>
              <w:rFonts w:ascii="Times New Roman" w:eastAsia="Times New Roman" w:hAnsi="Times New Roman" w:cs="Times New Roman"/>
              <w:b w:val="0"/>
              <w:i w:val="0"/>
              <w:color w:val="000000"/>
              <w:sz w:val="18"/>
              <w:u w:val="none"/>
            </w:rPr>
            <w:t>2024</w:t>
          </w:r>
          <w:r>
            <w:rPr>
              <w:rFonts w:ascii="Times New Roman" w:eastAsia="Times New Roman" w:hAnsi="Times New Roman" w:cs="Times New Roman"/>
              <w:b w:val="0"/>
              <w:i w:val="0"/>
              <w:sz w:val="18"/>
            </w:rPr>
            <w:t xml:space="preserve"> </w:t>
          </w:r>
          <w:r>
            <w:rPr>
              <w:rFonts w:ascii="Times New Roman" w:eastAsia="Times New Roman" w:hAnsi="Times New Roman" w:cs="Times New Roman"/>
              <w:b w:val="0"/>
              <w:i w:val="0"/>
              <w:color w:val="000000"/>
              <w:sz w:val="18"/>
              <w:u w:val="none"/>
            </w:rPr>
            <w:t>(QTD)</w:t>
          </w:r>
        </w:p>
      </w:tc>
    </w:tr>
  </w:tbl>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685"/>
      <w:gridCol w:w="1755"/>
      <w:gridCol w:w="582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2685" w:type="dxa"/>
          <w:tcBorders>
            <w:top w:val="nil"/>
            <w:left w:val="nil"/>
            <w:bottom w:val="nil"/>
            <w:right w:val="nil"/>
          </w:tcBorders>
          <w:tcMar>
            <w:top w:w="0" w:type="dxa"/>
            <w:left w:w="53" w:type="dxa"/>
            <w:bottom w:w="0" w:type="dxa"/>
            <w:right w:w="53" w:type="dxa"/>
          </w:tcMar>
          <w:vAlign w:val="top"/>
        </w:tcPr>
        <w:p>
          <w:pPr>
            <w:pageBreakBefore w:val="0"/>
            <w:spacing w:before="75" w:after="30" w:line="240" w:lineRule="auto"/>
            <w:jc w:val="left"/>
          </w:pPr>
          <w:r>
            <w:rPr>
              <w:rFonts w:ascii="Times New Roman" w:eastAsia="Times New Roman" w:hAnsi="Times New Roman" w:cs="Times New Roman"/>
              <w:b w:val="0"/>
              <w:i w:val="0"/>
              <w:color w:val="000000"/>
              <w:sz w:val="18"/>
              <w:u w:val="none"/>
            </w:rPr>
            <w:t>Table of Contents</w:t>
          </w:r>
        </w:p>
      </w:tc>
      <w:tc>
        <w:tcPr>
          <w:tcW w:w="175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5820"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75" w:after="30" w:line="240" w:lineRule="auto"/>
            <w:ind w:left="0" w:right="0" w:firstLine="0"/>
            <w:jc w:val="right"/>
            <w:outlineLvl w:val="1"/>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 Item 2</w:t>
          </w:r>
          <w:r>
            <w:rPr>
              <w:rFonts w:ascii="Times New Roman" w:eastAsia="Times New Roman" w:hAnsi="Times New Roman" w:cs="Times New Roman"/>
              <w:b w:val="0"/>
              <w:i w:val="0"/>
              <w:sz w:val="18"/>
            </w:rPr>
            <w:t xml:space="preserve"> | </w:t>
          </w:r>
          <w:r>
            <w:rPr>
              <w:rFonts w:ascii="Times New Roman" w:eastAsia="Times New Roman" w:hAnsi="Times New Roman" w:cs="Times New Roman"/>
              <w:b w:val="0"/>
              <w:i w:val="0"/>
              <w:sz w:val="18"/>
            </w:rPr>
            <w:t>Results of Operation</w:t>
          </w:r>
          <w:r>
            <w:rPr>
              <w:rFonts w:ascii="Times New Roman" w:eastAsia="Times New Roman" w:hAnsi="Times New Roman" w:cs="Times New Roman"/>
              <w:b w:val="0"/>
              <w:i w:val="0"/>
              <w:sz w:val="18"/>
            </w:rPr>
            <w:t xml:space="preserve">s in </w:t>
          </w:r>
          <w:r>
            <w:rPr>
              <w:rFonts w:ascii="Times New Roman" w:eastAsia="Times New Roman" w:hAnsi="Times New Roman" w:cs="Times New Roman"/>
              <w:b w:val="0"/>
              <w:i w:val="0"/>
              <w:color w:val="000000"/>
              <w:sz w:val="18"/>
              <w:u w:val="none"/>
            </w:rPr>
            <w:t>2025</w:t>
          </w:r>
          <w:r>
            <w:rPr>
              <w:rFonts w:ascii="Times New Roman" w:eastAsia="Times New Roman" w:hAnsi="Times New Roman" w:cs="Times New Roman"/>
              <w:b w:val="0"/>
              <w:i w:val="0"/>
              <w:sz w:val="18"/>
            </w:rPr>
            <w:t xml:space="preserve"> compared to </w:t>
          </w:r>
          <w:r>
            <w:rPr>
              <w:rFonts w:ascii="Times New Roman" w:eastAsia="Times New Roman" w:hAnsi="Times New Roman" w:cs="Times New Roman"/>
              <w:b w:val="0"/>
              <w:i w:val="0"/>
              <w:color w:val="000000"/>
              <w:sz w:val="18"/>
              <w:u w:val="none"/>
            </w:rPr>
            <w:t>2024</w:t>
          </w:r>
          <w:r>
            <w:rPr>
              <w:rFonts w:ascii="Times New Roman" w:eastAsia="Times New Roman" w:hAnsi="Times New Roman" w:cs="Times New Roman"/>
              <w:b w:val="0"/>
              <w:i w:val="0"/>
              <w:sz w:val="18"/>
            </w:rPr>
            <w:t xml:space="preserve"> (QTD)</w:t>
          </w:r>
        </w:p>
      </w:tc>
    </w:tr>
  </w:tbl>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684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right"/>
            <w:outlineLvl w:val="1"/>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 Item 3 | Quantitative and Qualitative Disclosures About Market Risk</w:t>
          </w:r>
        </w:p>
      </w:tc>
    </w:tr>
  </w:tbl>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684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right"/>
            <w:outlineLvl w:val="1"/>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 Item 2</w:t>
          </w:r>
          <w:r>
            <w:rPr>
              <w:rFonts w:ascii="Times New Roman" w:eastAsia="Times New Roman" w:hAnsi="Times New Roman" w:cs="Times New Roman"/>
              <w:b w:val="0"/>
              <w:i w:val="0"/>
              <w:sz w:val="18"/>
            </w:rPr>
            <w:t xml:space="preserve"> |</w:t>
          </w:r>
          <w:r>
            <w:rPr>
              <w:rFonts w:ascii="Times New Roman" w:eastAsia="Times New Roman" w:hAnsi="Times New Roman" w:cs="Times New Roman"/>
              <w:b w:val="0"/>
              <w:i w:val="0"/>
              <w:sz w:val="18"/>
            </w:rPr>
            <w:t xml:space="preserve"> Forward</w:t>
          </w:r>
          <w:r>
            <w:rPr>
              <w:rFonts w:ascii="Times New Roman" w:eastAsia="Times New Roman" w:hAnsi="Times New Roman" w:cs="Times New Roman"/>
              <w:b w:val="0"/>
              <w:i w:val="0"/>
              <w:sz w:val="18"/>
            </w:rPr>
            <w:t xml:space="preserve">-Looking </w:t>
          </w:r>
          <w:r>
            <w:rPr>
              <w:rFonts w:ascii="Times New Roman" w:eastAsia="Times New Roman" w:hAnsi="Times New Roman" w:cs="Times New Roman"/>
              <w:b w:val="0"/>
              <w:i w:val="0"/>
              <w:sz w:val="18"/>
            </w:rPr>
            <w:t>Information</w:t>
          </w:r>
        </w:p>
      </w:tc>
    </w:tr>
  </w:tbl>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left"/>
      <w:outlineLvl w:val="9"/>
      <w:rPr>
        <w:rFonts w:ascii="Times New Roman" w:eastAsia="Times New Roman" w:hAnsi="Times New Roman" w:cs="Times New Roman"/>
        <w:b w:val="0"/>
        <w:i w:val="0"/>
        <w:sz w:val="20"/>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684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right"/>
            <w:outlineLvl w:val="0"/>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 Item 3 | Quantitative and Qualitative Disclosures About Market Risk</w:t>
          </w:r>
        </w:p>
      </w:tc>
    </w:tr>
  </w:tbl>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left"/>
      <w:outlineLvl w:val="9"/>
      <w:rPr>
        <w:rFonts w:ascii="Times New Roman" w:eastAsia="Times New Roman" w:hAnsi="Times New Roman" w:cs="Times New Roman"/>
        <w:b w:val="0"/>
        <w:i w:val="0"/>
        <w:sz w:val="20"/>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684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right"/>
            <w:outlineLvl w:val="0"/>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 Item 4 | Controls and Procedures</w:t>
          </w:r>
        </w:p>
      </w:tc>
    </w:tr>
  </w:tbl>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3420"/>
      <w:gridCol w:w="342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342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3420"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bl>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left"/>
      <w:outlineLvl w:val="9"/>
      <w:rPr>
        <w:rFonts w:ascii="Times New Roman" w:eastAsia="Times New Roman" w:hAnsi="Times New Roman" w:cs="Times New Roman"/>
        <w:b w:val="0"/>
        <w:i w:val="0"/>
        <w:sz w:val="20"/>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925"/>
      <w:gridCol w:w="7335"/>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465"/>
        <w:jc w:val="left"/>
      </w:trPr>
      <w:tc>
        <w:tcPr>
          <w:tcW w:w="2925"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7335"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right"/>
            <w:outlineLvl w:val="0"/>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II. Item 2 | Legal Proceedings</w:t>
          </w:r>
        </w:p>
      </w:tc>
    </w:tr>
  </w:tbl>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left"/>
      <w:outlineLvl w:val="9"/>
      <w:rPr>
        <w:rFonts w:ascii="Times New Roman" w:eastAsia="Times New Roman" w:hAnsi="Times New Roman" w:cs="Times New Roman"/>
        <w:b w:val="0"/>
        <w:i w:val="0"/>
        <w:sz w:val="20"/>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925"/>
      <w:gridCol w:w="7335"/>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465"/>
        <w:jc w:val="left"/>
      </w:trPr>
      <w:tc>
        <w:tcPr>
          <w:tcW w:w="2925"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7335"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right"/>
            <w:outlineLvl w:val="1"/>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II. Item 2 | Legal Proceedings</w:t>
          </w:r>
        </w:p>
      </w:tc>
    </w:tr>
  </w:tbl>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3420"/>
      <w:gridCol w:w="342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342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3420" w:type="dxa"/>
          <w:tcBorders>
            <w:top w:val="nil"/>
            <w:left w:val="nil"/>
            <w:bottom w:val="nil"/>
            <w:right w:val="nil"/>
          </w:tcBorders>
          <w:tcMar>
            <w:top w:w="0" w:type="dxa"/>
            <w:left w:w="0" w:type="dxa"/>
            <w:bottom w:w="0" w:type="dxa"/>
            <w:right w:w="53" w:type="dxa"/>
          </w:tcMar>
          <w:vAlign w:val="bottom"/>
        </w:tcPr>
        <w:p>
          <w:pPr>
            <w:pageBreakBefore w:val="0"/>
            <w:spacing w:before="75" w:after="30" w:line="240" w:lineRule="auto"/>
            <w:jc w:val="right"/>
          </w:pPr>
          <w:r>
            <w:rPr>
              <w:rFonts w:ascii="Times New Roman" w:eastAsia="Times New Roman" w:hAnsi="Times New Roman" w:cs="Times New Roman"/>
              <w:b w:val="0"/>
              <w:i w:val="0"/>
              <w:color w:val="000000"/>
              <w:sz w:val="18"/>
              <w:u w:val="none"/>
            </w:rPr>
            <w:t>Part II. Item 1(a) | Risk Factors</w:t>
          </w:r>
        </w:p>
      </w:tc>
    </w:tr>
  </w:tbl>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925"/>
      <w:gridCol w:w="7335"/>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465"/>
        <w:jc w:val="left"/>
      </w:trPr>
      <w:tc>
        <w:tcPr>
          <w:tcW w:w="2925"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7335" w:type="dxa"/>
          <w:tcBorders>
            <w:top w:val="nil"/>
            <w:left w:val="nil"/>
            <w:bottom w:val="nil"/>
            <w:right w:val="nil"/>
          </w:tcBorders>
          <w:tcMar>
            <w:top w:w="0" w:type="dxa"/>
            <w:left w:w="0" w:type="dxa"/>
            <w:bottom w:w="0" w:type="dxa"/>
            <w:right w:w="53" w:type="dxa"/>
          </w:tcMar>
          <w:vAlign w:val="bottom"/>
        </w:tcPr>
        <w:p>
          <w:pPr>
            <w:pageBreakBefore w:val="0"/>
            <w:spacing w:before="75" w:after="30" w:line="240" w:lineRule="auto"/>
            <w:jc w:val="right"/>
          </w:pPr>
          <w:r>
            <w:rPr>
              <w:rFonts w:ascii="Times New Roman" w:eastAsia="Times New Roman" w:hAnsi="Times New Roman" w:cs="Times New Roman"/>
              <w:b w:val="0"/>
              <w:i w:val="0"/>
              <w:color w:val="000000"/>
              <w:sz w:val="18"/>
              <w:u w:val="none"/>
            </w:rPr>
            <w:t>Item 1(a) | Risk Factors</w:t>
          </w:r>
        </w:p>
      </w:tc>
    </w:tr>
  </w:tbl>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695"/>
      <w:gridCol w:w="8565"/>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1695"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8565" w:type="dxa"/>
          <w:tcBorders>
            <w:top w:val="nil"/>
            <w:left w:val="nil"/>
            <w:bottom w:val="nil"/>
            <w:right w:val="nil"/>
          </w:tcBorders>
          <w:tcMar>
            <w:top w:w="0" w:type="dxa"/>
            <w:left w:w="0" w:type="dxa"/>
            <w:bottom w:w="0" w:type="dxa"/>
            <w:right w:w="53" w:type="dxa"/>
          </w:tcMar>
          <w:vAlign w:val="bottom"/>
        </w:tcPr>
        <w:p>
          <w:pPr>
            <w:pageBreakBefore w:val="0"/>
            <w:spacing w:before="75" w:after="30" w:line="240" w:lineRule="auto"/>
            <w:jc w:val="right"/>
          </w:pPr>
          <w:r>
            <w:rPr>
              <w:rFonts w:ascii="Times New Roman" w:eastAsia="Times New Roman" w:hAnsi="Times New Roman" w:cs="Times New Roman"/>
              <w:b w:val="0"/>
              <w:i w:val="0"/>
              <w:color w:val="000000"/>
              <w:sz w:val="18"/>
              <w:u w:val="none"/>
            </w:rPr>
            <w:t>Part II. Item 2 | Unregistered Sales of Equity Securities and Use of Proceeds</w:t>
          </w:r>
        </w:p>
      </w:tc>
    </w:tr>
  </w:tbl>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925"/>
      <w:gridCol w:w="7335"/>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465"/>
        <w:jc w:val="left"/>
      </w:trPr>
      <w:tc>
        <w:tcPr>
          <w:tcW w:w="2925"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7335" w:type="dxa"/>
          <w:tcBorders>
            <w:top w:val="nil"/>
            <w:left w:val="nil"/>
            <w:bottom w:val="nil"/>
            <w:right w:val="nil"/>
          </w:tcBorders>
          <w:tcMar>
            <w:top w:w="0" w:type="dxa"/>
            <w:left w:w="0" w:type="dxa"/>
            <w:bottom w:w="0" w:type="dxa"/>
            <w:right w:w="53" w:type="dxa"/>
          </w:tcMar>
          <w:vAlign w:val="bottom"/>
        </w:tcPr>
        <w:p>
          <w:pPr>
            <w:pageBreakBefore w:val="0"/>
            <w:spacing w:before="75" w:after="30" w:line="240" w:lineRule="auto"/>
            <w:jc w:val="right"/>
          </w:pPr>
          <w:r>
            <w:rPr>
              <w:rFonts w:ascii="Times New Roman" w:eastAsia="Times New Roman" w:hAnsi="Times New Roman" w:cs="Times New Roman"/>
              <w:b w:val="0"/>
              <w:i w:val="0"/>
              <w:color w:val="000000"/>
              <w:sz w:val="18"/>
              <w:u w:val="none"/>
            </w:rPr>
            <w:t>Item 2 | Unregistered Sales of Equity Securities and Use of Proceeds</w:t>
          </w:r>
        </w:p>
      </w:tc>
    </w:tr>
  </w:tbl>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1905"/>
      <w:gridCol w:w="4935"/>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190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4935" w:type="dxa"/>
          <w:tcBorders>
            <w:top w:val="nil"/>
            <w:left w:val="nil"/>
            <w:bottom w:val="nil"/>
            <w:right w:val="nil"/>
          </w:tcBorders>
          <w:tcMar>
            <w:top w:w="0" w:type="dxa"/>
            <w:left w:w="0" w:type="dxa"/>
            <w:bottom w:w="0" w:type="dxa"/>
            <w:right w:w="53" w:type="dxa"/>
          </w:tcMar>
          <w:vAlign w:val="bottom"/>
        </w:tcPr>
        <w:p>
          <w:pPr>
            <w:pageBreakBefore w:val="0"/>
            <w:spacing w:before="75" w:after="30" w:line="240" w:lineRule="auto"/>
            <w:jc w:val="right"/>
          </w:pPr>
          <w:r>
            <w:rPr>
              <w:rFonts w:ascii="Times New Roman" w:eastAsia="Times New Roman" w:hAnsi="Times New Roman" w:cs="Times New Roman"/>
              <w:b w:val="0"/>
              <w:i w:val="0"/>
              <w:color w:val="000000"/>
              <w:sz w:val="18"/>
              <w:u w:val="none"/>
            </w:rPr>
            <w:t>Part II. Item 5 | Other Information</w:t>
          </w:r>
        </w:p>
      </w:tc>
    </w:tr>
  </w:tbl>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925"/>
      <w:gridCol w:w="7335"/>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465"/>
        <w:jc w:val="left"/>
      </w:trPr>
      <w:tc>
        <w:tcPr>
          <w:tcW w:w="2925"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7335" w:type="dxa"/>
          <w:tcBorders>
            <w:top w:val="nil"/>
            <w:left w:val="nil"/>
            <w:bottom w:val="nil"/>
            <w:right w:val="nil"/>
          </w:tcBorders>
          <w:tcMar>
            <w:top w:w="0" w:type="dxa"/>
            <w:left w:w="0" w:type="dxa"/>
            <w:bottom w:w="0" w:type="dxa"/>
            <w:right w:w="53" w:type="dxa"/>
          </w:tcMar>
          <w:vAlign w:val="bottom"/>
        </w:tcPr>
        <w:p>
          <w:pPr>
            <w:pageBreakBefore w:val="0"/>
            <w:spacing w:before="75" w:after="30" w:line="240" w:lineRule="auto"/>
            <w:jc w:val="right"/>
          </w:pPr>
          <w:r>
            <w:rPr>
              <w:rFonts w:ascii="Times New Roman" w:eastAsia="Times New Roman" w:hAnsi="Times New Roman" w:cs="Times New Roman"/>
              <w:b w:val="0"/>
              <w:i w:val="0"/>
              <w:color w:val="000000"/>
              <w:sz w:val="18"/>
              <w:u w:val="none"/>
            </w:rPr>
            <w:t>Item 3 | Defaults Upon Senior Securities</w:t>
          </w:r>
        </w:p>
      </w:tc>
    </w:tr>
  </w:tbl>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3420"/>
      <w:gridCol w:w="342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342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3420"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bl>
  <w:p>
    <w:r>
      <w:pict>
        <v:rect id="_x0000_s2049" style="width:612pt;height:11in;margin-top:0;margin-left:0;mso-position-horizontal-relative:page;mso-position-vertical-relative:page;position:absolute;z-index:-251658240" filled="t" fillcolor="whit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160" w:line="288" w:lineRule="auto"/>
      <w:ind w:left="0" w:right="0" w:firstLine="0"/>
      <w:jc w:val="left"/>
      <w:outlineLvl w:val="9"/>
      <w:rPr>
        <w:rFonts w:ascii="Times New Roman" w:eastAsia="Times New Roman" w:hAnsi="Times New Roman" w:cs="Times New Roman"/>
        <w:b w:val="0"/>
        <w:i w:val="0"/>
        <w:sz w:val="20"/>
      </w:rPr>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925"/>
      <w:gridCol w:w="7335"/>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465"/>
        <w:jc w:val="left"/>
      </w:trPr>
      <w:tc>
        <w:tcPr>
          <w:tcW w:w="2925"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7335"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right"/>
            <w:outlineLvl w:val="1"/>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II. Item 4 | Mine Safety Disclosures</w:t>
          </w:r>
        </w:p>
      </w:tc>
    </w:tr>
  </w:tbl>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3420"/>
      <w:gridCol w:w="342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342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3420" w:type="dxa"/>
          <w:tcBorders>
            <w:top w:val="nil"/>
            <w:left w:val="nil"/>
            <w:bottom w:val="nil"/>
            <w:right w:val="nil"/>
          </w:tcBorders>
          <w:tcMar>
            <w:top w:w="0" w:type="dxa"/>
            <w:left w:w="0" w:type="dxa"/>
            <w:bottom w:w="0" w:type="dxa"/>
            <w:right w:w="53" w:type="dxa"/>
          </w:tcMar>
          <w:vAlign w:val="bottom"/>
        </w:tcPr>
        <w:p>
          <w:pPr>
            <w:pageBreakBefore w:val="0"/>
            <w:spacing w:before="75" w:after="30" w:line="240" w:lineRule="auto"/>
            <w:jc w:val="right"/>
          </w:pPr>
          <w:r>
            <w:rPr>
              <w:rFonts w:ascii="Times New Roman" w:eastAsia="Times New Roman" w:hAnsi="Times New Roman" w:cs="Times New Roman"/>
              <w:b w:val="0"/>
              <w:i w:val="0"/>
              <w:color w:val="000000"/>
              <w:sz w:val="18"/>
              <w:u w:val="none"/>
            </w:rPr>
            <w:t>Part II. Item 6 | Exhibits</w:t>
          </w:r>
        </w:p>
      </w:tc>
    </w:tr>
  </w:tbl>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3420"/>
      <w:gridCol w:w="342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342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3420"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bl>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684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right"/>
            <w:outlineLvl w:val="1"/>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 Item 1</w:t>
          </w:r>
          <w:r>
            <w:rPr>
              <w:rFonts w:ascii="Times New Roman" w:eastAsia="Times New Roman" w:hAnsi="Times New Roman" w:cs="Times New Roman"/>
              <w:b w:val="0"/>
              <w:i w:val="0"/>
              <w:sz w:val="18"/>
            </w:rPr>
            <w:t xml:space="preserve"> | Notes to Condensed Consolidated Financial Statements</w:t>
          </w:r>
        </w:p>
      </w:tc>
    </w:tr>
  </w:tbl>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684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right"/>
            <w:outlineLvl w:val="2"/>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 Item 1</w:t>
          </w:r>
          <w:r>
            <w:rPr>
              <w:rFonts w:ascii="Times New Roman" w:eastAsia="Times New Roman" w:hAnsi="Times New Roman" w:cs="Times New Roman"/>
              <w:b w:val="0"/>
              <w:i w:val="0"/>
              <w:sz w:val="18"/>
            </w:rPr>
            <w:t xml:space="preserve"> | Notes to Condensed Consolidated Financial Statements</w:t>
          </w:r>
        </w:p>
      </w:tc>
    </w:tr>
  </w:tbl>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20"/>
      <w:gridCol w:w="6840"/>
    </w:tblGrid>
    <w:tr>
      <w:tblPrEx>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15"/>
        <w:jc w:val="left"/>
      </w:trPr>
      <w:tc>
        <w:tcPr>
          <w:tcW w:w="342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left"/>
            <w:outlineLvl w:val="9"/>
            <w:rPr>
              <w:rFonts w:ascii="Arial" w:eastAsia="Arial" w:hAnsi="Arial" w:cs="Arial"/>
              <w:b w:val="0"/>
              <w:i w:val="0"/>
              <w:sz w:val="18"/>
              <w:shd w:val="clear" w:color="auto" w:fill="auto"/>
            </w:rPr>
          </w:pPr>
          <w:hyperlink w:anchor="Section2" w:history="1">
            <w:r>
              <w:rPr>
                <w:rFonts w:ascii="Arial" w:eastAsia="Arial" w:hAnsi="Arial" w:cs="Arial"/>
                <w:b w:val="0"/>
                <w:i w:val="0"/>
                <w:color w:val="0000FF"/>
                <w:sz w:val="18"/>
                <w:u w:val="single"/>
                <w:shd w:val="clear" w:color="auto" w:fill="auto"/>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75" w:after="30" w:line="240" w:lineRule="auto"/>
            <w:ind w:left="0" w:right="0" w:firstLine="0"/>
            <w:jc w:val="right"/>
            <w:outlineLvl w:val="2"/>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Part I. Item 1</w:t>
          </w:r>
          <w:r>
            <w:rPr>
              <w:rFonts w:ascii="Times New Roman" w:eastAsia="Times New Roman" w:hAnsi="Times New Roman" w:cs="Times New Roman"/>
              <w:b w:val="0"/>
              <w:i w:val="0"/>
              <w:sz w:val="18"/>
            </w:rPr>
            <w:t xml:space="preserve"> | Notes to Condensed Consolidated Financial Statements</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2">
    <w:nsid w:val="0000000D"/>
    <w:multiLevelType w:val="multilevel"/>
    <w:tmpl w:val="0000000D"/>
    <w:styleLink w:val="outlinearabic"/>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180"/>
      </w:pPr>
    </w:lvl>
    <w:lvl w:ilvl="3">
      <w:start w:val="1"/>
      <w:numFmt w:val="decimal"/>
      <w:lvlText w:val="%1.%2.%3.%4."/>
      <w:lvlJc w:val="left"/>
      <w:pPr>
        <w:tabs>
          <w:tab w:val="num" w:pos="2880"/>
        </w:tabs>
        <w:ind w:left="2880" w:hanging="360"/>
      </w:pPr>
    </w:lvl>
    <w:lvl w:ilvl="4">
      <w:start w:val="1"/>
      <w:numFmt w:val="decimal"/>
      <w:lvlText w:val="%1.%2.%3.%4.%5."/>
      <w:lvlJc w:val="left"/>
      <w:pPr>
        <w:tabs>
          <w:tab w:val="num" w:pos="3600"/>
        </w:tabs>
        <w:ind w:left="3600" w:hanging="360"/>
      </w:pPr>
    </w:lvl>
    <w:lvl w:ilvl="5">
      <w:start w:val="1"/>
      <w:numFmt w:val="decimal"/>
      <w:lvlText w:val="%1.%2.%3.%4.%5.%6."/>
      <w:lvlJc w:val="left"/>
      <w:pPr>
        <w:tabs>
          <w:tab w:val="num" w:pos="4320"/>
        </w:tabs>
        <w:ind w:left="4320" w:hanging="180"/>
      </w:pPr>
    </w:lvl>
    <w:lvl w:ilvl="6">
      <w:start w:val="1"/>
      <w:numFmt w:val="decimal"/>
      <w:lvlText w:val="%1.%2.%3.%4.%5.%6.%7."/>
      <w:lvlJc w:val="left"/>
      <w:pPr>
        <w:tabs>
          <w:tab w:val="num" w:pos="5040"/>
        </w:tabs>
        <w:ind w:left="5040" w:hanging="360"/>
      </w:pPr>
    </w:lvl>
    <w:lvl w:ilvl="7">
      <w:start w:val="1"/>
      <w:numFmt w:val="decimal"/>
      <w:lvlText w:val="%1.%2.%3.%4.%5.%6.%7.%8."/>
      <w:lvlJc w:val="left"/>
      <w:pPr>
        <w:tabs>
          <w:tab w:val="num" w:pos="5760"/>
        </w:tabs>
        <w:ind w:left="5760" w:hanging="360"/>
      </w:pPr>
    </w:lvl>
    <w:lvl w:ilvl="8">
      <w:start w:val="1"/>
      <w:numFmt w:val="decimal"/>
      <w:lvlText w:val="%1.%2.%3.%4.%5.%6.%7.%8.%9."/>
      <w:lvlJc w:val="left"/>
      <w:pPr>
        <w:tabs>
          <w:tab w:val="num" w:pos="6480"/>
        </w:tabs>
        <w:ind w:left="6480" w:hanging="180"/>
      </w:pPr>
    </w:lvl>
  </w:abstractNum>
  <w:abstractNum w:abstractNumId="13">
    <w:nsid w:val="0000000E"/>
    <w:multiLevelType w:val="hybridMultilevel"/>
    <w:tmpl w:val="0000000E"/>
    <w:lvl w:ilvl="0">
      <w:start w:val="1"/>
      <w:numFmt w:val="bullet"/>
      <w:lvlText w:val="•"/>
      <w:lvlJc w:val="left"/>
      <w:pPr>
        <w:tabs>
          <w:tab w:val="num" w:pos="990"/>
        </w:tabs>
        <w:ind w:left="720" w:hanging="360"/>
      </w:pPr>
      <w:rPr>
        <w:rFonts w:ascii="Times New Roman" w:eastAsia="Times New Roman" w:hAnsi="Times New Roman" w:cs="Times New Roman"/>
        <w:b w:val="0"/>
        <w:i w:val="0"/>
        <w:strike w:val="0"/>
        <w:color w:val="000000"/>
        <w:sz w:val="20"/>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0F"/>
    <w:multiLevelType w:val="hybridMultilevel"/>
    <w:tmpl w:val="0000000F"/>
    <w:lvl w:ilvl="0">
      <w:start w:val="1"/>
      <w:numFmt w:val="bullet"/>
      <w:lvlText w:val="•"/>
      <w:lvlJc w:val="left"/>
      <w:pPr>
        <w:tabs>
          <w:tab w:val="num" w:pos="990"/>
        </w:tabs>
        <w:ind w:left="720" w:hanging="360"/>
      </w:pPr>
      <w:rPr>
        <w:rFonts w:ascii="Times New Roman" w:eastAsia="Times New Roman" w:hAnsi="Times New Roman" w:cs="Times New Roman"/>
        <w:b w:val="0"/>
        <w:i w:val="0"/>
        <w:strike w:val="0"/>
        <w:color w:val="000000"/>
        <w:sz w:val="20"/>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0"/>
    <w:multiLevelType w:val="hybridMultilevel"/>
    <w:tmpl w:val="00000010"/>
    <w:lvl w:ilvl="0">
      <w:start w:val="1"/>
      <w:numFmt w:val="bullet"/>
      <w:lvlText w:val="•"/>
      <w:lvlJc w:val="left"/>
      <w:pPr>
        <w:tabs>
          <w:tab w:val="num" w:pos="990"/>
        </w:tabs>
        <w:ind w:left="720" w:hanging="360"/>
      </w:pPr>
      <w:rPr>
        <w:rFonts w:ascii="Times New Roman" w:eastAsia="Times New Roman" w:hAnsi="Times New Roman" w:cs="Times New Roman"/>
        <w:b w:val="0"/>
        <w:i w:val="0"/>
        <w:strike w:val="0"/>
        <w:color w:val="000000"/>
        <w:sz w:val="20"/>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hybridMultilevel"/>
    <w:tmpl w:val="00000011"/>
    <w:lvl w:ilvl="0">
      <w:start w:val="1"/>
      <w:numFmt w:val="bullet"/>
      <w:lvlText w:val="•"/>
      <w:lvlJc w:val="left"/>
      <w:pPr>
        <w:tabs>
          <w:tab w:val="num" w:pos="990"/>
        </w:tabs>
        <w:ind w:left="720" w:hanging="360"/>
      </w:pPr>
      <w:rPr>
        <w:rFonts w:ascii="Times New Roman" w:eastAsia="Times New Roman" w:hAnsi="Times New Roman" w:cs="Times New Roman"/>
        <w:b w:val="0"/>
        <w:i w:val="0"/>
        <w:strike w:val="0"/>
        <w:color w:val="000000"/>
        <w:sz w:val="20"/>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00000012"/>
    <w:multiLevelType w:val="hybridMultilevel"/>
    <w:tmpl w:val="00000012"/>
    <w:lvl w:ilvl="0">
      <w:start w:val="1"/>
      <w:numFmt w:val="bullet"/>
      <w:lvlText w:val="•"/>
      <w:lvlJc w:val="left"/>
      <w:pPr>
        <w:tabs>
          <w:tab w:val="num" w:pos="990"/>
        </w:tabs>
        <w:ind w:left="720" w:hanging="360"/>
      </w:pPr>
      <w:rPr>
        <w:rFonts w:ascii="Times New Roman" w:eastAsia="Times New Roman" w:hAnsi="Times New Roman" w:cs="Times New Roman"/>
        <w:b w:val="0"/>
        <w:i/>
        <w:strike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13"/>
    <w:multiLevelType w:val="hybridMultilevel"/>
    <w:tmpl w:val="00000013"/>
    <w:lvl w:ilvl="0">
      <w:start w:val="1"/>
      <w:numFmt w:val="bullet"/>
      <w:lvlText w:val="•"/>
      <w:lvlJc w:val="left"/>
      <w:pPr>
        <w:tabs>
          <w:tab w:val="num" w:pos="990"/>
        </w:tabs>
        <w:ind w:left="720" w:hanging="360"/>
      </w:pPr>
      <w:rPr>
        <w:rFonts w:ascii="Times New Roman" w:eastAsia="Times New Roman" w:hAnsi="Times New Roman" w:cs="Times New Roman"/>
        <w:b w:val="0"/>
        <w:i/>
        <w:strike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14"/>
    <w:multiLevelType w:val="hybridMultilevel"/>
    <w:tmpl w:val="00000014"/>
    <w:lvl w:ilvl="0">
      <w:start w:val="1"/>
      <w:numFmt w:val="bullet"/>
      <w:lvlText w:val="•"/>
      <w:lvlJc w:val="left"/>
      <w:pPr>
        <w:tabs>
          <w:tab w:val="num" w:pos="990"/>
        </w:tabs>
        <w:ind w:left="720" w:hanging="360"/>
      </w:pPr>
      <w:rPr>
        <w:rFonts w:ascii="Times New Roman" w:eastAsia="Times New Roman" w:hAnsi="Times New Roman" w:cs="Times New Roman"/>
        <w:b w:val="0"/>
        <w:i w:val="0"/>
        <w:strike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00000015"/>
    <w:multiLevelType w:val="hybridMultilevel"/>
    <w:tmpl w:val="00000015"/>
    <w:lvl w:ilvl="0">
      <w:start w:val="1"/>
      <w:numFmt w:val="bullet"/>
      <w:lvlText w:val="•"/>
      <w:lvlJc w:val="left"/>
      <w:pPr>
        <w:tabs>
          <w:tab w:val="num" w:pos="990"/>
        </w:tabs>
        <w:ind w:left="720" w:hanging="360"/>
      </w:pPr>
      <w:rPr>
        <w:rFonts w:ascii="Times New Roman" w:eastAsia="Times New Roman" w:hAnsi="Times New Roman" w:cs="Times New Roman"/>
        <w:b w:val="0"/>
        <w:i w:val="0"/>
        <w:strike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00000016"/>
    <w:multiLevelType w:val="hybridMultilevel"/>
    <w:tmpl w:val="00000016"/>
    <w:lvl w:ilvl="0">
      <w:start w:val="1"/>
      <w:numFmt w:val="bullet"/>
      <w:lvlText w:val="•"/>
      <w:lvlJc w:val="left"/>
      <w:pPr>
        <w:tabs>
          <w:tab w:val="num" w:pos="990"/>
        </w:tabs>
        <w:ind w:left="720" w:hanging="360"/>
      </w:pPr>
      <w:rPr>
        <w:rFonts w:ascii="Times New Roman" w:eastAsia="Times New Roman" w:hAnsi="Times New Roman" w:cs="Times New Roman"/>
        <w:b w:val="0"/>
        <w:i w:val="0"/>
        <w:strike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noLeading/>
    <w:suppressTopSpacingWP/>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 w:type="numbering" w:customStyle="1" w:styleId="outlinearabic">
    <w:name w:val="outline.arabic"/>
    <w:pPr>
      <w:numPr>
        <w:numId w:val="13"/>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00" Type="http://schemas.openxmlformats.org/officeDocument/2006/relationships/header" Target="header45.xml" /><Relationship Id="rId101" Type="http://schemas.openxmlformats.org/officeDocument/2006/relationships/footer" Target="footer50.xml" /><Relationship Id="rId102" Type="http://schemas.openxmlformats.org/officeDocument/2006/relationships/header" Target="header46.xml" /><Relationship Id="rId103" Type="http://schemas.openxmlformats.org/officeDocument/2006/relationships/footer" Target="footer51.xml" /><Relationship Id="rId104" Type="http://schemas.openxmlformats.org/officeDocument/2006/relationships/header" Target="header47.xml" /><Relationship Id="rId105" Type="http://schemas.openxmlformats.org/officeDocument/2006/relationships/footer" Target="footer52.xml" /><Relationship Id="rId106" Type="http://schemas.openxmlformats.org/officeDocument/2006/relationships/header" Target="header48.xml" /><Relationship Id="rId107" Type="http://schemas.openxmlformats.org/officeDocument/2006/relationships/footer" Target="footer53.xml" /><Relationship Id="rId108" Type="http://schemas.openxmlformats.org/officeDocument/2006/relationships/header" Target="header49.xml" /><Relationship Id="rId109" Type="http://schemas.openxmlformats.org/officeDocument/2006/relationships/footer" Target="footer54.xml" /><Relationship Id="rId11" Type="http://schemas.openxmlformats.org/officeDocument/2006/relationships/header" Target="header4.xml" /><Relationship Id="rId110" Type="http://schemas.openxmlformats.org/officeDocument/2006/relationships/header" Target="header50.xml" /><Relationship Id="rId111" Type="http://schemas.openxmlformats.org/officeDocument/2006/relationships/footer" Target="footer55.xml" /><Relationship Id="rId112" Type="http://schemas.openxmlformats.org/officeDocument/2006/relationships/header" Target="header51.xml" /><Relationship Id="rId113" Type="http://schemas.openxmlformats.org/officeDocument/2006/relationships/footer" Target="footer56.xml" /><Relationship Id="rId114" Type="http://schemas.openxmlformats.org/officeDocument/2006/relationships/header" Target="header52.xml" /><Relationship Id="rId115" Type="http://schemas.openxmlformats.org/officeDocument/2006/relationships/footer" Target="footer57.xml" /><Relationship Id="rId116" Type="http://schemas.openxmlformats.org/officeDocument/2006/relationships/header" Target="header53.xml" /><Relationship Id="rId117" Type="http://schemas.openxmlformats.org/officeDocument/2006/relationships/footer" Target="footer58.xml" /><Relationship Id="rId118" Type="http://schemas.openxmlformats.org/officeDocument/2006/relationships/header" Target="header54.xml" /><Relationship Id="rId119" Type="http://schemas.openxmlformats.org/officeDocument/2006/relationships/footer" Target="footer59.xml" /><Relationship Id="rId12" Type="http://schemas.openxmlformats.org/officeDocument/2006/relationships/footer" Target="footer5.xml" /><Relationship Id="rId120" Type="http://schemas.openxmlformats.org/officeDocument/2006/relationships/header" Target="header55.xml" /><Relationship Id="rId121" Type="http://schemas.openxmlformats.org/officeDocument/2006/relationships/footer" Target="footer60.xml" /><Relationship Id="rId122" Type="http://schemas.openxmlformats.org/officeDocument/2006/relationships/header" Target="header56.xml" /><Relationship Id="rId123" Type="http://schemas.openxmlformats.org/officeDocument/2006/relationships/footer" Target="footer61.xml" /><Relationship Id="rId124" Type="http://schemas.openxmlformats.org/officeDocument/2006/relationships/header" Target="header57.xml" /><Relationship Id="rId125" Type="http://schemas.openxmlformats.org/officeDocument/2006/relationships/footer" Target="footer62.xml" /><Relationship Id="rId126" Type="http://schemas.openxmlformats.org/officeDocument/2006/relationships/header" Target="header58.xml" /><Relationship Id="rId127" Type="http://schemas.openxmlformats.org/officeDocument/2006/relationships/footer" Target="footer63.xml" /><Relationship Id="rId128" Type="http://schemas.openxmlformats.org/officeDocument/2006/relationships/header" Target="header59.xml" /><Relationship Id="rId129" Type="http://schemas.openxmlformats.org/officeDocument/2006/relationships/footer" Target="footer64.xml" /><Relationship Id="rId13" Type="http://schemas.openxmlformats.org/officeDocument/2006/relationships/header" Target="header5.xml" /><Relationship Id="rId130" Type="http://schemas.openxmlformats.org/officeDocument/2006/relationships/header" Target="header60.xml" /><Relationship Id="rId131" Type="http://schemas.openxmlformats.org/officeDocument/2006/relationships/footer" Target="footer65.xml" /><Relationship Id="rId132" Type="http://schemas.openxmlformats.org/officeDocument/2006/relationships/header" Target="header61.xml" /><Relationship Id="rId133" Type="http://schemas.openxmlformats.org/officeDocument/2006/relationships/footer" Target="footer66.xml" /><Relationship Id="rId134" Type="http://schemas.openxmlformats.org/officeDocument/2006/relationships/footer" Target="footer67.xml" /><Relationship Id="rId135" Type="http://schemas.openxmlformats.org/officeDocument/2006/relationships/hyperlink" Target="https://protect.checkpoint.com/v2/___https://www.sec.gov/Archives/edgar/data/45012/000004501225000010/hal_12312024-ex1039.htm___.YzJ1OnBhdWxiYWtlcm5vdGlmaWVkY29tOmM6bzowNjdlYzk0OGUyMjVmMWQyMzZmMGQ3Zjc2OThiOTZmNjo2OjIyOGM6OTMyNDNiODcxODViYmZkZTdkMGMzNTJiYTQyOGIxNTYwNmRhM2FlYjIwNGRhZTNlZDdhN2NiYTMzZDlkMTM1NDpwOlQ6Tg" TargetMode="External" /><Relationship Id="rId136" Type="http://schemas.openxmlformats.org/officeDocument/2006/relationships/hyperlink" Target="https://protect.checkpoint.com/v2/___https://www.sec.gov/Archives/edgar/data/45012/000004501225000010/hal_12312024-ex1040.htm___.YzJ1OnBhdWxiYWtlcm5vdGlmaWVkY29tOmM6bzowNjdlYzk0OGUyMjVmMWQyMzZmMGQ3Zjc2OThiOTZmNjo2Ojc1NWM6MTBhNGRmNGE4ZjA2MDI5ZDFiMDU5MDNmNmJlMzFhNTg0MWQ3ZjQwZDBkNTU5OGFiNjRhYTYwNDUwMzliNWUwMzpwOlQ6Tg" TargetMode="External" /><Relationship Id="rId137" Type="http://schemas.openxmlformats.org/officeDocument/2006/relationships/hyperlink" Target="https://protect.checkpoint.com/v2/___https://www.sec.gov/Archives/edgar/data/45012/000004501225000010/hal_12312024-ex1041.htm___.YzJ1OnBhdWxiYWtlcm5vdGlmaWVkY29tOmM6bzowNjdlYzk0OGUyMjVmMWQyMzZmMGQ3Zjc2OThiOTZmNjo2OmFhMTE6NWYxNmZjMDE4ZDIyZjBhMGZlNzA3ZDFmMWQ1NTJhZTkzMDU4ZmJkNWM0MzIwMWExZTBlNmNjYWVlYjAwNzFmZjpwOlQ6Tg" TargetMode="External" /><Relationship Id="rId138" Type="http://schemas.openxmlformats.org/officeDocument/2006/relationships/hyperlink" Target="https://protect.checkpoint.com/v2/___https://www.sec.gov/Archives/edgar/data/45012/000004501225000010/hal_12312024-ex1042.htm___.YzJ1OnBhdWxiYWtlcm5vdGlmaWVkY29tOmM6bzowNjdlYzk0OGUyMjVmMWQyMzZmMGQ3Zjc2OThiOTZmNjo2OjdiZDQ6YThhMDg3YTZlZjUxMGRjNTQ1ZWRkMDkwZWVmMjE1MDIxYmRiNjJhYzQ1NWQ1NmFhZTUwYTkxMDBkMDY4NDU3ODpwOlQ6Tg" TargetMode="External" /><Relationship Id="rId139" Type="http://schemas.openxmlformats.org/officeDocument/2006/relationships/hyperlink" Target="https://protect.checkpoint.com/v2/___https://www.sec.gov/Archives/edgar/data/45012/000004501225000010/hal_12312024-ex1043.htm___.YzJ1OnBhdWxiYWtlcm5vdGlmaWVkY29tOmM6bzowNjdlYzk0OGUyMjVmMWQyMzZmMGQ3Zjc2OThiOTZmNjo2OjQ3M2Q6OGFhMzVlYTMwNzM1ZTkxYjgxYzhiYzBlYTRhYmM1ZGU1YzAzYzAzYjQyYzFkN2Y2YzZhOGZjNjc0YzYyNGIzNzpwOlQ6Tg" TargetMode="External" /><Relationship Id="rId14" Type="http://schemas.openxmlformats.org/officeDocument/2006/relationships/footer" Target="footer6.xml" /><Relationship Id="rId140" Type="http://schemas.openxmlformats.org/officeDocument/2006/relationships/hyperlink" Target="wurl://docs.v1/doc:a41ca6eb6f2b4520a5570d26ef351922" TargetMode="External" /><Relationship Id="rId141" Type="http://schemas.openxmlformats.org/officeDocument/2006/relationships/hyperlink" Target="wurl://docs.v1/doc:89e25b92dc5646339c3ba614614dfa77" TargetMode="External" /><Relationship Id="rId142" Type="http://schemas.openxmlformats.org/officeDocument/2006/relationships/hyperlink" Target="wurl://docs.v1/doc:925587914b0545eab63cea4945024dc7" TargetMode="External" /><Relationship Id="rId143" Type="http://schemas.openxmlformats.org/officeDocument/2006/relationships/hyperlink" Target="wurl://docs.v1/doc:8d90e4f7f0464f5687cd27c743465aa3" TargetMode="External" /><Relationship Id="rId144" Type="http://schemas.openxmlformats.org/officeDocument/2006/relationships/hyperlink" Target="wurl://docs.v1/doc:d163961ff7354027aebc29b71c1b7eee" TargetMode="External" /><Relationship Id="rId145" Type="http://schemas.openxmlformats.org/officeDocument/2006/relationships/header" Target="header62.xml" /><Relationship Id="rId146" Type="http://schemas.openxmlformats.org/officeDocument/2006/relationships/footer" Target="footer68.xml" /><Relationship Id="rId147" Type="http://schemas.openxmlformats.org/officeDocument/2006/relationships/header" Target="header63.xml" /><Relationship Id="rId148" Type="http://schemas.openxmlformats.org/officeDocument/2006/relationships/footer" Target="footer69.xml" /><Relationship Id="rId149" Type="http://schemas.openxmlformats.org/officeDocument/2006/relationships/theme" Target="theme/theme1.xml" /><Relationship Id="rId15" Type="http://schemas.openxmlformats.org/officeDocument/2006/relationships/header" Target="header6.xml" /><Relationship Id="rId150" Type="http://schemas.openxmlformats.org/officeDocument/2006/relationships/numbering" Target="numbering.xml" /><Relationship Id="rId151" Type="http://schemas.openxmlformats.org/officeDocument/2006/relationships/styles" Target="styles.xml" /><Relationship Id="rId16" Type="http://schemas.openxmlformats.org/officeDocument/2006/relationships/footer" Target="footer7.xml" /><Relationship Id="rId17" Type="http://schemas.openxmlformats.org/officeDocument/2006/relationships/header" Target="header7.xml" /><Relationship Id="rId18" Type="http://schemas.openxmlformats.org/officeDocument/2006/relationships/footer" Target="footer8.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footer" Target="footer9.xml" /><Relationship Id="rId21" Type="http://schemas.openxmlformats.org/officeDocument/2006/relationships/header" Target="header9.xml" /><Relationship Id="rId22" Type="http://schemas.openxmlformats.org/officeDocument/2006/relationships/footer" Target="footer10.xml" /><Relationship Id="rId23" Type="http://schemas.openxmlformats.org/officeDocument/2006/relationships/header" Target="header10.xml" /><Relationship Id="rId24" Type="http://schemas.openxmlformats.org/officeDocument/2006/relationships/footer" Target="footer11.xml" /><Relationship Id="rId25" Type="http://schemas.openxmlformats.org/officeDocument/2006/relationships/header" Target="header11.xml" /><Relationship Id="rId26" Type="http://schemas.openxmlformats.org/officeDocument/2006/relationships/footer" Target="footer12.xml" /><Relationship Id="rId27" Type="http://schemas.openxmlformats.org/officeDocument/2006/relationships/header" Target="header12.xml" /><Relationship Id="rId28" Type="http://schemas.openxmlformats.org/officeDocument/2006/relationships/footer" Target="footer13.xm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footer" Target="footer14.xml" /><Relationship Id="rId31" Type="http://schemas.openxmlformats.org/officeDocument/2006/relationships/header" Target="header14.xml" /><Relationship Id="rId32" Type="http://schemas.openxmlformats.org/officeDocument/2006/relationships/footer" Target="footer15.xml" /><Relationship Id="rId33" Type="http://schemas.openxmlformats.org/officeDocument/2006/relationships/header" Target="header15.xml" /><Relationship Id="rId34" Type="http://schemas.openxmlformats.org/officeDocument/2006/relationships/footer" Target="footer16.xml" /><Relationship Id="rId35" Type="http://schemas.openxmlformats.org/officeDocument/2006/relationships/header" Target="header16.xml" /><Relationship Id="rId36" Type="http://schemas.openxmlformats.org/officeDocument/2006/relationships/footer" Target="footer17.xml" /><Relationship Id="rId37" Type="http://schemas.openxmlformats.org/officeDocument/2006/relationships/header" Target="header17.xml" /><Relationship Id="rId38" Type="http://schemas.openxmlformats.org/officeDocument/2006/relationships/footer" Target="footer18.xml" /><Relationship Id="rId39" Type="http://schemas.openxmlformats.org/officeDocument/2006/relationships/header" Target="header18.xml" /><Relationship Id="rId4" Type="http://schemas.openxmlformats.org/officeDocument/2006/relationships/header" Target="header1.xml" /><Relationship Id="rId40" Type="http://schemas.openxmlformats.org/officeDocument/2006/relationships/footer" Target="footer19.xml" /><Relationship Id="rId41" Type="http://schemas.openxmlformats.org/officeDocument/2006/relationships/header" Target="header19.xml" /><Relationship Id="rId42" Type="http://schemas.openxmlformats.org/officeDocument/2006/relationships/footer" Target="footer20.xml" /><Relationship Id="rId43" Type="http://schemas.openxmlformats.org/officeDocument/2006/relationships/header" Target="header20.xml" /><Relationship Id="rId44" Type="http://schemas.openxmlformats.org/officeDocument/2006/relationships/footer" Target="footer21.xml" /><Relationship Id="rId45" Type="http://schemas.openxmlformats.org/officeDocument/2006/relationships/header" Target="header21.xml" /><Relationship Id="rId46" Type="http://schemas.openxmlformats.org/officeDocument/2006/relationships/footer" Target="footer22.xml" /><Relationship Id="rId47" Type="http://schemas.openxmlformats.org/officeDocument/2006/relationships/header" Target="header22.xml" /><Relationship Id="rId48" Type="http://schemas.openxmlformats.org/officeDocument/2006/relationships/footer" Target="footer23.xml" /><Relationship Id="rId49" Type="http://schemas.openxmlformats.org/officeDocument/2006/relationships/header" Target="header23.xml" /><Relationship Id="rId5" Type="http://schemas.openxmlformats.org/officeDocument/2006/relationships/footer" Target="footer1.xml" /><Relationship Id="rId50" Type="http://schemas.openxmlformats.org/officeDocument/2006/relationships/footer" Target="footer24.xml" /><Relationship Id="rId51" Type="http://schemas.openxmlformats.org/officeDocument/2006/relationships/header" Target="header24.xml" /><Relationship Id="rId52" Type="http://schemas.openxmlformats.org/officeDocument/2006/relationships/footer" Target="footer25.xml" /><Relationship Id="rId53" Type="http://schemas.openxmlformats.org/officeDocument/2006/relationships/header" Target="header25.xml" /><Relationship Id="rId54" Type="http://schemas.openxmlformats.org/officeDocument/2006/relationships/footer" Target="footer26.xml" /><Relationship Id="rId55" Type="http://schemas.openxmlformats.org/officeDocument/2006/relationships/header" Target="header26.xml" /><Relationship Id="rId56" Type="http://schemas.openxmlformats.org/officeDocument/2006/relationships/footer" Target="footer27.xml" /><Relationship Id="rId57" Type="http://schemas.openxmlformats.org/officeDocument/2006/relationships/header" Target="header27.xml" /><Relationship Id="rId58" Type="http://schemas.openxmlformats.org/officeDocument/2006/relationships/footer" Target="footer28.xml" /><Relationship Id="rId59" Type="http://schemas.openxmlformats.org/officeDocument/2006/relationships/header" Target="header28.xml" /><Relationship Id="rId6" Type="http://schemas.openxmlformats.org/officeDocument/2006/relationships/header" Target="header2.xml" /><Relationship Id="rId60" Type="http://schemas.openxmlformats.org/officeDocument/2006/relationships/footer" Target="footer29.xml" /><Relationship Id="rId61" Type="http://schemas.openxmlformats.org/officeDocument/2006/relationships/header" Target="header29.xml" /><Relationship Id="rId62" Type="http://schemas.openxmlformats.org/officeDocument/2006/relationships/footer" Target="footer30.xml" /><Relationship Id="rId63" Type="http://schemas.openxmlformats.org/officeDocument/2006/relationships/header" Target="header30.xml" /><Relationship Id="rId64" Type="http://schemas.openxmlformats.org/officeDocument/2006/relationships/footer" Target="footer31.xml" /><Relationship Id="rId65" Type="http://schemas.openxmlformats.org/officeDocument/2006/relationships/header" Target="header31.xml" /><Relationship Id="rId66" Type="http://schemas.openxmlformats.org/officeDocument/2006/relationships/footer" Target="footer32.xml" /><Relationship Id="rId67" Type="http://schemas.openxmlformats.org/officeDocument/2006/relationships/header" Target="header32.xml" /><Relationship Id="rId68" Type="http://schemas.openxmlformats.org/officeDocument/2006/relationships/footer" Target="footer33.xml" /><Relationship Id="rId69" Type="http://schemas.openxmlformats.org/officeDocument/2006/relationships/header" Target="header33.xml" /><Relationship Id="rId7" Type="http://schemas.openxmlformats.org/officeDocument/2006/relationships/footer" Target="footer2.xml" /><Relationship Id="rId70" Type="http://schemas.openxmlformats.org/officeDocument/2006/relationships/footer" Target="footer34.xml" /><Relationship Id="rId71" Type="http://schemas.openxmlformats.org/officeDocument/2006/relationships/header" Target="header34.xml" /><Relationship Id="rId72" Type="http://schemas.openxmlformats.org/officeDocument/2006/relationships/footer" Target="footer35.xml" /><Relationship Id="rId73" Type="http://schemas.openxmlformats.org/officeDocument/2006/relationships/image" Target="media/image1.png" /><Relationship Id="rId74" Type="http://schemas.openxmlformats.org/officeDocument/2006/relationships/image" Target="media/image2.png" /><Relationship Id="rId75" Type="http://schemas.openxmlformats.org/officeDocument/2006/relationships/footer" Target="footer36.xml" /><Relationship Id="rId76" Type="http://schemas.openxmlformats.org/officeDocument/2006/relationships/footer" Target="footer37.xml" /><Relationship Id="rId77" Type="http://schemas.openxmlformats.org/officeDocument/2006/relationships/image" Target="media/image3.png" /><Relationship Id="rId78" Type="http://schemas.openxmlformats.org/officeDocument/2006/relationships/footer" Target="footer38.xml" /><Relationship Id="rId79" Type="http://schemas.openxmlformats.org/officeDocument/2006/relationships/footer" Target="footer39.xml" /><Relationship Id="rId8" Type="http://schemas.openxmlformats.org/officeDocument/2006/relationships/header" Target="header3.xml" /><Relationship Id="rId80" Type="http://schemas.openxmlformats.org/officeDocument/2006/relationships/header" Target="header35.xml" /><Relationship Id="rId81" Type="http://schemas.openxmlformats.org/officeDocument/2006/relationships/footer" Target="footer40.xml" /><Relationship Id="rId82" Type="http://schemas.openxmlformats.org/officeDocument/2006/relationships/header" Target="header36.xml" /><Relationship Id="rId83" Type="http://schemas.openxmlformats.org/officeDocument/2006/relationships/footer" Target="footer41.xml" /><Relationship Id="rId84" Type="http://schemas.openxmlformats.org/officeDocument/2006/relationships/header" Target="header37.xml" /><Relationship Id="rId85" Type="http://schemas.openxmlformats.org/officeDocument/2006/relationships/footer" Target="footer42.xml" /><Relationship Id="rId86" Type="http://schemas.openxmlformats.org/officeDocument/2006/relationships/header" Target="header38.xml" /><Relationship Id="rId87" Type="http://schemas.openxmlformats.org/officeDocument/2006/relationships/footer" Target="footer43.xml" /><Relationship Id="rId88" Type="http://schemas.openxmlformats.org/officeDocument/2006/relationships/header" Target="header39.xml" /><Relationship Id="rId89" Type="http://schemas.openxmlformats.org/officeDocument/2006/relationships/footer" Target="footer44.xml" /><Relationship Id="rId9" Type="http://schemas.openxmlformats.org/officeDocument/2006/relationships/footer" Target="footer3.xml" /><Relationship Id="rId90" Type="http://schemas.openxmlformats.org/officeDocument/2006/relationships/header" Target="header40.xml" /><Relationship Id="rId91" Type="http://schemas.openxmlformats.org/officeDocument/2006/relationships/footer" Target="footer45.xml" /><Relationship Id="rId92" Type="http://schemas.openxmlformats.org/officeDocument/2006/relationships/header" Target="header41.xml" /><Relationship Id="rId93" Type="http://schemas.openxmlformats.org/officeDocument/2006/relationships/footer" Target="footer46.xml" /><Relationship Id="rId94" Type="http://schemas.openxmlformats.org/officeDocument/2006/relationships/header" Target="header42.xml" /><Relationship Id="rId95" Type="http://schemas.openxmlformats.org/officeDocument/2006/relationships/footer" Target="footer47.xml" /><Relationship Id="rId96" Type="http://schemas.openxmlformats.org/officeDocument/2006/relationships/header" Target="header43.xml" /><Relationship Id="rId97" Type="http://schemas.openxmlformats.org/officeDocument/2006/relationships/footer" Target="footer48.xml" /><Relationship Id="rId98" Type="http://schemas.openxmlformats.org/officeDocument/2006/relationships/header" Target="header44.xml" /><Relationship Id="rId99" Type="http://schemas.openxmlformats.org/officeDocument/2006/relationships/footer" Target="footer49.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29</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 Live Reporting Document (K/Q)</dc:title>
  <cp:revision>1</cp:revision>
</cp:coreProperties>
</file>